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289C4E55"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8D50E8">
        <w:rPr>
          <w:rFonts w:asciiTheme="minorHAnsi" w:hAnsiTheme="minorHAnsi" w:cstheme="minorHAnsi"/>
          <w:b/>
          <w:color w:val="3D3D3D"/>
          <w:spacing w:val="-2"/>
          <w:sz w:val="28"/>
          <w:szCs w:val="28"/>
        </w:rPr>
        <w:t xml:space="preserve"> 1823</w:t>
      </w:r>
    </w:p>
    <w:p w14:paraId="038B39F7" w14:textId="107A8C78"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C41504" w:rsidRPr="00C41504">
        <w:t xml:space="preserve"> </w:t>
      </w:r>
      <w:r w:rsidR="00C41504" w:rsidRPr="00C41504">
        <w:rPr>
          <w:rFonts w:asciiTheme="minorHAnsi" w:hAnsiTheme="minorHAnsi" w:cstheme="minorHAnsi"/>
          <w:b/>
          <w:color w:val="3D3D3D"/>
          <w:spacing w:val="-2"/>
          <w:sz w:val="28"/>
          <w:szCs w:val="28"/>
        </w:rPr>
        <w:t>177 Lutetium PSMA-617 for prostate specific membrane antigen (PSMA)-positive, taxane-naïve patients with metastatic castrate resistant prostate cancer (mCRPC)</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C41504"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C41504"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C41504"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C41504"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C41504"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C41504"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C41504"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C41504"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C41504"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C41504"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C41504"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C41504"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C41504"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C41504"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C41504"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C41504"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C41504"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C41504"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C41504"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C41504"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C41504"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C41504"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C41504"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C41504"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C41504"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C41504"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C41504"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C41504"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C41504"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C41504"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C41504"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C41504"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C41504"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C41504"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D50E8"/>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41504"/>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181B158C-033F-44B8-9CA6-E7410EB44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7889</Words>
  <Characters>41655</Characters>
  <Application>Microsoft Office Word</Application>
  <DocSecurity>0</DocSecurity>
  <Lines>757</Lines>
  <Paragraphs>500</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