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440CFC77"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231A44">
        <w:rPr>
          <w:rFonts w:asciiTheme="minorHAnsi" w:hAnsiTheme="minorHAnsi" w:cstheme="minorHAnsi"/>
          <w:b/>
          <w:color w:val="3D3D3D"/>
          <w:spacing w:val="-2"/>
          <w:sz w:val="28"/>
          <w:szCs w:val="28"/>
        </w:rPr>
        <w:t xml:space="preserve"> 1822</w:t>
      </w:r>
    </w:p>
    <w:p w14:paraId="038B39F7" w14:textId="49C38A29"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283F0F" w:rsidRPr="00283F0F">
        <w:t xml:space="preserve"> </w:t>
      </w:r>
      <w:r w:rsidR="00283F0F" w:rsidRPr="00283F0F">
        <w:rPr>
          <w:rFonts w:asciiTheme="minorHAnsi" w:hAnsiTheme="minorHAnsi" w:cstheme="minorHAnsi"/>
          <w:b/>
          <w:color w:val="3D3D3D"/>
          <w:spacing w:val="-2"/>
          <w:sz w:val="28"/>
          <w:szCs w:val="28"/>
        </w:rPr>
        <w:t>F-18 Fluorodeoxyglucose (FDG) positron emission tomography (PET) for evaluation of complex infection</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283F0F"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283F0F"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283F0F"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283F0F"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283F0F"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283F0F"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283F0F"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283F0F"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283F0F"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283F0F"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283F0F"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283F0F"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283F0F"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283F0F"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283F0F"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283F0F"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283F0F"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283F0F"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283F0F"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283F0F"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283F0F"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283F0F"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283F0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283F0F"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283F0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283F0F"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283F0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283F0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283F0F"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283F0F"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283F0F"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283F0F"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283F0F"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283F0F"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31A44"/>
    <w:rsid w:val="00243C21"/>
    <w:rsid w:val="00254FDF"/>
    <w:rsid w:val="0027283F"/>
    <w:rsid w:val="00280B22"/>
    <w:rsid w:val="002811FD"/>
    <w:rsid w:val="0028153A"/>
    <w:rsid w:val="00282C4F"/>
    <w:rsid w:val="00282FC1"/>
    <w:rsid w:val="00283F0F"/>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181B158C-033F-44B8-9CA6-E7410EB44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7879</Words>
  <Characters>41607</Characters>
  <Application>Microsoft Office Word</Application>
  <DocSecurity>0</DocSecurity>
  <Lines>756</Lines>
  <Paragraphs>499</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