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22A45302"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5777FD">
        <w:rPr>
          <w:rFonts w:asciiTheme="minorHAnsi" w:hAnsiTheme="minorHAnsi" w:cstheme="minorHAnsi"/>
          <w:b/>
          <w:color w:val="3D3D3D"/>
          <w:spacing w:val="-2"/>
          <w:sz w:val="28"/>
          <w:szCs w:val="28"/>
        </w:rPr>
        <w:t xml:space="preserve"> 1820</w:t>
      </w:r>
    </w:p>
    <w:p w14:paraId="038B39F7" w14:textId="3FEE23CC"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5440C0" w:rsidRPr="005440C0">
        <w:t xml:space="preserve"> </w:t>
      </w:r>
      <w:r w:rsidR="005440C0" w:rsidRPr="005440C0">
        <w:rPr>
          <w:rFonts w:asciiTheme="minorHAnsi" w:hAnsiTheme="minorHAnsi" w:cstheme="minorHAnsi"/>
          <w:b/>
          <w:color w:val="3D3D3D"/>
          <w:spacing w:val="-2"/>
          <w:sz w:val="28"/>
          <w:szCs w:val="28"/>
        </w:rPr>
        <w:t>In situ hybridisation (ISH) testing of tumour tissue to detect viral genomes (EBV and HPV)</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5440C0"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5440C0"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5440C0"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5440C0"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5440C0"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5440C0"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5440C0"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5440C0"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5440C0"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5440C0"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5440C0"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5440C0"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5440C0"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5440C0"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5440C0"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5440C0"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5440C0"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5440C0"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5440C0"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5440C0"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5440C0"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5440C0"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5440C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5440C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5440C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5440C0"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5440C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5440C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5440C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5440C0"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5440C0"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5440C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5440C0"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5440C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0C0"/>
    <w:rsid w:val="00544C5A"/>
    <w:rsid w:val="0055032C"/>
    <w:rsid w:val="005539EC"/>
    <w:rsid w:val="00554EA5"/>
    <w:rsid w:val="00556212"/>
    <w:rsid w:val="00556287"/>
    <w:rsid w:val="00556870"/>
    <w:rsid w:val="00563E9C"/>
    <w:rsid w:val="00565BA2"/>
    <w:rsid w:val="005678AB"/>
    <w:rsid w:val="00571F3D"/>
    <w:rsid w:val="0057434D"/>
    <w:rsid w:val="005777F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2.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7878</Words>
  <Characters>41598</Characters>
  <Application>Microsoft Office Word</Application>
  <DocSecurity>0</DocSecurity>
  <Lines>756</Lines>
  <Paragraphs>499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