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DBFE3" w14:textId="17C7F6A8" w:rsidR="00A05178" w:rsidRPr="006647C5" w:rsidRDefault="004C652A">
      <w:pPr>
        <w:rPr>
          <w:rFonts w:cs="Segoe UI"/>
        </w:rPr>
      </w:pPr>
      <w:r>
        <w:rPr>
          <w:noProof/>
        </w:rPr>
        <mc:AlternateContent>
          <mc:Choice Requires="wpg">
            <w:drawing>
              <wp:anchor distT="0" distB="0" distL="114300" distR="114300" simplePos="0" relativeHeight="251658248" behindDoc="0" locked="0" layoutInCell="1" allowOverlap="1" wp14:anchorId="04A1AFBF" wp14:editId="010266BF">
                <wp:simplePos x="0" y="0"/>
                <wp:positionH relativeFrom="column">
                  <wp:posOffset>-975360</wp:posOffset>
                </wp:positionH>
                <wp:positionV relativeFrom="paragraph">
                  <wp:posOffset>382905</wp:posOffset>
                </wp:positionV>
                <wp:extent cx="8286750" cy="9222740"/>
                <wp:effectExtent l="0" t="0" r="0" b="0"/>
                <wp:wrapNone/>
                <wp:docPr id="3" name="Group 3"/>
                <wp:cNvGraphicFramePr/>
                <a:graphic xmlns:a="http://schemas.openxmlformats.org/drawingml/2006/main">
                  <a:graphicData uri="http://schemas.microsoft.com/office/word/2010/wordprocessingGroup">
                    <wpg:wgp>
                      <wpg:cNvGrpSpPr/>
                      <wpg:grpSpPr>
                        <a:xfrm>
                          <a:off x="0" y="0"/>
                          <a:ext cx="8286750" cy="9222740"/>
                          <a:chOff x="0" y="0"/>
                          <a:chExt cx="8286750" cy="9222740"/>
                        </a:xfrm>
                      </wpg:grpSpPr>
                      <wps:wsp>
                        <wps:cNvPr id="2" name="Rectangle 2">
                          <a:extLst>
                            <a:ext uri="{FF2B5EF4-FFF2-40B4-BE49-F238E27FC236}">
                              <a16:creationId xmlns:a16="http://schemas.microsoft.com/office/drawing/2014/main" id="{35EA95B7-D757-C988-C5F8-95C2ED2651C4}"/>
                            </a:ext>
                          </a:extLst>
                        </wps:cNvPr>
                        <wps:cNvSpPr/>
                        <wps:spPr>
                          <a:xfrm>
                            <a:off x="345989" y="0"/>
                            <a:ext cx="6936740" cy="9222740"/>
                          </a:xfrm>
                          <a:prstGeom prst="rect">
                            <a:avLst/>
                          </a:prstGeom>
                          <a:solidFill>
                            <a:srgbClr val="E6E6E6"/>
                          </a:solidFill>
                          <a:ln w="12700" cap="flat" cmpd="sng" algn="ctr">
                            <a:noFill/>
                            <a:prstDash val="solid"/>
                            <a:miter lim="800000"/>
                          </a:ln>
                          <a:effectLst/>
                        </wps:spPr>
                        <wps:bodyPr rtlCol="0" anchor="ctr"/>
                      </wps:wsp>
                      <wps:wsp>
                        <wps:cNvPr id="8" name="Rectangle 8">
                          <a:extLst>
                            <a:ext uri="{FF2B5EF4-FFF2-40B4-BE49-F238E27FC236}">
                              <a16:creationId xmlns:a16="http://schemas.microsoft.com/office/drawing/2014/main" id="{5AEA148A-8AA6-A586-9296-B8DB5B53F12D}"/>
                            </a:ext>
                          </a:extLst>
                        </wps:cNvPr>
                        <wps:cNvSpPr/>
                        <wps:spPr>
                          <a:xfrm>
                            <a:off x="0" y="963827"/>
                            <a:ext cx="8286750" cy="1875790"/>
                          </a:xfrm>
                          <a:prstGeom prst="rect">
                            <a:avLst/>
                          </a:prstGeom>
                          <a:solidFill>
                            <a:sysClr val="window" lastClr="FFFFFF"/>
                          </a:solidFill>
                          <a:ln w="12700" cap="flat" cmpd="sng" algn="ctr">
                            <a:noFill/>
                            <a:prstDash val="solid"/>
                            <a:miter lim="800000"/>
                          </a:ln>
                          <a:effectLst/>
                        </wps:spPr>
                        <wps:bodyPr rtlCol="0" anchor="ctr"/>
                      </wps:wsp>
                      <wpg:grpSp>
                        <wpg:cNvPr id="9" name="Group 9"/>
                        <wpg:cNvGrpSpPr>
                          <a:grpSpLocks noChangeAspect="1"/>
                        </wpg:cNvGrpSpPr>
                        <wpg:grpSpPr>
                          <a:xfrm rot="120000">
                            <a:off x="222422" y="1057018"/>
                            <a:ext cx="2015490" cy="1657350"/>
                            <a:chOff x="0" y="0"/>
                            <a:chExt cx="4596105" cy="3776514"/>
                          </a:xfrm>
                        </wpg:grpSpPr>
                        <wpg:grpSp>
                          <wpg:cNvPr id="10" name="Group 10"/>
                          <wpg:cNvGrpSpPr/>
                          <wpg:grpSpPr>
                            <a:xfrm rot="8894507">
                              <a:off x="0" y="0"/>
                              <a:ext cx="4596105" cy="3153335"/>
                              <a:chOff x="0" y="0"/>
                              <a:chExt cx="4596105" cy="3153335"/>
                            </a:xfrm>
                          </wpg:grpSpPr>
                          <wps:wsp>
                            <wps:cNvPr id="11" name="Hexagon 11"/>
                            <wps:cNvSpPr/>
                            <wps:spPr>
                              <a:xfrm rot="14400000">
                                <a:off x="-66877" y="1360848"/>
                                <a:ext cx="998375" cy="864621"/>
                              </a:xfrm>
                              <a:prstGeom prst="hexagon">
                                <a:avLst>
                                  <a:gd name="adj" fmla="val 28927"/>
                                  <a:gd name="vf" fmla="val 115470"/>
                                </a:avLst>
                              </a:prstGeom>
                              <a:solidFill>
                                <a:srgbClr val="A7B12F"/>
                              </a:solidFill>
                              <a:ln w="12700" cap="flat" cmpd="sng" algn="ctr">
                                <a:noFill/>
                                <a:prstDash val="solid"/>
                                <a:miter lim="800000"/>
                              </a:ln>
                              <a:effectLst/>
                            </wps:spPr>
                            <wps:bodyPr rtlCol="0" anchor="ctr"/>
                          </wps:wsp>
                          <wpg:grpSp>
                            <wpg:cNvPr id="13" name="Group 13"/>
                            <wpg:cNvGrpSpPr/>
                            <wpg:grpSpPr>
                              <a:xfrm>
                                <a:off x="747897" y="0"/>
                                <a:ext cx="3848208" cy="3153335"/>
                                <a:chOff x="747897" y="0"/>
                                <a:chExt cx="3848208" cy="3153335"/>
                              </a:xfrm>
                            </wpg:grpSpPr>
                            <wps:wsp>
                              <wps:cNvPr id="14" name="Hexagon 14"/>
                              <wps:cNvSpPr/>
                              <wps:spPr>
                                <a:xfrm rot="14439580">
                                  <a:off x="3664607" y="76030"/>
                                  <a:ext cx="998375" cy="864620"/>
                                </a:xfrm>
                                <a:prstGeom prst="hexagon">
                                  <a:avLst>
                                    <a:gd name="adj" fmla="val 28927"/>
                                    <a:gd name="vf" fmla="val 115470"/>
                                  </a:avLst>
                                </a:prstGeom>
                                <a:solidFill>
                                  <a:srgbClr val="1390CF"/>
                                </a:solidFill>
                                <a:ln w="12700" cap="flat" cmpd="sng" algn="ctr">
                                  <a:noFill/>
                                  <a:prstDash val="solid"/>
                                  <a:miter lim="800000"/>
                                </a:ln>
                                <a:effectLst/>
                              </wps:spPr>
                              <wps:bodyPr rtlCol="0" anchor="ctr"/>
                            </wps:wsp>
                            <wps:wsp>
                              <wps:cNvPr id="15" name="Hexagon 15"/>
                              <wps:cNvSpPr/>
                              <wps:spPr>
                                <a:xfrm rot="14400000">
                                  <a:off x="2173947" y="926100"/>
                                  <a:ext cx="998375" cy="864620"/>
                                </a:xfrm>
                                <a:prstGeom prst="hexagon">
                                  <a:avLst>
                                    <a:gd name="adj" fmla="val 28927"/>
                                    <a:gd name="vf" fmla="val 115470"/>
                                  </a:avLst>
                                </a:prstGeom>
                                <a:solidFill>
                                  <a:srgbClr val="A7B12F"/>
                                </a:solidFill>
                                <a:ln w="12700" cap="flat" cmpd="sng" algn="ctr">
                                  <a:noFill/>
                                  <a:prstDash val="solid"/>
                                  <a:miter lim="800000"/>
                                </a:ln>
                                <a:effectLst/>
                              </wps:spPr>
                              <wps:bodyPr rtlCol="0" anchor="ctr"/>
                            </wps:wsp>
                            <wps:wsp>
                              <wps:cNvPr id="16" name="Hexagon 16"/>
                              <wps:cNvSpPr/>
                              <wps:spPr>
                                <a:xfrm rot="14400000">
                                  <a:off x="2921704" y="1356000"/>
                                  <a:ext cx="998375" cy="864620"/>
                                </a:xfrm>
                                <a:prstGeom prst="hexagon">
                                  <a:avLst>
                                    <a:gd name="adj" fmla="val 28927"/>
                                    <a:gd name="vf" fmla="val 115470"/>
                                  </a:avLst>
                                </a:prstGeom>
                                <a:solidFill>
                                  <a:srgbClr val="1390CF"/>
                                </a:solidFill>
                                <a:ln w="12700" cap="flat" cmpd="sng" algn="ctr">
                                  <a:noFill/>
                                  <a:prstDash val="solid"/>
                                  <a:miter lim="800000"/>
                                </a:ln>
                                <a:effectLst/>
                              </wps:spPr>
                              <wps:bodyPr rtlCol="0" anchor="ctr"/>
                            </wps:wsp>
                            <wps:wsp>
                              <wps:cNvPr id="17" name="Hexagon 17"/>
                              <wps:cNvSpPr/>
                              <wps:spPr>
                                <a:xfrm rot="14400000">
                                  <a:off x="3664607" y="929760"/>
                                  <a:ext cx="998375" cy="864620"/>
                                </a:xfrm>
                                <a:prstGeom prst="hexagon">
                                  <a:avLst>
                                    <a:gd name="adj" fmla="val 28927"/>
                                    <a:gd name="vf" fmla="val 115470"/>
                                  </a:avLst>
                                </a:prstGeom>
                                <a:solidFill>
                                  <a:srgbClr val="153A6E"/>
                                </a:solidFill>
                                <a:ln w="12700" cap="flat" cmpd="sng" algn="ctr">
                                  <a:noFill/>
                                  <a:prstDash val="solid"/>
                                  <a:miter lim="800000"/>
                                </a:ln>
                                <a:effectLst/>
                              </wps:spPr>
                              <wps:bodyPr rtlCol="0" anchor="ctr"/>
                            </wps:wsp>
                            <wps:wsp>
                              <wps:cNvPr id="18" name="Hexagon 18"/>
                              <wps:cNvSpPr/>
                              <wps:spPr>
                                <a:xfrm rot="14400000">
                                  <a:off x="2921704" y="496025"/>
                                  <a:ext cx="998375" cy="864620"/>
                                </a:xfrm>
                                <a:prstGeom prst="hexagon">
                                  <a:avLst>
                                    <a:gd name="adj" fmla="val 28927"/>
                                    <a:gd name="vf" fmla="val 115470"/>
                                  </a:avLst>
                                </a:prstGeom>
                                <a:solidFill>
                                  <a:srgbClr val="009EBA"/>
                                </a:solidFill>
                                <a:ln w="12700" cap="flat" cmpd="sng" algn="ctr">
                                  <a:noFill/>
                                  <a:prstDash val="solid"/>
                                  <a:miter lim="800000"/>
                                </a:ln>
                                <a:effectLst/>
                              </wps:spPr>
                              <wps:bodyPr rtlCol="0" anchor="ctr"/>
                            </wps:wsp>
                            <wps:wsp>
                              <wps:cNvPr id="19" name="Hexagon 19"/>
                              <wps:cNvSpPr/>
                              <wps:spPr>
                                <a:xfrm rot="14400000">
                                  <a:off x="2173947" y="1788103"/>
                                  <a:ext cx="998375" cy="864620"/>
                                </a:xfrm>
                                <a:prstGeom prst="hexagon">
                                  <a:avLst>
                                    <a:gd name="adj" fmla="val 28927"/>
                                    <a:gd name="vf" fmla="val 115470"/>
                                  </a:avLst>
                                </a:prstGeom>
                                <a:solidFill>
                                  <a:srgbClr val="153A6E"/>
                                </a:solidFill>
                                <a:ln w="12700" cap="flat" cmpd="sng" algn="ctr">
                                  <a:noFill/>
                                  <a:prstDash val="solid"/>
                                  <a:miter lim="800000"/>
                                </a:ln>
                                <a:effectLst/>
                              </wps:spPr>
                              <wps:bodyPr rtlCol="0" anchor="ctr"/>
                            </wps:wsp>
                            <wps:wsp>
                              <wps:cNvPr id="20" name="Hexagon 20"/>
                              <wps:cNvSpPr/>
                              <wps:spPr>
                                <a:xfrm rot="14400000">
                                  <a:off x="2916852" y="2215127"/>
                                  <a:ext cx="998375" cy="864620"/>
                                </a:xfrm>
                                <a:prstGeom prst="hexagon">
                                  <a:avLst>
                                    <a:gd name="adj" fmla="val 28927"/>
                                    <a:gd name="vf" fmla="val 115470"/>
                                  </a:avLst>
                                </a:prstGeom>
                                <a:solidFill>
                                  <a:srgbClr val="A7B12F"/>
                                </a:solidFill>
                                <a:ln w="12700" cap="flat" cmpd="sng" algn="ctr">
                                  <a:noFill/>
                                  <a:prstDash val="solid"/>
                                  <a:miter lim="800000"/>
                                </a:ln>
                                <a:effectLst/>
                              </wps:spPr>
                              <wps:bodyPr rtlCol="0" anchor="ctr"/>
                            </wps:wsp>
                            <wps:wsp>
                              <wps:cNvPr id="21" name="Hexagon 21"/>
                              <wps:cNvSpPr/>
                              <wps:spPr>
                                <a:xfrm rot="14400000">
                                  <a:off x="1426193" y="2221837"/>
                                  <a:ext cx="998375" cy="864621"/>
                                </a:xfrm>
                                <a:prstGeom prst="hexagon">
                                  <a:avLst>
                                    <a:gd name="adj" fmla="val 28927"/>
                                    <a:gd name="vf" fmla="val 115470"/>
                                  </a:avLst>
                                </a:prstGeom>
                                <a:solidFill>
                                  <a:srgbClr val="A7B12F"/>
                                </a:solidFill>
                                <a:ln w="12700" cap="flat" cmpd="sng" algn="ctr">
                                  <a:noFill/>
                                  <a:prstDash val="solid"/>
                                  <a:miter lim="800000"/>
                                </a:ln>
                                <a:effectLst/>
                              </wps:spPr>
                              <wps:bodyPr rtlCol="0" anchor="ctr"/>
                            </wps:wsp>
                            <wps:wsp>
                              <wps:cNvPr id="22" name="Hexagon 22"/>
                              <wps:cNvSpPr/>
                              <wps:spPr>
                                <a:xfrm rot="14400000">
                                  <a:off x="2191174" y="66877"/>
                                  <a:ext cx="998374" cy="864620"/>
                                </a:xfrm>
                                <a:prstGeom prst="hexagon">
                                  <a:avLst>
                                    <a:gd name="adj" fmla="val 28927"/>
                                    <a:gd name="vf" fmla="val 115470"/>
                                  </a:avLst>
                                </a:prstGeom>
                                <a:solidFill>
                                  <a:srgbClr val="153A6E"/>
                                </a:solidFill>
                                <a:ln w="12700" cap="flat" cmpd="sng" algn="ctr">
                                  <a:noFill/>
                                  <a:prstDash val="solid"/>
                                  <a:miter lim="800000"/>
                                </a:ln>
                                <a:effectLst/>
                              </wps:spPr>
                              <wps:bodyPr rtlCol="0" anchor="ctr"/>
                            </wps:wsp>
                            <wps:wsp>
                              <wps:cNvPr id="23" name="Hexagon 23"/>
                              <wps:cNvSpPr/>
                              <wps:spPr>
                                <a:xfrm rot="14400000">
                                  <a:off x="1428614" y="1360849"/>
                                  <a:ext cx="998375" cy="864620"/>
                                </a:xfrm>
                                <a:prstGeom prst="hexagon">
                                  <a:avLst>
                                    <a:gd name="adj" fmla="val 28927"/>
                                    <a:gd name="vf" fmla="val 115470"/>
                                  </a:avLst>
                                </a:prstGeom>
                                <a:solidFill>
                                  <a:srgbClr val="1390CF"/>
                                </a:solidFill>
                                <a:ln w="12700" cap="flat" cmpd="sng" algn="ctr">
                                  <a:noFill/>
                                  <a:prstDash val="solid"/>
                                  <a:miter lim="800000"/>
                                </a:ln>
                                <a:effectLst/>
                              </wps:spPr>
                              <wps:bodyPr rtlCol="0" anchor="ctr"/>
                            </wps:wsp>
                            <wps:wsp>
                              <wps:cNvPr id="24" name="Hexagon 24"/>
                              <wps:cNvSpPr/>
                              <wps:spPr>
                                <a:xfrm rot="14400000">
                                  <a:off x="681020" y="1789733"/>
                                  <a:ext cx="998375" cy="864621"/>
                                </a:xfrm>
                                <a:prstGeom prst="hexagon">
                                  <a:avLst>
                                    <a:gd name="adj" fmla="val 28927"/>
                                    <a:gd name="vf" fmla="val 115470"/>
                                  </a:avLst>
                                </a:prstGeom>
                                <a:solidFill>
                                  <a:srgbClr val="153A6E"/>
                                </a:solidFill>
                                <a:ln w="12700" cap="flat" cmpd="sng" algn="ctr">
                                  <a:noFill/>
                                  <a:prstDash val="solid"/>
                                  <a:miter lim="800000"/>
                                </a:ln>
                                <a:effectLst/>
                              </wps:spPr>
                              <wps:bodyPr rtlCol="0" anchor="ctr"/>
                            </wps:wsp>
                            <pic:pic xmlns:pic="http://schemas.openxmlformats.org/drawingml/2006/picture">
                              <pic:nvPicPr>
                                <pic:cNvPr id="25" name="Graphic 29" descr="Care with solid fill"/>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rot="12705493">
                                  <a:off x="3872547" y="1081828"/>
                                  <a:ext cx="579717" cy="579717"/>
                                </a:xfrm>
                                <a:prstGeom prst="rect">
                                  <a:avLst/>
                                </a:prstGeom>
                              </pic:spPr>
                            </pic:pic>
                          </wpg:grpSp>
                        </wpg:grpSp>
                        <pic:pic xmlns:pic="http://schemas.openxmlformats.org/drawingml/2006/picture">
                          <pic:nvPicPr>
                            <pic:cNvPr id="26" name="Graphic 30" descr="Cheers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350118" y="2415160"/>
                              <a:ext cx="632419" cy="632419"/>
                            </a:xfrm>
                            <a:prstGeom prst="rect">
                              <a:avLst/>
                            </a:prstGeom>
                          </pic:spPr>
                        </pic:pic>
                        <pic:pic xmlns:pic="http://schemas.openxmlformats.org/drawingml/2006/picture">
                          <pic:nvPicPr>
                            <pic:cNvPr id="27" name="Graphic 31" descr="Mental Health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253994" y="952786"/>
                              <a:ext cx="489857" cy="489857"/>
                            </a:xfrm>
                            <a:prstGeom prst="rect">
                              <a:avLst/>
                            </a:prstGeom>
                          </pic:spPr>
                        </pic:pic>
                        <pic:pic xmlns:pic="http://schemas.openxmlformats.org/drawingml/2006/picture">
                          <pic:nvPicPr>
                            <pic:cNvPr id="28" name="Graphic 32" descr="Medical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3477163" y="107260"/>
                              <a:ext cx="579717" cy="579718"/>
                            </a:xfrm>
                            <a:prstGeom prst="rect">
                              <a:avLst/>
                            </a:prstGeom>
                          </pic:spPr>
                        </pic:pic>
                        <pic:pic xmlns:pic="http://schemas.openxmlformats.org/drawingml/2006/picture">
                          <pic:nvPicPr>
                            <pic:cNvPr id="29" name="Graphic 33" descr="Users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967221" y="3196796"/>
                              <a:ext cx="579717" cy="579718"/>
                            </a:xfrm>
                            <a:prstGeom prst="rect">
                              <a:avLst/>
                            </a:prstGeom>
                          </pic:spPr>
                        </pic:pic>
                        <pic:pic xmlns:pic="http://schemas.openxmlformats.org/drawingml/2006/picture">
                          <pic:nvPicPr>
                            <pic:cNvPr id="30" name="Graphic 34" descr="Lightbulb and gear outline"/>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1754677" y="172882"/>
                              <a:ext cx="579717" cy="579718"/>
                            </a:xfrm>
                            <a:prstGeom prst="rect">
                              <a:avLst/>
                            </a:prstGeom>
                          </pic:spPr>
                        </pic:pic>
                        <pic:pic xmlns:pic="http://schemas.openxmlformats.org/drawingml/2006/picture">
                          <pic:nvPicPr>
                            <pic:cNvPr id="31" name="Graphic 36" descr="Scribble with solid fil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250311" y="2407624"/>
                              <a:ext cx="579717" cy="579717"/>
                            </a:xfrm>
                            <a:prstGeom prst="rect">
                              <a:avLst/>
                            </a:prstGeom>
                          </pic:spPr>
                        </pic:pic>
                        <pic:pic xmlns:pic="http://schemas.openxmlformats.org/drawingml/2006/picture">
                          <pic:nvPicPr>
                            <pic:cNvPr id="32" name="Graphic 37" descr="Social network with solid fill"/>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751444" y="1617107"/>
                              <a:ext cx="685120" cy="685120"/>
                            </a:xfrm>
                            <a:prstGeom prst="rect">
                              <a:avLst/>
                            </a:prstGeom>
                          </pic:spPr>
                        </pic:pic>
                        <pic:pic xmlns:pic="http://schemas.openxmlformats.org/drawingml/2006/picture">
                          <pic:nvPicPr>
                            <pic:cNvPr id="33" name="Graphic 38" descr="Magnifying glass with solid fill"/>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2580600" y="111311"/>
                              <a:ext cx="656493" cy="656493"/>
                            </a:xfrm>
                            <a:prstGeom prst="rect">
                              <a:avLst/>
                            </a:prstGeom>
                          </pic:spPr>
                        </pic:pic>
                        <pic:pic xmlns:pic="http://schemas.openxmlformats.org/drawingml/2006/picture">
                          <pic:nvPicPr>
                            <pic:cNvPr id="34" name="Graphic 39" descr="DNA with solid fill"/>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32099" y="1720452"/>
                              <a:ext cx="579717" cy="579718"/>
                            </a:xfrm>
                            <a:prstGeom prst="rect">
                              <a:avLst/>
                            </a:prstGeom>
                          </pic:spPr>
                        </pic:pic>
                        <pic:pic xmlns:pic="http://schemas.openxmlformats.org/drawingml/2006/picture">
                          <pic:nvPicPr>
                            <pic:cNvPr id="35" name="Graphic 47" descr="Eye dropper with solid fill"/>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38942" y="1009726"/>
                              <a:ext cx="489857" cy="489857"/>
                            </a:xfrm>
                            <a:prstGeom prst="rect">
                              <a:avLst/>
                            </a:prstGeom>
                          </pic:spPr>
                        </pic:pic>
                        <pic:pic xmlns:pic="http://schemas.openxmlformats.org/drawingml/2006/picture">
                          <pic:nvPicPr>
                            <pic:cNvPr id="36" name="Graphic 55" descr="Medicine with solid fill"/>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382148" y="956519"/>
                              <a:ext cx="539999" cy="539999"/>
                            </a:xfrm>
                            <a:prstGeom prst="rect">
                              <a:avLst/>
                            </a:prstGeom>
                          </pic:spPr>
                        </pic:pic>
                      </wpg:grpSp>
                      <wps:wsp>
                        <wps:cNvPr id="1" name="Text Box 1"/>
                        <wps:cNvSpPr txBox="1">
                          <a:spLocks noChangeArrowheads="1"/>
                        </wps:cNvSpPr>
                        <wps:spPr bwMode="auto">
                          <a:xfrm>
                            <a:off x="469557" y="8476735"/>
                            <a:ext cx="6808470" cy="725170"/>
                          </a:xfrm>
                          <a:prstGeom prst="rect">
                            <a:avLst/>
                          </a:prstGeom>
                          <a:noFill/>
                          <a:ln w="9525">
                            <a:noFill/>
                            <a:miter lim="800000"/>
                            <a:headEnd/>
                            <a:tailEnd/>
                          </a:ln>
                        </wps:spPr>
                        <wps:txbx>
                          <w:txbxContent>
                            <w:p w14:paraId="0CFB2E82" w14:textId="77777777" w:rsidR="004C652A" w:rsidRPr="002E2F41" w:rsidRDefault="004C652A" w:rsidP="004C652A">
                              <w:pPr>
                                <w:spacing w:line="240" w:lineRule="auto"/>
                                <w:rPr>
                                  <w:rFonts w:cs="Segoe UI"/>
                                  <w:color w:val="44546A"/>
                                </w:rPr>
                              </w:pPr>
                              <w:r w:rsidRPr="002E2F41">
                                <w:rPr>
                                  <w:rFonts w:cs="Segoe UI"/>
                                  <w:color w:val="44546A"/>
                                </w:rPr>
                                <w:t xml:space="preserve">Report of the Health Technology Assessment Policy and Methods Review Reference Committee </w:t>
                              </w:r>
                            </w:p>
                            <w:p w14:paraId="1B33ED66" w14:textId="77777777" w:rsidR="004C652A" w:rsidRPr="002E2F41" w:rsidRDefault="004C652A" w:rsidP="004C652A">
                              <w:pPr>
                                <w:rPr>
                                  <w:rFonts w:cs="Segoe UI"/>
                                  <w:color w:val="44546A"/>
                                </w:rPr>
                              </w:pPr>
                              <w:r w:rsidRPr="002E2F41">
                                <w:rPr>
                                  <w:rFonts w:cs="Segoe UI"/>
                                  <w:color w:val="44546A"/>
                                </w:rPr>
                                <w:t>January 2024</w:t>
                              </w:r>
                            </w:p>
                          </w:txbxContent>
                        </wps:txbx>
                        <wps:bodyPr rot="0" vert="horz" wrap="square" lIns="91440" tIns="45720" rIns="91440" bIns="45720" anchor="t" anchorCtr="0">
                          <a:spAutoFit/>
                        </wps:bodyPr>
                      </wps:wsp>
                      <wps:wsp>
                        <wps:cNvPr id="217" name="Text Box 217"/>
                        <wps:cNvSpPr txBox="1">
                          <a:spLocks noChangeArrowheads="1"/>
                        </wps:cNvSpPr>
                        <wps:spPr bwMode="auto">
                          <a:xfrm>
                            <a:off x="395416" y="1432560"/>
                            <a:ext cx="6943724" cy="1692274"/>
                          </a:xfrm>
                          <a:prstGeom prst="rect">
                            <a:avLst/>
                          </a:prstGeom>
                          <a:noFill/>
                          <a:ln w="9525">
                            <a:noFill/>
                            <a:miter lim="800000"/>
                            <a:headEnd/>
                            <a:tailEnd/>
                          </a:ln>
                        </wps:spPr>
                        <wps:txbx>
                          <w:txbxContent>
                            <w:p w14:paraId="32271010" w14:textId="77777777" w:rsidR="004C652A" w:rsidRPr="00CF3B56" w:rsidRDefault="004C652A" w:rsidP="004C652A">
                              <w:pPr>
                                <w:spacing w:after="0" w:line="240" w:lineRule="auto"/>
                                <w:ind w:left="2127" w:right="-472"/>
                                <w:rPr>
                                  <w:rFonts w:ascii="Calibri" w:eastAsia="Times New Roman" w:hAnsi="Calibri" w:cs="Arial"/>
                                  <w:color w:val="44546A"/>
                                  <w:kern w:val="24"/>
                                  <w:sz w:val="56"/>
                                  <w:szCs w:val="56"/>
                                </w:rPr>
                              </w:pPr>
                              <w:r w:rsidRPr="00CF3B56">
                                <w:rPr>
                                  <w:rFonts w:ascii="Calibri" w:eastAsia="Times New Roman" w:hAnsi="Calibri" w:cs="Arial"/>
                                  <w:color w:val="44546A"/>
                                  <w:kern w:val="24"/>
                                  <w:sz w:val="56"/>
                                  <w:szCs w:val="56"/>
                                </w:rPr>
                                <w:t xml:space="preserve">Health </w:t>
                              </w:r>
                              <w:r w:rsidRPr="00F31849">
                                <w:rPr>
                                  <w:rFonts w:ascii="Calibri" w:eastAsia="Times New Roman" w:hAnsi="Calibri" w:cs="Arial"/>
                                  <w:color w:val="44546A"/>
                                  <w:kern w:val="24"/>
                                  <w:sz w:val="56"/>
                                  <w:szCs w:val="56"/>
                                </w:rPr>
                                <w:t>Technology</w:t>
                              </w:r>
                              <w:r w:rsidRPr="00CF3B56">
                                <w:rPr>
                                  <w:rFonts w:ascii="Calibri" w:eastAsia="Times New Roman" w:hAnsi="Calibri" w:cs="Arial"/>
                                  <w:color w:val="44546A"/>
                                  <w:kern w:val="24"/>
                                  <w:sz w:val="56"/>
                                  <w:szCs w:val="56"/>
                                </w:rPr>
                                <w:t xml:space="preserve"> Assessment </w:t>
                              </w:r>
                            </w:p>
                            <w:p w14:paraId="1F9FFD85" w14:textId="77777777" w:rsidR="004C652A" w:rsidRPr="00CF3B56" w:rsidRDefault="004C652A" w:rsidP="004C652A">
                              <w:pPr>
                                <w:spacing w:after="0" w:line="240" w:lineRule="auto"/>
                                <w:ind w:left="2127" w:right="-472"/>
                                <w:rPr>
                                  <w:rFonts w:ascii="Calibri" w:eastAsia="Times New Roman" w:hAnsi="Calibri" w:cs="Arial"/>
                                  <w:color w:val="44546A"/>
                                  <w:kern w:val="24"/>
                                  <w:sz w:val="56"/>
                                  <w:szCs w:val="56"/>
                                </w:rPr>
                              </w:pPr>
                              <w:r w:rsidRPr="00CF3B56">
                                <w:rPr>
                                  <w:rFonts w:ascii="Calibri" w:eastAsia="Times New Roman" w:hAnsi="Calibri" w:cs="Arial"/>
                                  <w:color w:val="44546A"/>
                                  <w:kern w:val="24"/>
                                  <w:sz w:val="56"/>
                                  <w:szCs w:val="56"/>
                                </w:rPr>
                                <w:t>Policy and Methods Review</w:t>
                              </w:r>
                            </w:p>
                            <w:p w14:paraId="57CDAAA3" w14:textId="77777777" w:rsidR="004C652A" w:rsidRPr="00A05178" w:rsidRDefault="004C652A" w:rsidP="004C652A">
                              <w:pPr>
                                <w:spacing w:after="0" w:line="240" w:lineRule="auto"/>
                                <w:ind w:left="2127"/>
                                <w:rPr>
                                  <w:rFonts w:ascii="Calibri" w:eastAsia="Times New Roman" w:hAnsi="Calibri" w:cs="Arial"/>
                                  <w:color w:val="ACBF29"/>
                                  <w:kern w:val="24"/>
                                  <w:sz w:val="48"/>
                                  <w:szCs w:val="48"/>
                                </w:rPr>
                              </w:pPr>
                              <w:r w:rsidRPr="00A05178">
                                <w:rPr>
                                  <w:rFonts w:ascii="Calibri" w:eastAsia="Times New Roman" w:hAnsi="Calibri" w:cs="Arial"/>
                                  <w:color w:val="ACBF29"/>
                                  <w:kern w:val="24"/>
                                  <w:sz w:val="52"/>
                                  <w:szCs w:val="52"/>
                                </w:rPr>
                                <w:t>C</w:t>
                              </w:r>
                              <w:r w:rsidRPr="00A05178">
                                <w:rPr>
                                  <w:rFonts w:ascii="Calibri" w:eastAsia="Times New Roman" w:hAnsi="Calibri" w:cs="Arial"/>
                                  <w:color w:val="ACBF29"/>
                                  <w:kern w:val="24"/>
                                  <w:sz w:val="48"/>
                                  <w:szCs w:val="48"/>
                                </w:rPr>
                                <w:t>onsultation options paper</w:t>
                              </w:r>
                            </w:p>
                            <w:p w14:paraId="08180875" w14:textId="77777777" w:rsidR="004C652A" w:rsidRDefault="004C652A" w:rsidP="004C652A"/>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A1AFBF" id="Group 3" o:spid="_x0000_s1026" style="position:absolute;margin-left:-76.8pt;margin-top:30.15pt;width:652.5pt;height:726.2pt;z-index:251658248;mso-height-relative:margin" coordsize="82867,92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">
                <v:rect id="Rectangle 2" o:spid="_x0000_s1027" style="position:absolute;left:3459;width:69368;height:9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" fillcolor="#e6e6e6" stroked="f" strokeweight="1pt"/>
                <v:rect id="Rectangle 8" o:spid="_x0000_s1028" style="position:absolute;top:9638;width:82867;height:18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" fillcolor="window" stroked="f" strokeweight="1pt"/>
                <v:group id="Group 9" o:spid="_x0000_s1029" style="position:absolute;left:2224;top:10570;width:20155;height:16573;rotation:2" coordsize="45961,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">
                  <o:lock v:ext="edit" aspectratio="t"/>
                  <v:group id="Group 10" o:spid="_x0000_s1030" style="position:absolute;width:45961;height:31533;rotation:9715174fd" coordsize="45961,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31" type="#_x0000_t9" style="position:absolute;left:-669;top:13608;width:9984;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" adj="5411" fillcolor="#a7b12f" stroked="f" strokeweight="1pt"/>
                    <v:group id="Group 13" o:spid="_x0000_s1032" style="position:absolute;left:7478;width:38483;height:31533" coordorigin="7478" coordsize="38482,3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Hexagon 14" o:spid="_x0000_s1033" type="#_x0000_t9" style="position:absolute;left:36646;top:759;width:9984;height:8647;rotation:-78210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" adj="5411" fillcolor="#1390cf" stroked="f" strokeweight="1pt"/>
                      <v:shape id="Hexagon 15" o:spid="_x0000_s1034" type="#_x0000_t9" style="position:absolute;left:21739;top:9261;width:9983;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" adj="5411" fillcolor="#a7b12f" stroked="f" strokeweight="1pt"/>
                      <v:shape id="Hexagon 16" o:spid="_x0000_s1035" type="#_x0000_t9" style="position:absolute;left:29217;top:13559;width:9983;height:864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" adj="5411" fillcolor="#1390cf" stroked="f" strokeweight="1pt"/>
                      <v:shape id="Hexagon 17" o:spid="_x0000_s1036" type="#_x0000_t9" style="position:absolute;left:36646;top:9296;width:9984;height:864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" adj="5411" fillcolor="#153a6e" stroked="f" strokeweight="1pt"/>
                      <v:shape id="Hexagon 18" o:spid="_x0000_s1037" type="#_x0000_t9" style="position:absolute;left:29217;top:4959;width:9984;height:864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" adj="5411" fillcolor="#009eba" stroked="f" strokeweight="1pt"/>
                      <v:shape id="Hexagon 19" o:spid="_x0000_s1038" type="#_x0000_t9" style="position:absolute;left:21739;top:17881;width:9984;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" adj="5411" fillcolor="#153a6e" stroked="f" strokeweight="1pt"/>
                      <v:shape id="Hexagon 20" o:spid="_x0000_s1039" type="#_x0000_t9" style="position:absolute;left:29168;top:22151;width:9984;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" adj="5411" fillcolor="#a7b12f" stroked="f" strokeweight="1pt"/>
                      <v:shape id="Hexagon 21" o:spid="_x0000_s1040" type="#_x0000_t9" style="position:absolute;left:14261;top:22218;width:9984;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" adj="5411" fillcolor="#a7b12f" stroked="f" strokeweight="1pt"/>
                      <v:shape id="Hexagon 22" o:spid="_x0000_s1041" type="#_x0000_t9" style="position:absolute;left:21911;top:669;width:9983;height:8646;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" adj="5411" fillcolor="#153a6e" stroked="f" strokeweight="1pt"/>
                      <v:shape id="Hexagon 23" o:spid="_x0000_s1042" type="#_x0000_t9" style="position:absolute;left:14286;top:13607;width:9984;height:864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" adj="5411" fillcolor="#1390cf" stroked="f" strokeweight="1pt"/>
                      <v:shape id="Hexagon 24" o:spid="_x0000_s1043" type="#_x0000_t9" style="position:absolute;left:6810;top:17896;width:9984;height:8647;rotation:-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" adj="5411" fillcolor="#153a6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9" o:spid="_x0000_s1044" type="#_x0000_t75" alt="Care with solid fill" style="position:absolute;left:38725;top:10818;width:5797;height:5797;rotation:-97151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">
                        <v:imagedata r:id="rId32" o:title="Care with solid fill"/>
                      </v:shape>
                    </v:group>
                  </v:group>
                  <v:shape id="Graphic 30" o:spid="_x0000_s1045" type="#_x0000_t75" alt="Cheers with solid fill" style="position:absolute;left:13501;top:24151;width:6324;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">
                    <v:imagedata r:id="rId33" o:title="Cheers with solid fill"/>
                  </v:shape>
                  <v:shape id="Graphic 31" o:spid="_x0000_s1046" type="#_x0000_t75" alt="Mental Health with solid fill" style="position:absolute;left:22539;top:9527;width:4899;height:4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">
                    <v:imagedata r:id="rId34" o:title="Mental Health with solid fill"/>
                  </v:shape>
                  <v:shape id="Graphic 32" o:spid="_x0000_s1047" type="#_x0000_t75" alt="Medical with solid fill" style="position:absolute;left:34771;top:1072;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">
                    <v:imagedata r:id="rId35" o:title="Medical with solid fill"/>
                  </v:shape>
                  <v:shape id="Graphic 33" o:spid="_x0000_s1048" type="#_x0000_t75" alt="Users with solid fill" style="position:absolute;left:9672;top:31967;width:5797;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">
                    <v:imagedata r:id="rId36" o:title="Users with solid fill"/>
                  </v:shape>
                  <v:shape id="Graphic 34" o:spid="_x0000_s1049" type="#_x0000_t75" alt="Lightbulb and gear outline" style="position:absolute;left:17546;top:1728;width:5797;height: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">
                    <v:imagedata r:id="rId37" o:title="Lightbulb and gear outline"/>
                  </v:shape>
                  <v:shape id="Graphic 36" o:spid="_x0000_s1050" type="#_x0000_t75" alt="Scribble with solid fill" style="position:absolute;left:22503;top:24076;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">
                    <v:imagedata r:id="rId38" o:title="Scribble with solid fill"/>
                  </v:shape>
                  <v:shape id="Graphic 37" o:spid="_x0000_s1051" type="#_x0000_t75" alt="Social network with solid fill" style="position:absolute;left:17514;top:16171;width:6851;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">
                    <v:imagedata r:id="rId39" o:title="Social network with solid fill"/>
                  </v:shape>
                  <v:shape id="Graphic 38" o:spid="_x0000_s1052" type="#_x0000_t75" alt="Magnifying glass with solid fill" style="position:absolute;left:25806;top:1113;width:6564;height:6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">
                    <v:imagedata r:id="rId40" o:title="Magnifying glass with solid fill"/>
                  </v:shape>
                  <v:shape id="Graphic 39" o:spid="_x0000_s1053" type="#_x0000_t75" alt="DNA with solid fill" style="position:absolute;left:9320;top:17204;width:5798;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">
                    <v:imagedata r:id="rId41" o:title="DNA with solid fill"/>
                  </v:shape>
                  <v:shape id="Graphic 47" o:spid="_x0000_s1054" type="#_x0000_t75" alt="Eye dropper with solid fill" style="position:absolute;left:5389;top:10097;width:4898;height:4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">
                    <v:imagedata r:id="rId42" o:title="Eye dropper with solid fill"/>
                  </v:shape>
                  <v:shape id="Graphic 55" o:spid="_x0000_s1055" type="#_x0000_t75" alt="Medicine with solid fill" style="position:absolute;left:13821;top:9565;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">
                    <v:imagedata r:id="rId43" o:title="Medicine with solid fill"/>
                  </v:shape>
                </v:group>
                <v:shapetype id="_x0000_t202" coordsize="21600,21600" o:spt="202" path="m,l,21600r21600,l21600,xe">
                  <v:stroke joinstyle="miter"/>
                  <v:path gradientshapeok="t" o:connecttype="rect"/>
                </v:shapetype>
                <v:shape id="Text Box 1" o:spid="_x0000_s1056" type="#_x0000_t202" style="position:absolute;left:4695;top:84767;width:68085;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0CFB2E82" w14:textId="77777777" w:rsidR="004C652A" w:rsidRPr="002E2F41" w:rsidRDefault="004C652A" w:rsidP="004C652A">
                        <w:pPr>
                          <w:spacing w:line="240" w:lineRule="auto"/>
                          <w:rPr>
                            <w:rFonts w:cs="Segoe UI"/>
                            <w:color w:val="44546A"/>
                          </w:rPr>
                        </w:pPr>
                        <w:r w:rsidRPr="002E2F41">
                          <w:rPr>
                            <w:rFonts w:cs="Segoe UI"/>
                            <w:color w:val="44546A"/>
                          </w:rPr>
                          <w:t xml:space="preserve">Report of the Health Technology Assessment Policy and Methods Review Reference Committee </w:t>
                        </w:r>
                      </w:p>
                      <w:p w14:paraId="1B33ED66" w14:textId="77777777" w:rsidR="004C652A" w:rsidRPr="002E2F41" w:rsidRDefault="004C652A" w:rsidP="004C652A">
                        <w:pPr>
                          <w:rPr>
                            <w:rFonts w:cs="Segoe UI"/>
                            <w:color w:val="44546A"/>
                          </w:rPr>
                        </w:pPr>
                        <w:r w:rsidRPr="002E2F41">
                          <w:rPr>
                            <w:rFonts w:cs="Segoe UI"/>
                            <w:color w:val="44546A"/>
                          </w:rPr>
                          <w:t>January 2024</w:t>
                        </w:r>
                      </w:p>
                    </w:txbxContent>
                  </v:textbox>
                </v:shape>
                <v:shape id="Text Box 217" o:spid="_x0000_s1057" type="#_x0000_t202" style="position:absolute;left:3954;top:14325;width:69437;height:16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2271010" w14:textId="77777777" w:rsidR="004C652A" w:rsidRPr="00CF3B56" w:rsidRDefault="004C652A" w:rsidP="004C652A">
                        <w:pPr>
                          <w:spacing w:after="0" w:line="240" w:lineRule="auto"/>
                          <w:ind w:left="2127" w:right="-472"/>
                          <w:rPr>
                            <w:rFonts w:ascii="Calibri" w:eastAsia="Times New Roman" w:hAnsi="Calibri" w:cs="Arial"/>
                            <w:color w:val="44546A"/>
                            <w:kern w:val="24"/>
                            <w:sz w:val="56"/>
                            <w:szCs w:val="56"/>
                          </w:rPr>
                        </w:pPr>
                        <w:r w:rsidRPr="00CF3B56">
                          <w:rPr>
                            <w:rFonts w:ascii="Calibri" w:eastAsia="Times New Roman" w:hAnsi="Calibri" w:cs="Arial"/>
                            <w:color w:val="44546A"/>
                            <w:kern w:val="24"/>
                            <w:sz w:val="56"/>
                            <w:szCs w:val="56"/>
                          </w:rPr>
                          <w:t xml:space="preserve">Health </w:t>
                        </w:r>
                        <w:r w:rsidRPr="00F31849">
                          <w:rPr>
                            <w:rFonts w:ascii="Calibri" w:eastAsia="Times New Roman" w:hAnsi="Calibri" w:cs="Arial"/>
                            <w:color w:val="44546A"/>
                            <w:kern w:val="24"/>
                            <w:sz w:val="56"/>
                            <w:szCs w:val="56"/>
                          </w:rPr>
                          <w:t>Technology</w:t>
                        </w:r>
                        <w:r w:rsidRPr="00CF3B56">
                          <w:rPr>
                            <w:rFonts w:ascii="Calibri" w:eastAsia="Times New Roman" w:hAnsi="Calibri" w:cs="Arial"/>
                            <w:color w:val="44546A"/>
                            <w:kern w:val="24"/>
                            <w:sz w:val="56"/>
                            <w:szCs w:val="56"/>
                          </w:rPr>
                          <w:t xml:space="preserve"> Assessment </w:t>
                        </w:r>
                      </w:p>
                      <w:p w14:paraId="1F9FFD85" w14:textId="77777777" w:rsidR="004C652A" w:rsidRPr="00CF3B56" w:rsidRDefault="004C652A" w:rsidP="004C652A">
                        <w:pPr>
                          <w:spacing w:after="0" w:line="240" w:lineRule="auto"/>
                          <w:ind w:left="2127" w:right="-472"/>
                          <w:rPr>
                            <w:rFonts w:ascii="Calibri" w:eastAsia="Times New Roman" w:hAnsi="Calibri" w:cs="Arial"/>
                            <w:color w:val="44546A"/>
                            <w:kern w:val="24"/>
                            <w:sz w:val="56"/>
                            <w:szCs w:val="56"/>
                          </w:rPr>
                        </w:pPr>
                        <w:r w:rsidRPr="00CF3B56">
                          <w:rPr>
                            <w:rFonts w:ascii="Calibri" w:eastAsia="Times New Roman" w:hAnsi="Calibri" w:cs="Arial"/>
                            <w:color w:val="44546A"/>
                            <w:kern w:val="24"/>
                            <w:sz w:val="56"/>
                            <w:szCs w:val="56"/>
                          </w:rPr>
                          <w:t>Policy and Methods Review</w:t>
                        </w:r>
                      </w:p>
                      <w:p w14:paraId="57CDAAA3" w14:textId="77777777" w:rsidR="004C652A" w:rsidRPr="00A05178" w:rsidRDefault="004C652A" w:rsidP="004C652A">
                        <w:pPr>
                          <w:spacing w:after="0" w:line="240" w:lineRule="auto"/>
                          <w:ind w:left="2127"/>
                          <w:rPr>
                            <w:rFonts w:ascii="Calibri" w:eastAsia="Times New Roman" w:hAnsi="Calibri" w:cs="Arial"/>
                            <w:color w:val="ACBF29"/>
                            <w:kern w:val="24"/>
                            <w:sz w:val="48"/>
                            <w:szCs w:val="48"/>
                          </w:rPr>
                        </w:pPr>
                        <w:r w:rsidRPr="00A05178">
                          <w:rPr>
                            <w:rFonts w:ascii="Calibri" w:eastAsia="Times New Roman" w:hAnsi="Calibri" w:cs="Arial"/>
                            <w:color w:val="ACBF29"/>
                            <w:kern w:val="24"/>
                            <w:sz w:val="52"/>
                            <w:szCs w:val="52"/>
                          </w:rPr>
                          <w:t>C</w:t>
                        </w:r>
                        <w:r w:rsidRPr="00A05178">
                          <w:rPr>
                            <w:rFonts w:ascii="Calibri" w:eastAsia="Times New Roman" w:hAnsi="Calibri" w:cs="Arial"/>
                            <w:color w:val="ACBF29"/>
                            <w:kern w:val="24"/>
                            <w:sz w:val="48"/>
                            <w:szCs w:val="48"/>
                          </w:rPr>
                          <w:t>onsultation options paper</w:t>
                        </w:r>
                      </w:p>
                      <w:p w14:paraId="08180875" w14:textId="77777777" w:rsidR="004C652A" w:rsidRDefault="004C652A" w:rsidP="004C652A"/>
                    </w:txbxContent>
                  </v:textbox>
                </v:shape>
              </v:group>
            </w:pict>
          </mc:Fallback>
        </mc:AlternateContent>
      </w:r>
    </w:p>
    <w:p w14:paraId="5EAC210B" w14:textId="25610506" w:rsidR="00877377" w:rsidRDefault="00877377">
      <w:bookmarkStart w:id="0" w:name="_Toc543313177"/>
      <w:r w:rsidRPr="006647C5">
        <w:rPr>
          <w:rFonts w:cs="Segoe UI"/>
        </w:rPr>
        <w:br w:type="page"/>
      </w:r>
    </w:p>
    <w:p w14:paraId="533563B6" w14:textId="77777777" w:rsidR="002B498D" w:rsidRDefault="002B498D" w:rsidP="008C10BB"/>
    <w:p w14:paraId="5B56DFAC" w14:textId="77777777" w:rsidR="000D03F9" w:rsidRDefault="000D03F9" w:rsidP="008C10BB"/>
    <w:p w14:paraId="74BAED9F" w14:textId="77777777" w:rsidR="001E103F" w:rsidRDefault="001E103F" w:rsidP="008C10BB"/>
    <w:p w14:paraId="68D57A95" w14:textId="77777777" w:rsidR="001E103F" w:rsidRDefault="001E103F" w:rsidP="008C10BB"/>
    <w:p w14:paraId="23DF9608" w14:textId="77777777" w:rsidR="001E103F" w:rsidRDefault="001E103F" w:rsidP="008C10BB"/>
    <w:p w14:paraId="26742B51" w14:textId="77777777" w:rsidR="001E103F" w:rsidRDefault="001E103F" w:rsidP="008C10BB"/>
    <w:p w14:paraId="310CE121" w14:textId="77777777" w:rsidR="001E103F" w:rsidRDefault="001E103F" w:rsidP="008C10BB"/>
    <w:p w14:paraId="767DFB86" w14:textId="77777777" w:rsidR="001E103F" w:rsidRDefault="001E103F" w:rsidP="008C10BB"/>
    <w:p w14:paraId="2F10AAAD" w14:textId="77777777" w:rsidR="001E103F" w:rsidRDefault="001E103F" w:rsidP="008C10BB"/>
    <w:p w14:paraId="4E27DCEA" w14:textId="77777777" w:rsidR="001E103F" w:rsidRDefault="001E103F" w:rsidP="008C10BB"/>
    <w:p w14:paraId="08D7DFB0" w14:textId="77777777" w:rsidR="001E103F" w:rsidRDefault="001E103F" w:rsidP="008C10BB"/>
    <w:p w14:paraId="757E667B" w14:textId="77777777" w:rsidR="001E103F" w:rsidRDefault="001E103F" w:rsidP="008C10BB"/>
    <w:p w14:paraId="4AA24BD6" w14:textId="77777777" w:rsidR="001E103F" w:rsidRDefault="001E103F" w:rsidP="008C10BB"/>
    <w:p w14:paraId="056484D5" w14:textId="77777777" w:rsidR="001E103F" w:rsidRDefault="001E103F" w:rsidP="008C10BB"/>
    <w:p w14:paraId="0470AD2E" w14:textId="77777777" w:rsidR="001E103F" w:rsidRDefault="001E103F" w:rsidP="008C10BB"/>
    <w:p w14:paraId="1635AFAB" w14:textId="77777777" w:rsidR="001E103F" w:rsidRDefault="001E103F" w:rsidP="008C10BB"/>
    <w:p w14:paraId="4CE63FCE" w14:textId="77777777" w:rsidR="001E103F" w:rsidRDefault="001E103F" w:rsidP="008C10BB"/>
    <w:p w14:paraId="5494D9AD" w14:textId="77777777" w:rsidR="001E103F" w:rsidRDefault="001E103F" w:rsidP="008C10BB"/>
    <w:p w14:paraId="6E32FAEB" w14:textId="77777777" w:rsidR="001E103F" w:rsidRDefault="001E103F" w:rsidP="008C10BB"/>
    <w:p w14:paraId="4E304EC6" w14:textId="77777777" w:rsidR="001E103F" w:rsidRDefault="001E103F" w:rsidP="008C10BB"/>
    <w:p w14:paraId="0C16E120" w14:textId="77777777" w:rsidR="001E103F" w:rsidRDefault="001E103F" w:rsidP="008C10BB"/>
    <w:p w14:paraId="4B4258A4" w14:textId="77777777" w:rsidR="001E103F" w:rsidRDefault="001E103F" w:rsidP="008C10BB"/>
    <w:p w14:paraId="41991888" w14:textId="77777777" w:rsidR="001E103F" w:rsidRDefault="001E103F" w:rsidP="008C10BB"/>
    <w:p w14:paraId="55F8DC7F" w14:textId="77777777" w:rsidR="001E103F" w:rsidRDefault="001E103F" w:rsidP="008C10BB"/>
    <w:p w14:paraId="10C9D850" w14:textId="77777777" w:rsidR="001E103F" w:rsidRDefault="001E103F" w:rsidP="008C10BB"/>
    <w:p w14:paraId="7A3FCFE0" w14:textId="77777777" w:rsidR="001E103F" w:rsidRDefault="001E103F" w:rsidP="008C10BB"/>
    <w:p w14:paraId="6E29CBF4" w14:textId="77777777" w:rsidR="001E103F" w:rsidRDefault="001E103F" w:rsidP="008C10BB"/>
    <w:p w14:paraId="360057C7" w14:textId="757FC299" w:rsidR="00F65473" w:rsidRDefault="0099524F" w:rsidP="00F65473">
      <w:pPr>
        <w:rPr>
          <w:rFonts w:cs="Segoe UI"/>
          <w:color w:val="313131"/>
          <w:shd w:val="clear" w:color="auto" w:fill="FFFFFF"/>
        </w:rPr>
      </w:pPr>
      <w:r>
        <w:t>T</w:t>
      </w:r>
      <w:r w:rsidR="00264392">
        <w:t>his</w:t>
      </w:r>
      <w:r w:rsidR="00E65836">
        <w:t xml:space="preserve"> is</w:t>
      </w:r>
      <w:r w:rsidR="00264392">
        <w:t xml:space="preserve"> </w:t>
      </w:r>
      <w:r w:rsidR="00E00CB2">
        <w:t>a</w:t>
      </w:r>
      <w:r w:rsidR="00264392">
        <w:t xml:space="preserve"> report </w:t>
      </w:r>
      <w:r w:rsidR="00C54B5B">
        <w:t xml:space="preserve">of </w:t>
      </w:r>
      <w:r w:rsidR="004B48EA">
        <w:t xml:space="preserve">the </w:t>
      </w:r>
      <w:hyperlink r:id="rId44" w:history="1">
        <w:r w:rsidR="004B48EA" w:rsidRPr="00810FE9">
          <w:rPr>
            <w:rStyle w:val="Hyperlink"/>
            <w:rFonts w:cs="Segoe UI"/>
            <w:shd w:val="clear" w:color="auto" w:fill="FFFFFF"/>
          </w:rPr>
          <w:t>HTA Review Reference Committee</w:t>
        </w:r>
      </w:hyperlink>
      <w:r w:rsidR="004B48EA">
        <w:rPr>
          <w:rFonts w:cs="Segoe UI"/>
          <w:color w:val="313131"/>
          <w:shd w:val="clear" w:color="auto" w:fill="FFFFFF"/>
        </w:rPr>
        <w:t>, which is overseeing the Health Technology Assessment Policy and Methods Review</w:t>
      </w:r>
      <w:r w:rsidR="0033194D">
        <w:rPr>
          <w:rFonts w:cs="Segoe UI"/>
          <w:color w:val="313131"/>
          <w:shd w:val="clear" w:color="auto" w:fill="FFFFFF"/>
        </w:rPr>
        <w:t>.</w:t>
      </w:r>
      <w:r w:rsidR="003075B4">
        <w:rPr>
          <w:rFonts w:cs="Segoe UI"/>
          <w:color w:val="313131"/>
          <w:shd w:val="clear" w:color="auto" w:fill="FFFFFF"/>
        </w:rPr>
        <w:t xml:space="preserve"> </w:t>
      </w:r>
      <w:r w:rsidR="009C0687">
        <w:rPr>
          <w:rFonts w:cs="Segoe UI"/>
          <w:color w:val="313131"/>
          <w:shd w:val="clear" w:color="auto" w:fill="FFFFFF"/>
        </w:rPr>
        <w:t xml:space="preserve">Statements using </w:t>
      </w:r>
      <w:r w:rsidR="00916F53">
        <w:rPr>
          <w:rFonts w:cs="Segoe UI"/>
          <w:color w:val="313131"/>
          <w:shd w:val="clear" w:color="auto" w:fill="FFFFFF"/>
        </w:rPr>
        <w:t xml:space="preserve">terms </w:t>
      </w:r>
      <w:r w:rsidR="0012670D">
        <w:rPr>
          <w:rFonts w:cs="Segoe UI"/>
          <w:color w:val="313131"/>
          <w:shd w:val="clear" w:color="auto" w:fill="FFFFFF"/>
        </w:rPr>
        <w:t>such as</w:t>
      </w:r>
      <w:r w:rsidR="009C0687">
        <w:rPr>
          <w:rFonts w:cs="Segoe UI"/>
          <w:color w:val="313131"/>
          <w:shd w:val="clear" w:color="auto" w:fill="FFFFFF"/>
        </w:rPr>
        <w:t xml:space="preserve"> ‘we’ </w:t>
      </w:r>
      <w:r w:rsidR="00CA3FB1">
        <w:rPr>
          <w:rFonts w:cs="Segoe UI"/>
          <w:color w:val="313131"/>
          <w:shd w:val="clear" w:color="auto" w:fill="FFFFFF"/>
        </w:rPr>
        <w:t>are</w:t>
      </w:r>
      <w:r w:rsidR="00EC1A71">
        <w:rPr>
          <w:rFonts w:cs="Segoe UI"/>
          <w:color w:val="313131"/>
          <w:shd w:val="clear" w:color="auto" w:fill="FFFFFF"/>
        </w:rPr>
        <w:t xml:space="preserve"> referring to</w:t>
      </w:r>
      <w:r w:rsidR="003075B4">
        <w:rPr>
          <w:rFonts w:cs="Segoe UI"/>
          <w:color w:val="313131"/>
          <w:shd w:val="clear" w:color="auto" w:fill="FFFFFF"/>
        </w:rPr>
        <w:t xml:space="preserve"> the </w:t>
      </w:r>
      <w:r w:rsidR="009C0687">
        <w:rPr>
          <w:rFonts w:cs="Segoe UI"/>
          <w:color w:val="313131"/>
          <w:shd w:val="clear" w:color="auto" w:fill="FFFFFF"/>
        </w:rPr>
        <w:t>Reference Committee</w:t>
      </w:r>
      <w:r w:rsidR="00E61A0B">
        <w:rPr>
          <w:rFonts w:cs="Segoe UI"/>
          <w:color w:val="313131"/>
          <w:shd w:val="clear" w:color="auto" w:fill="FFFFFF"/>
        </w:rPr>
        <w:t>.</w:t>
      </w:r>
      <w:r w:rsidR="003075B4">
        <w:rPr>
          <w:rFonts w:cs="Segoe UI"/>
          <w:color w:val="313131"/>
          <w:shd w:val="clear" w:color="auto" w:fill="FFFFFF"/>
        </w:rPr>
        <w:t xml:space="preserve"> </w:t>
      </w:r>
    </w:p>
    <w:p w14:paraId="34729A49" w14:textId="77777777" w:rsidR="002015B5" w:rsidRDefault="0099524F">
      <w:pPr>
        <w:sectPr w:rsidR="002015B5" w:rsidSect="00675C83">
          <w:headerReference w:type="default" r:id="rId45"/>
          <w:footerReference w:type="even" r:id="rId46"/>
          <w:footerReference w:type="default" r:id="rId47"/>
          <w:headerReference w:type="first" r:id="rId48"/>
          <w:pgSz w:w="11906" w:h="16838"/>
          <w:pgMar w:top="-357" w:right="1440" w:bottom="1135" w:left="1440" w:header="708" w:footer="708" w:gutter="0"/>
          <w:pgNumType w:start="0"/>
          <w:cols w:space="708"/>
          <w:titlePg/>
          <w:docGrid w:linePitch="360"/>
        </w:sectPr>
      </w:pPr>
      <w:r>
        <w:br w:type="page"/>
      </w:r>
    </w:p>
    <w:p w14:paraId="5A764203" w14:textId="0A9A2C15" w:rsidR="004349E2" w:rsidRPr="00CF3B56" w:rsidRDefault="004349E2" w:rsidP="008C10BB">
      <w:pPr>
        <w:pStyle w:val="Heading1"/>
        <w:numPr>
          <w:ilvl w:val="0"/>
          <w:numId w:val="0"/>
        </w:numPr>
        <w:spacing w:line="259" w:lineRule="auto"/>
      </w:pPr>
      <w:bookmarkStart w:id="1" w:name="_Toc157029017"/>
      <w:bookmarkStart w:id="2" w:name="_Toc157029470"/>
      <w:bookmarkStart w:id="3" w:name="_Toc157030162"/>
      <w:r>
        <w:lastRenderedPageBreak/>
        <w:t>Overview</w:t>
      </w:r>
      <w:bookmarkEnd w:id="1"/>
      <w:bookmarkEnd w:id="2"/>
      <w:bookmarkEnd w:id="3"/>
    </w:p>
    <w:p w14:paraId="05CF467C" w14:textId="327CF602" w:rsidR="004349E2" w:rsidRDefault="004349E2" w:rsidP="004349E2">
      <w:r>
        <w:t xml:space="preserve">The Reference Committee for the </w:t>
      </w:r>
      <w:r w:rsidR="007A0E32">
        <w:rPr>
          <w:rFonts w:cs="Segoe UI"/>
          <w:color w:val="313131"/>
          <w:shd w:val="clear" w:color="auto" w:fill="FFFFFF"/>
        </w:rPr>
        <w:t>Health Technology Assessment Policy and Methods Review</w:t>
      </w:r>
      <w:r w:rsidR="007A0E32">
        <w:t xml:space="preserve"> (</w:t>
      </w:r>
      <w:r>
        <w:t>HTA Review</w:t>
      </w:r>
      <w:r w:rsidR="007A0E32">
        <w:t>)</w:t>
      </w:r>
      <w:r>
        <w:t xml:space="preserve"> has received extensive inputs in relation to Health Technology Assessment </w:t>
      </w:r>
      <w:r w:rsidR="00D915EB">
        <w:t xml:space="preserve">(HTA) </w:t>
      </w:r>
      <w:r>
        <w:t xml:space="preserve">systems in Australia and overseas – how they are performing, and how well they are serving the needs of Australians. </w:t>
      </w:r>
    </w:p>
    <w:p w14:paraId="7BCFAAE8" w14:textId="3A67AE9F" w:rsidR="004349E2" w:rsidRDefault="004349E2" w:rsidP="004349E2">
      <w:r>
        <w:t xml:space="preserve">This paper presents options for reform being considered by the Reference Committee to improve </w:t>
      </w:r>
      <w:r w:rsidR="00D84317">
        <w:t xml:space="preserve">Australia’s </w:t>
      </w:r>
      <w:r>
        <w:t xml:space="preserve">HTA policies and methods and </w:t>
      </w:r>
      <w:r w:rsidR="00021135">
        <w:t xml:space="preserve">the </w:t>
      </w:r>
      <w:r w:rsidR="45FC5351">
        <w:t>funding and approval pathways.</w:t>
      </w:r>
    </w:p>
    <w:p w14:paraId="68DC7865" w14:textId="4E10B40C" w:rsidR="004349E2" w:rsidRDefault="004349E2" w:rsidP="004349E2">
      <w:r>
        <w:t xml:space="preserve">The aim of this paper is to facilitate stakeholder feedback on the potential options for reform </w:t>
      </w:r>
      <w:r w:rsidR="00B21EFD">
        <w:t>relating to:</w:t>
      </w:r>
    </w:p>
    <w:p w14:paraId="6D03AD1B" w14:textId="57A007C2" w:rsidR="004349E2" w:rsidRDefault="004349E2" w:rsidP="00630E36">
      <w:pPr>
        <w:numPr>
          <w:ilvl w:val="0"/>
          <w:numId w:val="25"/>
        </w:numPr>
        <w:contextualSpacing/>
      </w:pPr>
      <w:r>
        <w:t xml:space="preserve">whether the proposed option/s will achieve the intended outcome </w:t>
      </w:r>
    </w:p>
    <w:p w14:paraId="4114CCA9" w14:textId="3B7E0772" w:rsidR="004349E2" w:rsidRDefault="004349E2" w:rsidP="00630E36">
      <w:pPr>
        <w:numPr>
          <w:ilvl w:val="0"/>
          <w:numId w:val="25"/>
        </w:numPr>
        <w:contextualSpacing/>
      </w:pPr>
      <w:r>
        <w:t>what the potential impact on stakeholders may be</w:t>
      </w:r>
      <w:r w:rsidR="00BD5E88">
        <w:t>, and</w:t>
      </w:r>
      <w:r>
        <w:t xml:space="preserve"> </w:t>
      </w:r>
    </w:p>
    <w:p w14:paraId="55FC3FF1" w14:textId="0600EFBE" w:rsidR="004349E2" w:rsidRDefault="004349E2" w:rsidP="00630E36">
      <w:pPr>
        <w:numPr>
          <w:ilvl w:val="0"/>
          <w:numId w:val="25"/>
        </w:numPr>
        <w:contextualSpacing/>
      </w:pPr>
      <w:r>
        <w:t xml:space="preserve">any unintended outcomes or challenges </w:t>
      </w:r>
      <w:r w:rsidR="008F6495">
        <w:t>stemming from the</w:t>
      </w:r>
      <w:r>
        <w:t xml:space="preserve"> proposed options</w:t>
      </w:r>
      <w:r w:rsidR="000305EE">
        <w:t>.</w:t>
      </w:r>
      <w:r>
        <w:t xml:space="preserve"> </w:t>
      </w:r>
    </w:p>
    <w:p w14:paraId="492DE481" w14:textId="0C1EA35A" w:rsidR="004349E2" w:rsidRDefault="004349E2" w:rsidP="004349E2">
      <w:pPr>
        <w:spacing w:before="240"/>
      </w:pPr>
      <w:r>
        <w:t xml:space="preserve">The Reference Committee will consider the </w:t>
      </w:r>
      <w:r w:rsidR="002172B0">
        <w:t xml:space="preserve">feedback </w:t>
      </w:r>
      <w:r w:rsidR="00D2362C">
        <w:t>received through this consultation</w:t>
      </w:r>
      <w:r w:rsidR="002E537E">
        <w:t xml:space="preserve">, </w:t>
      </w:r>
      <w:r>
        <w:t>alongside other inputs</w:t>
      </w:r>
      <w:r w:rsidR="00A03227">
        <w:t>,</w:t>
      </w:r>
      <w:r>
        <w:t xml:space="preserve"> before deciding on final recommendations and delivering its final report.</w:t>
      </w:r>
    </w:p>
    <w:p w14:paraId="395435AB" w14:textId="77777777" w:rsidR="00474ED6" w:rsidRPr="00474ED6" w:rsidRDefault="004349E2" w:rsidP="00474ED6">
      <w:pPr>
        <w:spacing w:before="240"/>
        <w:rPr>
          <w:rStyle w:val="Hyperlink"/>
          <w:color w:val="0070C0"/>
        </w:rPr>
        <w:sectPr w:rsidR="00474ED6" w:rsidRPr="00474ED6" w:rsidSect="00837079">
          <w:headerReference w:type="default" r:id="rId49"/>
          <w:type w:val="continuous"/>
          <w:pgSz w:w="11906" w:h="16838"/>
          <w:pgMar w:top="709" w:right="1440" w:bottom="1440" w:left="1440" w:header="284" w:footer="708" w:gutter="0"/>
          <w:cols w:space="708"/>
          <w:docGrid w:linePitch="360"/>
        </w:sectPr>
      </w:pPr>
      <w:r>
        <w:t xml:space="preserve">The </w:t>
      </w:r>
      <w:r w:rsidR="00D04A98">
        <w:t>Reference C</w:t>
      </w:r>
      <w:r>
        <w:t xml:space="preserve">ommittee has undertaken a </w:t>
      </w:r>
      <w:r w:rsidR="00E7329D">
        <w:t>holistic</w:t>
      </w:r>
      <w:r>
        <w:t xml:space="preserve">, systemwide review of </w:t>
      </w:r>
      <w:r w:rsidR="0076566D">
        <w:t xml:space="preserve">Australia’s </w:t>
      </w:r>
      <w:r>
        <w:t xml:space="preserve">HTA system, in line with the </w:t>
      </w:r>
      <w:hyperlink r:id="rId50" w:history="1">
        <w:r w:rsidR="0073370A" w:rsidRPr="0073370A">
          <w:rPr>
            <w:rStyle w:val="Hyperlink"/>
          </w:rPr>
          <w:t>terms of reference</w:t>
        </w:r>
      </w:hyperlink>
      <w:r w:rsidR="00E7436E">
        <w:t xml:space="preserve"> </w:t>
      </w:r>
      <w:r>
        <w:t>for the HTA Review. As a result</w:t>
      </w:r>
      <w:r w:rsidR="005A650D">
        <w:t>,</w:t>
      </w:r>
      <w:r>
        <w:t xml:space="preserve"> many of the issues identified and options developed incorporate multiple elements and features across the HTA system and the topics within this paper may be relevant to multiple heading areas. The document will cross-link where possible</w:t>
      </w:r>
      <w:r w:rsidR="007F6F89">
        <w:t>,</w:t>
      </w:r>
      <w:r>
        <w:t xml:space="preserve"> and </w:t>
      </w:r>
      <w:r w:rsidR="00732DCE">
        <w:t xml:space="preserve">an </w:t>
      </w:r>
      <w:r w:rsidR="00CC4E1E" w:rsidRPr="00977007">
        <w:rPr>
          <w:rStyle w:val="Hyperlink"/>
          <w:color w:val="0070C0"/>
        </w:rPr>
        <w:fldChar w:fldCharType="begin"/>
      </w:r>
      <w:r w:rsidR="00CC4E1E" w:rsidRPr="00977007">
        <w:rPr>
          <w:rStyle w:val="Hyperlink"/>
          <w:color w:val="0070C0"/>
        </w:rPr>
        <w:instrText xml:space="preserve"> REF _Ref156935188 \h </w:instrText>
      </w:r>
      <w:r w:rsidR="00197A3B" w:rsidRPr="00977007">
        <w:rPr>
          <w:rStyle w:val="Hyperlink"/>
          <w:color w:val="0070C0"/>
        </w:rPr>
        <w:instrText xml:space="preserve"> \* MERGEFORMAT </w:instrText>
      </w:r>
      <w:r w:rsidR="00CC4E1E" w:rsidRPr="00977007">
        <w:rPr>
          <w:rStyle w:val="Hyperlink"/>
          <w:color w:val="0070C0"/>
        </w:rPr>
      </w:r>
      <w:r w:rsidR="00CC4E1E" w:rsidRPr="00977007">
        <w:rPr>
          <w:rStyle w:val="Hyperlink"/>
          <w:color w:val="0070C0"/>
        </w:rPr>
        <w:fldChar w:fldCharType="separate"/>
      </w:r>
    </w:p>
    <w:p w14:paraId="00A40E8C" w14:textId="65AD03D7" w:rsidR="004349E2" w:rsidRDefault="00474ED6" w:rsidP="004349E2">
      <w:pPr>
        <w:spacing w:before="240"/>
      </w:pPr>
      <w:r w:rsidRPr="00E11C0F">
        <w:rPr>
          <w:color w:val="3F4A75"/>
        </w:rPr>
        <w:lastRenderedPageBreak/>
        <w:t>Index</w:t>
      </w:r>
      <w:r w:rsidR="00CC4E1E" w:rsidRPr="00977007">
        <w:rPr>
          <w:rStyle w:val="Hyperlink"/>
          <w:color w:val="0070C0"/>
        </w:rPr>
        <w:fldChar w:fldCharType="end"/>
      </w:r>
      <w:r w:rsidR="004349E2" w:rsidRPr="00977007">
        <w:rPr>
          <w:rStyle w:val="Hyperlink"/>
        </w:rPr>
        <w:t xml:space="preserve"> </w:t>
      </w:r>
      <w:r w:rsidR="004349E2">
        <w:t xml:space="preserve">can be used to search for specific topics. </w:t>
      </w:r>
    </w:p>
    <w:p w14:paraId="30CEB0A1" w14:textId="77777777" w:rsidR="004349E2" w:rsidRDefault="004349E2" w:rsidP="004349E2">
      <w:r>
        <w:t>The paper is broken up into the following chapters:</w:t>
      </w:r>
    </w:p>
    <w:p w14:paraId="2EF374A8" w14:textId="3BC75B56" w:rsidR="004349E2" w:rsidRPr="00E72436" w:rsidRDefault="00E73C9F" w:rsidP="00630E36">
      <w:pPr>
        <w:numPr>
          <w:ilvl w:val="0"/>
          <w:numId w:val="25"/>
        </w:numPr>
        <w:contextualSpacing/>
        <w:rPr>
          <w:rStyle w:val="Hyperlink"/>
        </w:rPr>
      </w:pPr>
      <w:hyperlink w:anchor="_Transparency,_communication,_and" w:history="1">
        <w:r w:rsidR="004349E2" w:rsidRPr="005C5B82">
          <w:rPr>
            <w:rStyle w:val="Hyperlink"/>
          </w:rPr>
          <w:t>Transparency</w:t>
        </w:r>
        <w:r w:rsidR="00E72436">
          <w:rPr>
            <w:rStyle w:val="Hyperlink"/>
          </w:rPr>
          <w:t>,</w:t>
        </w:r>
        <w:r w:rsidR="004349E2" w:rsidRPr="005C5B82">
          <w:rPr>
            <w:rStyle w:val="Hyperlink"/>
          </w:rPr>
          <w:t xml:space="preserve"> communication</w:t>
        </w:r>
        <w:r w:rsidR="00E72436">
          <w:rPr>
            <w:rStyle w:val="Hyperlink"/>
          </w:rPr>
          <w:t xml:space="preserve"> and</w:t>
        </w:r>
        <w:r w:rsidR="00570001" w:rsidRPr="005C5B82">
          <w:rPr>
            <w:rStyle w:val="Hyperlink"/>
          </w:rPr>
          <w:fldChar w:fldCharType="begin"/>
        </w:r>
        <w:r w:rsidR="00570001" w:rsidRPr="005C5B82">
          <w:rPr>
            <w:rStyle w:val="Hyperlink"/>
          </w:rPr>
          <w:instrText xml:space="preserve"> XE "communication" \b </w:instrText>
        </w:r>
        <w:r w:rsidR="00570001" w:rsidRPr="005C5B82">
          <w:rPr>
            <w:rStyle w:val="Hyperlink"/>
          </w:rPr>
          <w:fldChar w:fldCharType="end"/>
        </w:r>
      </w:hyperlink>
      <w:r w:rsidR="00E72436" w:rsidRPr="00E72436">
        <w:rPr>
          <w:rStyle w:val="Hyperlink"/>
        </w:rPr>
        <w:t xml:space="preserve"> s</w:t>
      </w:r>
      <w:hyperlink w:anchor="_Stakeholder_involvement_in" w:history="1">
        <w:r w:rsidR="004349E2" w:rsidRPr="005C5B82">
          <w:rPr>
            <w:rStyle w:val="Hyperlink"/>
          </w:rPr>
          <w:t>takeholder involvement in HTA</w:t>
        </w:r>
      </w:hyperlink>
    </w:p>
    <w:p w14:paraId="4CCF181A" w14:textId="4FB4908A" w:rsidR="004349E2" w:rsidRDefault="00E73C9F" w:rsidP="00630E36">
      <w:pPr>
        <w:numPr>
          <w:ilvl w:val="0"/>
          <w:numId w:val="25"/>
        </w:numPr>
        <w:contextualSpacing/>
      </w:pPr>
      <w:hyperlink w:anchor="_Health_technology_funding" w:history="1">
        <w:r w:rsidR="004349E2" w:rsidRPr="00B57030">
          <w:rPr>
            <w:rStyle w:val="Hyperlink"/>
          </w:rPr>
          <w:t>Health technology funding and assessment pathways</w:t>
        </w:r>
      </w:hyperlink>
      <w:r w:rsidR="004349E2">
        <w:t xml:space="preserve"> </w:t>
      </w:r>
    </w:p>
    <w:p w14:paraId="3FDC6F14" w14:textId="3C7636C0" w:rsidR="004349E2" w:rsidRDefault="00E73C9F" w:rsidP="00630E36">
      <w:pPr>
        <w:numPr>
          <w:ilvl w:val="0"/>
          <w:numId w:val="25"/>
        </w:numPr>
        <w:contextualSpacing/>
      </w:pPr>
      <w:hyperlink w:anchor="_Methods_for_HTA" w:history="1">
        <w:r w:rsidR="004349E2" w:rsidRPr="00B57030">
          <w:rPr>
            <w:rStyle w:val="Hyperlink"/>
          </w:rPr>
          <w:t>Methods for HTA for Australian government subsidy (technical methods)</w:t>
        </w:r>
      </w:hyperlink>
    </w:p>
    <w:p w14:paraId="069E3B52" w14:textId="6A07CC9A" w:rsidR="004349E2" w:rsidRDefault="00E73C9F" w:rsidP="00630E36">
      <w:pPr>
        <w:numPr>
          <w:ilvl w:val="0"/>
          <w:numId w:val="25"/>
        </w:numPr>
        <w:contextualSpacing/>
      </w:pPr>
      <w:hyperlink w:anchor="_Health_Technology_Funding_1" w:history="1">
        <w:r w:rsidR="004349E2" w:rsidRPr="00B57030">
          <w:rPr>
            <w:rStyle w:val="Hyperlink"/>
          </w:rPr>
          <w:t xml:space="preserve">Health </w:t>
        </w:r>
        <w:r w:rsidR="008B2F10" w:rsidRPr="00B57030">
          <w:rPr>
            <w:rStyle w:val="Hyperlink"/>
          </w:rPr>
          <w:t>t</w:t>
        </w:r>
        <w:r w:rsidR="004349E2" w:rsidRPr="00B57030">
          <w:rPr>
            <w:rStyle w:val="Hyperlink"/>
          </w:rPr>
          <w:t>echnology funding and purchasing mechanisms and decisions</w:t>
        </w:r>
      </w:hyperlink>
    </w:p>
    <w:p w14:paraId="7F565F39" w14:textId="04AE967D" w:rsidR="004349E2" w:rsidRDefault="00E73C9F" w:rsidP="00630E36">
      <w:pPr>
        <w:numPr>
          <w:ilvl w:val="0"/>
          <w:numId w:val="25"/>
        </w:numPr>
        <w:contextualSpacing/>
      </w:pPr>
      <w:hyperlink w:anchor="_Futureproofing_our_systems" w:history="1">
        <w:r w:rsidR="004349E2" w:rsidRPr="00B57030">
          <w:rPr>
            <w:rStyle w:val="Hyperlink"/>
          </w:rPr>
          <w:t>Futureproofing our systems and processes</w:t>
        </w:r>
      </w:hyperlink>
    </w:p>
    <w:p w14:paraId="2F9014E1" w14:textId="77777777" w:rsidR="004349E2" w:rsidRDefault="004349E2" w:rsidP="004349E2">
      <w:pPr>
        <w:spacing w:before="240"/>
      </w:pPr>
      <w:r>
        <w:t xml:space="preserve">Under each of the headings, the report set outs: </w:t>
      </w:r>
    </w:p>
    <w:p w14:paraId="457DC94A" w14:textId="77777777" w:rsidR="004349E2" w:rsidRDefault="004349E2" w:rsidP="008D2A3F">
      <w:pPr>
        <w:pStyle w:val="ListParagraph"/>
        <w:numPr>
          <w:ilvl w:val="0"/>
          <w:numId w:val="2"/>
        </w:numPr>
      </w:pPr>
      <w:r>
        <w:t>the current state in Australia and other jurisdictions (where applicable)</w:t>
      </w:r>
    </w:p>
    <w:p w14:paraId="059FF5A7" w14:textId="77777777" w:rsidR="004349E2" w:rsidRDefault="004349E2" w:rsidP="008D2A3F">
      <w:pPr>
        <w:pStyle w:val="ListParagraph"/>
        <w:numPr>
          <w:ilvl w:val="0"/>
          <w:numId w:val="2"/>
        </w:numPr>
      </w:pPr>
      <w:r>
        <w:t xml:space="preserve">what was heard from </w:t>
      </w:r>
      <w:proofErr w:type="gramStart"/>
      <w:r>
        <w:t>stakeholders</w:t>
      </w:r>
      <w:proofErr w:type="gramEnd"/>
    </w:p>
    <w:p w14:paraId="649FAC02" w14:textId="77777777" w:rsidR="004349E2" w:rsidRDefault="004349E2" w:rsidP="008D2A3F">
      <w:pPr>
        <w:pStyle w:val="ListParagraph"/>
        <w:numPr>
          <w:ilvl w:val="0"/>
          <w:numId w:val="2"/>
        </w:numPr>
      </w:pPr>
      <w:r>
        <w:t>identification or understanding of the issues (where these are formed), and</w:t>
      </w:r>
    </w:p>
    <w:p w14:paraId="5C96A63C" w14:textId="77777777" w:rsidR="004349E2" w:rsidRDefault="004349E2" w:rsidP="008D2A3F">
      <w:pPr>
        <w:pStyle w:val="ListParagraph"/>
        <w:numPr>
          <w:ilvl w:val="0"/>
          <w:numId w:val="2"/>
        </w:numPr>
      </w:pPr>
      <w:r>
        <w:t>potential options for reform.</w:t>
      </w:r>
    </w:p>
    <w:p w14:paraId="1A744003" w14:textId="77777777" w:rsidR="004349E2" w:rsidRPr="004A7CBA" w:rsidRDefault="004349E2" w:rsidP="004349E2">
      <w:r>
        <w:t>This options paper should be read in conjunction with the following reports commissioned to inform the HTA Review:</w:t>
      </w:r>
    </w:p>
    <w:p w14:paraId="3F3E0A5E" w14:textId="5ED283DC" w:rsidR="004349E2" w:rsidRPr="004A7CBA" w:rsidRDefault="00E73C9F" w:rsidP="00630E36">
      <w:pPr>
        <w:numPr>
          <w:ilvl w:val="0"/>
          <w:numId w:val="25"/>
        </w:numPr>
        <w:contextualSpacing/>
      </w:pPr>
      <w:hyperlink r:id="rId51" w:history="1">
        <w:r w:rsidR="004349E2" w:rsidRPr="00B225A7">
          <w:rPr>
            <w:color w:val="0E6C9B" w:themeColor="hyperlink"/>
            <w:u w:val="single"/>
          </w:rPr>
          <w:t>International Health Technology Market Approval, Funding and Assessment Pathways</w:t>
        </w:r>
      </w:hyperlink>
      <w:r w:rsidR="00D12710">
        <w:rPr>
          <w:color w:val="0E6C9B" w:themeColor="hyperlink"/>
          <w:u w:val="single"/>
        </w:rPr>
        <w:t xml:space="preserve"> (Paper 1)</w:t>
      </w:r>
    </w:p>
    <w:p w14:paraId="4A20973B" w14:textId="772D49D5" w:rsidR="004349E2" w:rsidRPr="004A7CBA" w:rsidRDefault="00E73C9F" w:rsidP="00630E36">
      <w:pPr>
        <w:numPr>
          <w:ilvl w:val="0"/>
          <w:numId w:val="25"/>
        </w:numPr>
        <w:contextualSpacing/>
      </w:pPr>
      <w:hyperlink r:id="rId52" w:history="1">
        <w:r w:rsidR="004349E2" w:rsidRPr="00B225A7">
          <w:rPr>
            <w:color w:val="0E6C9B" w:themeColor="hyperlink"/>
            <w:u w:val="single"/>
          </w:rPr>
          <w:t>Horizon Scanning and Early Assessment</w:t>
        </w:r>
      </w:hyperlink>
      <w:r w:rsidR="00D12710">
        <w:rPr>
          <w:color w:val="0E6C9B" w:themeColor="hyperlink"/>
          <w:u w:val="single"/>
        </w:rPr>
        <w:t xml:space="preserve"> (Paper 2)</w:t>
      </w:r>
    </w:p>
    <w:p w14:paraId="5F569F87" w14:textId="6463E636" w:rsidR="004349E2" w:rsidRPr="004A7CBA" w:rsidRDefault="00E73C9F" w:rsidP="00630E36">
      <w:pPr>
        <w:numPr>
          <w:ilvl w:val="0"/>
          <w:numId w:val="25"/>
        </w:numPr>
        <w:contextualSpacing/>
      </w:pPr>
      <w:hyperlink r:id="rId53" w:history="1">
        <w:r w:rsidR="004349E2" w:rsidRPr="00B225A7">
          <w:rPr>
            <w:color w:val="0E6C9B" w:themeColor="hyperlink"/>
            <w:u w:val="single"/>
          </w:rPr>
          <w:t>Determination of the Population, Intervention Comparator, and Outcome (PICO</w:t>
        </w:r>
        <w:r w:rsidR="0068258A">
          <w:rPr>
            <w:color w:val="0E6C9B" w:themeColor="hyperlink"/>
            <w:u w:val="single"/>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color w:val="0E6C9B" w:themeColor="hyperlink"/>
            <w:u w:val="single"/>
          </w:rPr>
          <w:fldChar w:fldCharType="end"/>
        </w:r>
        <w:r w:rsidR="004349E2" w:rsidRPr="00B225A7">
          <w:rPr>
            <w:color w:val="0E6C9B" w:themeColor="hyperlink"/>
            <w:u w:val="single"/>
          </w:rPr>
          <w:t>)</w:t>
        </w:r>
      </w:hyperlink>
      <w:r w:rsidR="00D12710">
        <w:rPr>
          <w:color w:val="0E6C9B" w:themeColor="hyperlink"/>
          <w:u w:val="single"/>
        </w:rPr>
        <w:t xml:space="preserve"> (Paper 3)</w:t>
      </w:r>
    </w:p>
    <w:p w14:paraId="1932E9DE" w14:textId="18EDDCFF" w:rsidR="004349E2" w:rsidRPr="004A7CBA" w:rsidRDefault="00E73C9F" w:rsidP="00630E36">
      <w:pPr>
        <w:numPr>
          <w:ilvl w:val="0"/>
          <w:numId w:val="25"/>
        </w:numPr>
        <w:contextualSpacing/>
      </w:pPr>
      <w:hyperlink r:id="rId54" w:history="1">
        <w:r w:rsidR="004349E2" w:rsidRPr="00B225A7">
          <w:rPr>
            <w:color w:val="0E6C9B" w:themeColor="hyperlink"/>
            <w:u w:val="single"/>
          </w:rPr>
          <w:t>Clinical Evaluation Methods in HTA</w:t>
        </w:r>
      </w:hyperlink>
      <w:r w:rsidR="00D12710">
        <w:rPr>
          <w:color w:val="0E6C9B" w:themeColor="hyperlink"/>
          <w:u w:val="single"/>
        </w:rPr>
        <w:t xml:space="preserve"> (Paper 4)</w:t>
      </w:r>
    </w:p>
    <w:p w14:paraId="5142ABBC" w14:textId="3C7AB9A3" w:rsidR="004349E2" w:rsidRPr="004A7CBA" w:rsidRDefault="00E73C9F" w:rsidP="00630E36">
      <w:pPr>
        <w:numPr>
          <w:ilvl w:val="0"/>
          <w:numId w:val="25"/>
        </w:numPr>
        <w:contextualSpacing/>
      </w:pPr>
      <w:hyperlink r:id="rId55" w:history="1">
        <w:r w:rsidR="004349E2" w:rsidRPr="00B225A7">
          <w:rPr>
            <w:color w:val="0E6C9B" w:themeColor="hyperlink"/>
            <w:u w:val="single"/>
          </w:rPr>
          <w:t>HTA Methods: Economic Evaluation</w:t>
        </w:r>
      </w:hyperlink>
      <w:r w:rsidR="00D12710">
        <w:rPr>
          <w:color w:val="0E6C9B" w:themeColor="hyperlink"/>
          <w:u w:val="single"/>
        </w:rPr>
        <w:t xml:space="preserve"> (Paper 5)</w:t>
      </w:r>
    </w:p>
    <w:p w14:paraId="05C32D15" w14:textId="5BB6DD71" w:rsidR="004349E2" w:rsidRPr="0032607F" w:rsidRDefault="00E73C9F" w:rsidP="00630E36">
      <w:pPr>
        <w:numPr>
          <w:ilvl w:val="0"/>
          <w:numId w:val="25"/>
        </w:numPr>
        <w:contextualSpacing/>
        <w:rPr>
          <w:color w:val="0E6C9B" w:themeColor="hyperlink"/>
          <w:u w:val="single"/>
        </w:rPr>
      </w:pPr>
      <w:hyperlink r:id="rId56" w:history="1">
        <w:r w:rsidR="004349E2" w:rsidRPr="00B225A7">
          <w:rPr>
            <w:color w:val="0E6C9B" w:themeColor="hyperlink"/>
            <w:u w:val="single"/>
          </w:rPr>
          <w:t>Funding and Purchasing Decisions and Managing Uncertainty</w:t>
        </w:r>
      </w:hyperlink>
      <w:r w:rsidR="004349E2" w:rsidRPr="0032607F">
        <w:rPr>
          <w:color w:val="0E6C9B" w:themeColor="hyperlink"/>
          <w:u w:val="single"/>
        </w:rPr>
        <w:t xml:space="preserve"> </w:t>
      </w:r>
      <w:r w:rsidR="00D12710" w:rsidRPr="0032607F">
        <w:rPr>
          <w:color w:val="0E6C9B" w:themeColor="hyperlink"/>
          <w:u w:val="single"/>
        </w:rPr>
        <w:t>(Paper 6)</w:t>
      </w:r>
    </w:p>
    <w:p w14:paraId="14053F54" w14:textId="5CB55A29" w:rsidR="00C93930" w:rsidRPr="0032607F" w:rsidRDefault="00E73C9F" w:rsidP="00630E36">
      <w:pPr>
        <w:numPr>
          <w:ilvl w:val="0"/>
          <w:numId w:val="25"/>
        </w:numPr>
        <w:contextualSpacing/>
        <w:rPr>
          <w:color w:val="0E6C9B" w:themeColor="hyperlink"/>
          <w:u w:val="single"/>
        </w:rPr>
      </w:pPr>
      <w:hyperlink r:id="rId57" w:history="1">
        <w:r w:rsidR="004349E2" w:rsidRPr="00C67E60">
          <w:rPr>
            <w:color w:val="0E6C9B" w:themeColor="hyperlink"/>
            <w:u w:val="single"/>
          </w:rPr>
          <w:t>Optimising the Availability and Use of Real</w:t>
        </w:r>
        <w:r w:rsidR="00CC2605" w:rsidRPr="00C67E60">
          <w:rPr>
            <w:color w:val="0E6C9B" w:themeColor="hyperlink"/>
            <w:u w:val="single"/>
          </w:rPr>
          <w:t>-</w:t>
        </w:r>
        <w:r w:rsidR="004349E2" w:rsidRPr="00C67E60">
          <w:rPr>
            <w:color w:val="0E6C9B" w:themeColor="hyperlink"/>
            <w:u w:val="single"/>
          </w:rPr>
          <w:t>World Data and Real</w:t>
        </w:r>
        <w:r w:rsidR="00593522" w:rsidRPr="00C67E60">
          <w:rPr>
            <w:color w:val="0E6C9B" w:themeColor="hyperlink"/>
            <w:u w:val="single"/>
          </w:rPr>
          <w:t>-</w:t>
        </w:r>
        <w:r w:rsidR="004349E2" w:rsidRPr="00C67E60">
          <w:rPr>
            <w:color w:val="0E6C9B" w:themeColor="hyperlink"/>
            <w:u w:val="single"/>
          </w:rPr>
          <w:t>World Evidence to Support Health Technology Assessment in Australia</w:t>
        </w:r>
      </w:hyperlink>
      <w:r w:rsidR="00C93930" w:rsidRPr="0032607F">
        <w:rPr>
          <w:color w:val="0E6C9B" w:themeColor="hyperlink"/>
          <w:u w:val="single"/>
        </w:rPr>
        <w:t xml:space="preserve"> </w:t>
      </w:r>
      <w:r w:rsidR="00D12710" w:rsidRPr="0032607F">
        <w:rPr>
          <w:color w:val="0E6C9B" w:themeColor="hyperlink"/>
          <w:u w:val="single"/>
        </w:rPr>
        <w:t>(Paper 7)</w:t>
      </w:r>
    </w:p>
    <w:p w14:paraId="22D6A864" w14:textId="16D849EC" w:rsidR="003D27C5" w:rsidRPr="00C67E60" w:rsidRDefault="00E73C9F" w:rsidP="004C1EF8">
      <w:pPr>
        <w:numPr>
          <w:ilvl w:val="0"/>
          <w:numId w:val="25"/>
        </w:numPr>
        <w:ind w:left="714" w:hanging="357"/>
      </w:pPr>
      <w:hyperlink r:id="rId58" w:history="1">
        <w:r w:rsidR="00C93930" w:rsidRPr="007442D9">
          <w:rPr>
            <w:rStyle w:val="Hyperlink"/>
          </w:rPr>
          <w:t>Australian market approval, funding and assessment pathways and timeframes</w:t>
        </w:r>
        <w:r w:rsidR="00A72278" w:rsidRPr="007442D9">
          <w:rPr>
            <w:rStyle w:val="Hyperlink"/>
          </w:rPr>
          <w:t xml:space="preserve"> (Paper 8)</w:t>
        </w:r>
      </w:hyperlink>
      <w:r w:rsidR="00C93930">
        <w:t xml:space="preserve"> </w:t>
      </w:r>
    </w:p>
    <w:p w14:paraId="43982DB7" w14:textId="77777777" w:rsidR="00BF2DCF" w:rsidRDefault="00BF2DCF" w:rsidP="004349E2">
      <w:r w:rsidRPr="00BF2DCF">
        <w:t xml:space="preserve">Excerpts from these reports have been used as part of the content of this paper. Where larger bodies of text from these reports form part of the content to be considered under various sections of this paper, hyperlinks will be used. </w:t>
      </w:r>
    </w:p>
    <w:p w14:paraId="057282C8" w14:textId="06CF7696" w:rsidR="004349E2" w:rsidRDefault="004349E2" w:rsidP="004349E2">
      <w:r>
        <w:t xml:space="preserve">The options presented in this paper do not represent the Reference Committee’s final views on the merits of any option. However, they provide an indication about what is considered the best direction for reform. The summary table below sets out these key options. </w:t>
      </w:r>
    </w:p>
    <w:tbl>
      <w:tblPr>
        <w:tblStyle w:val="TableGrid"/>
        <w:tblW w:w="0" w:type="auto"/>
        <w:tblLook w:val="04A0" w:firstRow="1" w:lastRow="0" w:firstColumn="1" w:lastColumn="0" w:noHBand="0" w:noVBand="1"/>
      </w:tblPr>
      <w:tblGrid>
        <w:gridCol w:w="9016"/>
      </w:tblGrid>
      <w:tr w:rsidR="0028308D" w14:paraId="03624EA3" w14:textId="77777777">
        <w:tc>
          <w:tcPr>
            <w:tcW w:w="9016" w:type="dxa"/>
            <w:tcBorders>
              <w:top w:val="single" w:sz="4" w:space="0" w:color="00B4D0" w:themeColor="accent6"/>
              <w:left w:val="nil"/>
              <w:bottom w:val="single" w:sz="4" w:space="0" w:color="00B4D0" w:themeColor="accent6"/>
              <w:right w:val="nil"/>
            </w:tcBorders>
            <w:shd w:val="clear" w:color="auto" w:fill="F2F2F2" w:themeFill="background1" w:themeFillShade="F2"/>
          </w:tcPr>
          <w:p w14:paraId="337DA797" w14:textId="77777777" w:rsidR="0028308D" w:rsidRPr="00D26474" w:rsidRDefault="0028308D" w:rsidP="00280268">
            <w:pPr>
              <w:keepNext/>
              <w:keepLines/>
              <w:spacing w:before="120" w:after="120" w:line="259" w:lineRule="auto"/>
              <w:ind w:left="284"/>
              <w:jc w:val="both"/>
              <w:rPr>
                <w:b/>
                <w:bCs/>
                <w:i/>
                <w:iCs/>
              </w:rPr>
            </w:pPr>
            <w:r>
              <w:rPr>
                <w:b/>
                <w:bCs/>
                <w:i/>
                <w:iCs/>
              </w:rPr>
              <w:lastRenderedPageBreak/>
              <w:t xml:space="preserve">A </w:t>
            </w:r>
            <w:r w:rsidRPr="00D26474">
              <w:rPr>
                <w:b/>
                <w:bCs/>
                <w:i/>
                <w:iCs/>
              </w:rPr>
              <w:t>note on terminology</w:t>
            </w:r>
            <w:r>
              <w:rPr>
                <w:b/>
                <w:bCs/>
                <w:i/>
                <w:iCs/>
              </w:rPr>
              <w:t>…</w:t>
            </w:r>
          </w:p>
          <w:p w14:paraId="7693138F" w14:textId="77777777" w:rsidR="0028308D" w:rsidRDefault="0028308D" w:rsidP="008C10BB">
            <w:pPr>
              <w:spacing w:before="120" w:after="120" w:line="259" w:lineRule="auto"/>
              <w:ind w:left="284" w:right="263"/>
              <w:jc w:val="both"/>
            </w:pPr>
            <w:r w:rsidRPr="00E47802">
              <w:t>Australia uses the term 'consumer' to refer to 'patients, their families/carers, consumer organisations'</w:t>
            </w:r>
            <w:r>
              <w:t xml:space="preserve">. </w:t>
            </w:r>
            <w:r w:rsidRPr="00E47802">
              <w:t>However, the academic literature refers to the same people as 'patients' or 'patients, carers and patient organisations' reflecting the dominance of the term in international practice (Australia, Singapore and New Zealand being the exceptions).</w:t>
            </w:r>
          </w:p>
        </w:tc>
      </w:tr>
    </w:tbl>
    <w:p w14:paraId="150FE28A" w14:textId="77777777" w:rsidR="004349E2" w:rsidRPr="00EC7291" w:rsidRDefault="004349E2" w:rsidP="008C10BB">
      <w:pPr>
        <w:pStyle w:val="Heading1"/>
        <w:numPr>
          <w:ilvl w:val="0"/>
          <w:numId w:val="0"/>
        </w:numPr>
        <w:spacing w:line="259" w:lineRule="auto"/>
        <w:rPr>
          <w:iCs/>
        </w:rPr>
      </w:pPr>
      <w:bookmarkStart w:id="4" w:name="_Toc157029018"/>
      <w:bookmarkStart w:id="5" w:name="_Toc157029471"/>
      <w:bookmarkStart w:id="6" w:name="_Toc157030163"/>
      <w:r w:rsidRPr="00EC7291">
        <w:t>How to provide input</w:t>
      </w:r>
      <w:bookmarkEnd w:id="4"/>
      <w:bookmarkEnd w:id="5"/>
      <w:bookmarkEnd w:id="6"/>
    </w:p>
    <w:p w14:paraId="77852A9B" w14:textId="77777777" w:rsidR="00A56A30" w:rsidRDefault="000E245C" w:rsidP="008C10BB">
      <w:pPr>
        <w:sectPr w:rsidR="00A56A30" w:rsidSect="00C168E9">
          <w:headerReference w:type="even" r:id="rId59"/>
          <w:headerReference w:type="default" r:id="rId60"/>
          <w:pgSz w:w="11906" w:h="16838"/>
          <w:pgMar w:top="1440" w:right="1440" w:bottom="1135" w:left="1440" w:header="708" w:footer="708" w:gutter="0"/>
          <w:cols w:space="708"/>
          <w:docGrid w:linePitch="360"/>
        </w:sectPr>
      </w:pPr>
      <w:r>
        <w:t xml:space="preserve">A survey will be opened shortly seeking feedback on </w:t>
      </w:r>
      <w:r w:rsidR="009E1791">
        <w:t xml:space="preserve">the options presented in this paper. </w:t>
      </w:r>
      <w:r w:rsidR="00701AF7">
        <w:t>This document and</w:t>
      </w:r>
      <w:r w:rsidR="00BA619F">
        <w:t xml:space="preserve"> associated webpages will be updated </w:t>
      </w:r>
      <w:r w:rsidR="006B5908">
        <w:t xml:space="preserve">to reflect </w:t>
      </w:r>
      <w:r w:rsidR="000A34D4">
        <w:t xml:space="preserve">further </w:t>
      </w:r>
      <w:r w:rsidR="006B5908">
        <w:t xml:space="preserve">consultation </w:t>
      </w:r>
      <w:r w:rsidR="000A34D4">
        <w:t xml:space="preserve">information once available. </w:t>
      </w:r>
    </w:p>
    <w:p w14:paraId="32AF4BB6" w14:textId="77777777" w:rsidR="00A80FA7" w:rsidRDefault="00A80FA7" w:rsidP="008C10BB">
      <w:pPr>
        <w:sectPr w:rsidR="00A80FA7" w:rsidSect="00A56A30">
          <w:type w:val="continuous"/>
          <w:pgSz w:w="11906" w:h="16838"/>
          <w:pgMar w:top="1440" w:right="1440" w:bottom="1135" w:left="1440" w:header="708" w:footer="708" w:gutter="0"/>
          <w:cols w:space="708"/>
          <w:docGrid w:linePitch="360"/>
        </w:sectPr>
      </w:pPr>
    </w:p>
    <w:p w14:paraId="6F25562C" w14:textId="77777777" w:rsidR="00504995" w:rsidRDefault="00504995" w:rsidP="00225619">
      <w:pPr>
        <w:pStyle w:val="Heading1"/>
        <w:numPr>
          <w:ilvl w:val="0"/>
          <w:numId w:val="0"/>
        </w:numPr>
        <w:ind w:left="720" w:hanging="720"/>
      </w:pPr>
      <w:bookmarkStart w:id="7" w:name="_Toc157029019"/>
      <w:bookmarkStart w:id="8" w:name="_Toc157029472"/>
      <w:bookmarkStart w:id="9" w:name="_Toc157030164"/>
      <w:r>
        <w:lastRenderedPageBreak/>
        <w:t>Table of Conten</w:t>
      </w:r>
      <w:r w:rsidR="00704074">
        <w:t>ts</w:t>
      </w:r>
      <w:bookmarkEnd w:id="7"/>
      <w:bookmarkEnd w:id="8"/>
      <w:bookmarkEnd w:id="9"/>
    </w:p>
    <w:p w14:paraId="5E354CC6" w14:textId="7C68EC70" w:rsidR="007057C1" w:rsidRDefault="00B3176A">
      <w:pPr>
        <w:pStyle w:val="TOC1"/>
        <w:tabs>
          <w:tab w:val="right" w:leader="dot" w:pos="9016"/>
        </w:tabs>
        <w:rPr>
          <w:rFonts w:asciiTheme="minorHAnsi" w:eastAsiaTheme="minorEastAsia" w:hAnsiTheme="minorHAnsi" w:cstheme="minorBidi"/>
          <w:bCs w:val="0"/>
          <w:noProof/>
          <w:sz w:val="22"/>
          <w:szCs w:val="22"/>
          <w:lang w:eastAsia="ja-JP"/>
        </w:rPr>
      </w:pPr>
      <w:r>
        <w:rPr>
          <w:sz w:val="22"/>
        </w:rPr>
        <w:fldChar w:fldCharType="begin"/>
      </w:r>
      <w:r>
        <w:instrText xml:space="preserve"> TOC \o "1-2" \h \z \u </w:instrText>
      </w:r>
      <w:r>
        <w:rPr>
          <w:sz w:val="22"/>
        </w:rPr>
        <w:fldChar w:fldCharType="separate"/>
      </w:r>
      <w:hyperlink w:anchor="_Toc157030162" w:history="1">
        <w:r w:rsidR="007057C1" w:rsidRPr="004B3DD2">
          <w:rPr>
            <w:rStyle w:val="Hyperlink"/>
            <w:noProof/>
          </w:rPr>
          <w:t>Overview</w:t>
        </w:r>
        <w:r w:rsidR="007057C1">
          <w:rPr>
            <w:noProof/>
            <w:webHidden/>
          </w:rPr>
          <w:tab/>
        </w:r>
        <w:r w:rsidR="007057C1">
          <w:rPr>
            <w:noProof/>
            <w:webHidden/>
          </w:rPr>
          <w:fldChar w:fldCharType="begin"/>
        </w:r>
        <w:r w:rsidR="007057C1">
          <w:rPr>
            <w:noProof/>
            <w:webHidden/>
          </w:rPr>
          <w:instrText xml:space="preserve"> PAGEREF _Toc157030162 \h </w:instrText>
        </w:r>
        <w:r w:rsidR="007057C1">
          <w:rPr>
            <w:noProof/>
            <w:webHidden/>
          </w:rPr>
        </w:r>
        <w:r w:rsidR="007057C1">
          <w:rPr>
            <w:noProof/>
            <w:webHidden/>
          </w:rPr>
          <w:fldChar w:fldCharType="separate"/>
        </w:r>
        <w:r w:rsidR="00474ED6">
          <w:rPr>
            <w:noProof/>
            <w:webHidden/>
          </w:rPr>
          <w:t>2</w:t>
        </w:r>
        <w:r w:rsidR="007057C1">
          <w:rPr>
            <w:noProof/>
            <w:webHidden/>
          </w:rPr>
          <w:fldChar w:fldCharType="end"/>
        </w:r>
      </w:hyperlink>
    </w:p>
    <w:p w14:paraId="3DCF34E0" w14:textId="1A452575"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3" w:history="1">
        <w:r w:rsidR="007057C1" w:rsidRPr="004B3DD2">
          <w:rPr>
            <w:rStyle w:val="Hyperlink"/>
            <w:noProof/>
          </w:rPr>
          <w:t>How to provide input</w:t>
        </w:r>
        <w:r w:rsidR="007057C1">
          <w:rPr>
            <w:noProof/>
            <w:webHidden/>
          </w:rPr>
          <w:tab/>
        </w:r>
        <w:r w:rsidR="007057C1">
          <w:rPr>
            <w:noProof/>
            <w:webHidden/>
          </w:rPr>
          <w:fldChar w:fldCharType="begin"/>
        </w:r>
        <w:r w:rsidR="007057C1">
          <w:rPr>
            <w:noProof/>
            <w:webHidden/>
          </w:rPr>
          <w:instrText xml:space="preserve"> PAGEREF _Toc157030163 \h </w:instrText>
        </w:r>
        <w:r w:rsidR="007057C1">
          <w:rPr>
            <w:noProof/>
            <w:webHidden/>
          </w:rPr>
        </w:r>
        <w:r w:rsidR="007057C1">
          <w:rPr>
            <w:noProof/>
            <w:webHidden/>
          </w:rPr>
          <w:fldChar w:fldCharType="separate"/>
        </w:r>
        <w:r w:rsidR="00474ED6">
          <w:rPr>
            <w:noProof/>
            <w:webHidden/>
          </w:rPr>
          <w:t>4</w:t>
        </w:r>
        <w:r w:rsidR="007057C1">
          <w:rPr>
            <w:noProof/>
            <w:webHidden/>
          </w:rPr>
          <w:fldChar w:fldCharType="end"/>
        </w:r>
      </w:hyperlink>
    </w:p>
    <w:p w14:paraId="512C5342" w14:textId="39264F62"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4" w:history="1">
        <w:r w:rsidR="007057C1" w:rsidRPr="004B3DD2">
          <w:rPr>
            <w:rStyle w:val="Hyperlink"/>
            <w:noProof/>
          </w:rPr>
          <w:t>Table of Contents</w:t>
        </w:r>
        <w:r w:rsidR="007057C1">
          <w:rPr>
            <w:noProof/>
            <w:webHidden/>
          </w:rPr>
          <w:tab/>
        </w:r>
        <w:r w:rsidR="007057C1">
          <w:rPr>
            <w:noProof/>
            <w:webHidden/>
          </w:rPr>
          <w:fldChar w:fldCharType="begin"/>
        </w:r>
        <w:r w:rsidR="007057C1">
          <w:rPr>
            <w:noProof/>
            <w:webHidden/>
          </w:rPr>
          <w:instrText xml:space="preserve"> PAGEREF _Toc157030164 \h </w:instrText>
        </w:r>
        <w:r w:rsidR="007057C1">
          <w:rPr>
            <w:noProof/>
            <w:webHidden/>
          </w:rPr>
        </w:r>
        <w:r w:rsidR="007057C1">
          <w:rPr>
            <w:noProof/>
            <w:webHidden/>
          </w:rPr>
          <w:fldChar w:fldCharType="separate"/>
        </w:r>
        <w:r w:rsidR="00474ED6">
          <w:rPr>
            <w:noProof/>
            <w:webHidden/>
          </w:rPr>
          <w:t>5</w:t>
        </w:r>
        <w:r w:rsidR="007057C1">
          <w:rPr>
            <w:noProof/>
            <w:webHidden/>
          </w:rPr>
          <w:fldChar w:fldCharType="end"/>
        </w:r>
      </w:hyperlink>
    </w:p>
    <w:p w14:paraId="2C82FBAC" w14:textId="2168BD68"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5" w:history="1">
        <w:r w:rsidR="007057C1" w:rsidRPr="004B3DD2">
          <w:rPr>
            <w:rStyle w:val="Hyperlink"/>
            <w:noProof/>
          </w:rPr>
          <w:t>Preface</w:t>
        </w:r>
        <w:r w:rsidR="007057C1">
          <w:rPr>
            <w:noProof/>
            <w:webHidden/>
          </w:rPr>
          <w:tab/>
        </w:r>
        <w:r w:rsidR="007057C1">
          <w:rPr>
            <w:noProof/>
            <w:webHidden/>
          </w:rPr>
          <w:fldChar w:fldCharType="begin"/>
        </w:r>
        <w:r w:rsidR="007057C1">
          <w:rPr>
            <w:noProof/>
            <w:webHidden/>
          </w:rPr>
          <w:instrText xml:space="preserve"> PAGEREF _Toc157030165 \h </w:instrText>
        </w:r>
        <w:r w:rsidR="007057C1">
          <w:rPr>
            <w:noProof/>
            <w:webHidden/>
          </w:rPr>
        </w:r>
        <w:r w:rsidR="007057C1">
          <w:rPr>
            <w:noProof/>
            <w:webHidden/>
          </w:rPr>
          <w:fldChar w:fldCharType="separate"/>
        </w:r>
        <w:r w:rsidR="00474ED6">
          <w:rPr>
            <w:noProof/>
            <w:webHidden/>
          </w:rPr>
          <w:t>7</w:t>
        </w:r>
        <w:r w:rsidR="007057C1">
          <w:rPr>
            <w:noProof/>
            <w:webHidden/>
          </w:rPr>
          <w:fldChar w:fldCharType="end"/>
        </w:r>
      </w:hyperlink>
    </w:p>
    <w:p w14:paraId="37FDB027" w14:textId="3DD547A7"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6" w:history="1">
        <w:r w:rsidR="007057C1" w:rsidRPr="004B3DD2">
          <w:rPr>
            <w:rStyle w:val="Hyperlink"/>
            <w:noProof/>
          </w:rPr>
          <w:t>Executive Summary</w:t>
        </w:r>
        <w:r w:rsidR="007057C1">
          <w:rPr>
            <w:noProof/>
            <w:webHidden/>
          </w:rPr>
          <w:tab/>
        </w:r>
        <w:r w:rsidR="007057C1">
          <w:rPr>
            <w:noProof/>
            <w:webHidden/>
          </w:rPr>
          <w:fldChar w:fldCharType="begin"/>
        </w:r>
        <w:r w:rsidR="007057C1">
          <w:rPr>
            <w:noProof/>
            <w:webHidden/>
          </w:rPr>
          <w:instrText xml:space="preserve"> PAGEREF _Toc157030166 \h </w:instrText>
        </w:r>
        <w:r w:rsidR="007057C1">
          <w:rPr>
            <w:noProof/>
            <w:webHidden/>
          </w:rPr>
        </w:r>
        <w:r w:rsidR="007057C1">
          <w:rPr>
            <w:noProof/>
            <w:webHidden/>
          </w:rPr>
          <w:fldChar w:fldCharType="separate"/>
        </w:r>
        <w:r w:rsidR="00474ED6">
          <w:rPr>
            <w:noProof/>
            <w:webHidden/>
          </w:rPr>
          <w:t>11</w:t>
        </w:r>
        <w:r w:rsidR="007057C1">
          <w:rPr>
            <w:noProof/>
            <w:webHidden/>
          </w:rPr>
          <w:fldChar w:fldCharType="end"/>
        </w:r>
      </w:hyperlink>
    </w:p>
    <w:p w14:paraId="1A5BAAA0" w14:textId="0EFD2EB1"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7" w:history="1">
        <w:r w:rsidR="007057C1" w:rsidRPr="004B3DD2">
          <w:rPr>
            <w:rStyle w:val="Hyperlink"/>
            <w:noProof/>
          </w:rPr>
          <w:t>Overview of the key selected options for consultation</w:t>
        </w:r>
        <w:r w:rsidR="007057C1">
          <w:rPr>
            <w:noProof/>
            <w:webHidden/>
          </w:rPr>
          <w:tab/>
        </w:r>
        <w:r w:rsidR="007057C1">
          <w:rPr>
            <w:noProof/>
            <w:webHidden/>
          </w:rPr>
          <w:fldChar w:fldCharType="begin"/>
        </w:r>
        <w:r w:rsidR="007057C1">
          <w:rPr>
            <w:noProof/>
            <w:webHidden/>
          </w:rPr>
          <w:instrText xml:space="preserve"> PAGEREF _Toc157030167 \h </w:instrText>
        </w:r>
        <w:r w:rsidR="007057C1">
          <w:rPr>
            <w:noProof/>
            <w:webHidden/>
          </w:rPr>
        </w:r>
        <w:r w:rsidR="007057C1">
          <w:rPr>
            <w:noProof/>
            <w:webHidden/>
          </w:rPr>
          <w:fldChar w:fldCharType="separate"/>
        </w:r>
        <w:r w:rsidR="00474ED6">
          <w:rPr>
            <w:noProof/>
            <w:webHidden/>
          </w:rPr>
          <w:t>19</w:t>
        </w:r>
        <w:r w:rsidR="007057C1">
          <w:rPr>
            <w:noProof/>
            <w:webHidden/>
          </w:rPr>
          <w:fldChar w:fldCharType="end"/>
        </w:r>
      </w:hyperlink>
    </w:p>
    <w:p w14:paraId="49AD8987" w14:textId="4BF5DE98"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68" w:history="1">
        <w:r w:rsidR="007057C1" w:rsidRPr="004B3DD2">
          <w:rPr>
            <w:rStyle w:val="Hyperlink"/>
            <w:noProof/>
          </w:rPr>
          <w:t>Introduction</w:t>
        </w:r>
        <w:r w:rsidR="007057C1">
          <w:rPr>
            <w:noProof/>
            <w:webHidden/>
          </w:rPr>
          <w:tab/>
        </w:r>
        <w:r w:rsidR="007057C1">
          <w:rPr>
            <w:noProof/>
            <w:webHidden/>
          </w:rPr>
          <w:fldChar w:fldCharType="begin"/>
        </w:r>
        <w:r w:rsidR="007057C1">
          <w:rPr>
            <w:noProof/>
            <w:webHidden/>
          </w:rPr>
          <w:instrText xml:space="preserve"> PAGEREF _Toc157030168 \h </w:instrText>
        </w:r>
        <w:r w:rsidR="007057C1">
          <w:rPr>
            <w:noProof/>
            <w:webHidden/>
          </w:rPr>
        </w:r>
        <w:r w:rsidR="007057C1">
          <w:rPr>
            <w:noProof/>
            <w:webHidden/>
          </w:rPr>
          <w:fldChar w:fldCharType="separate"/>
        </w:r>
        <w:r w:rsidR="00474ED6">
          <w:rPr>
            <w:noProof/>
            <w:webHidden/>
          </w:rPr>
          <w:t>42</w:t>
        </w:r>
        <w:r w:rsidR="007057C1">
          <w:rPr>
            <w:noProof/>
            <w:webHidden/>
          </w:rPr>
          <w:fldChar w:fldCharType="end"/>
        </w:r>
      </w:hyperlink>
    </w:p>
    <w:p w14:paraId="2181CBDF" w14:textId="0DB7E687"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69" w:history="1">
        <w:r w:rsidR="007057C1" w:rsidRPr="004B3DD2">
          <w:rPr>
            <w:rStyle w:val="Hyperlink"/>
            <w:noProof/>
          </w:rPr>
          <w:t>Background to HTAs</w:t>
        </w:r>
        <w:r w:rsidR="007057C1">
          <w:rPr>
            <w:noProof/>
            <w:webHidden/>
          </w:rPr>
          <w:tab/>
        </w:r>
        <w:r w:rsidR="007057C1">
          <w:rPr>
            <w:noProof/>
            <w:webHidden/>
          </w:rPr>
          <w:fldChar w:fldCharType="begin"/>
        </w:r>
        <w:r w:rsidR="007057C1">
          <w:rPr>
            <w:noProof/>
            <w:webHidden/>
          </w:rPr>
          <w:instrText xml:space="preserve"> PAGEREF _Toc157030169 \h </w:instrText>
        </w:r>
        <w:r w:rsidR="007057C1">
          <w:rPr>
            <w:noProof/>
            <w:webHidden/>
          </w:rPr>
        </w:r>
        <w:r w:rsidR="007057C1">
          <w:rPr>
            <w:noProof/>
            <w:webHidden/>
          </w:rPr>
          <w:fldChar w:fldCharType="separate"/>
        </w:r>
        <w:r w:rsidR="00474ED6">
          <w:rPr>
            <w:noProof/>
            <w:webHidden/>
          </w:rPr>
          <w:t>42</w:t>
        </w:r>
        <w:r w:rsidR="007057C1">
          <w:rPr>
            <w:noProof/>
            <w:webHidden/>
          </w:rPr>
          <w:fldChar w:fldCharType="end"/>
        </w:r>
      </w:hyperlink>
    </w:p>
    <w:p w14:paraId="0B76FCF6" w14:textId="7DE4A8C0"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70" w:history="1">
        <w:r w:rsidR="007057C1" w:rsidRPr="004B3DD2">
          <w:rPr>
            <w:rStyle w:val="Hyperlink"/>
            <w:noProof/>
          </w:rPr>
          <w:t>What is HTA?</w:t>
        </w:r>
        <w:r w:rsidR="007057C1">
          <w:rPr>
            <w:noProof/>
            <w:webHidden/>
          </w:rPr>
          <w:tab/>
        </w:r>
        <w:r w:rsidR="007057C1">
          <w:rPr>
            <w:noProof/>
            <w:webHidden/>
          </w:rPr>
          <w:fldChar w:fldCharType="begin"/>
        </w:r>
        <w:r w:rsidR="007057C1">
          <w:rPr>
            <w:noProof/>
            <w:webHidden/>
          </w:rPr>
          <w:instrText xml:space="preserve"> PAGEREF _Toc157030170 \h </w:instrText>
        </w:r>
        <w:r w:rsidR="007057C1">
          <w:rPr>
            <w:noProof/>
            <w:webHidden/>
          </w:rPr>
        </w:r>
        <w:r w:rsidR="007057C1">
          <w:rPr>
            <w:noProof/>
            <w:webHidden/>
          </w:rPr>
          <w:fldChar w:fldCharType="separate"/>
        </w:r>
        <w:r w:rsidR="00474ED6">
          <w:rPr>
            <w:noProof/>
            <w:webHidden/>
          </w:rPr>
          <w:t>42</w:t>
        </w:r>
        <w:r w:rsidR="007057C1">
          <w:rPr>
            <w:noProof/>
            <w:webHidden/>
          </w:rPr>
          <w:fldChar w:fldCharType="end"/>
        </w:r>
      </w:hyperlink>
    </w:p>
    <w:p w14:paraId="6ED31FC3" w14:textId="2EE9676B"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71" w:history="1">
        <w:r w:rsidR="007057C1" w:rsidRPr="004B3DD2">
          <w:rPr>
            <w:rStyle w:val="Hyperlink"/>
            <w:noProof/>
          </w:rPr>
          <w:t>HTAs in Australia</w:t>
        </w:r>
        <w:r w:rsidR="007057C1">
          <w:rPr>
            <w:noProof/>
            <w:webHidden/>
          </w:rPr>
          <w:tab/>
        </w:r>
        <w:r w:rsidR="007057C1">
          <w:rPr>
            <w:noProof/>
            <w:webHidden/>
          </w:rPr>
          <w:fldChar w:fldCharType="begin"/>
        </w:r>
        <w:r w:rsidR="007057C1">
          <w:rPr>
            <w:noProof/>
            <w:webHidden/>
          </w:rPr>
          <w:instrText xml:space="preserve"> PAGEREF _Toc157030171 \h </w:instrText>
        </w:r>
        <w:r w:rsidR="007057C1">
          <w:rPr>
            <w:noProof/>
            <w:webHidden/>
          </w:rPr>
        </w:r>
        <w:r w:rsidR="007057C1">
          <w:rPr>
            <w:noProof/>
            <w:webHidden/>
          </w:rPr>
          <w:fldChar w:fldCharType="separate"/>
        </w:r>
        <w:r w:rsidR="00474ED6">
          <w:rPr>
            <w:noProof/>
            <w:webHidden/>
          </w:rPr>
          <w:t>43</w:t>
        </w:r>
        <w:r w:rsidR="007057C1">
          <w:rPr>
            <w:noProof/>
            <w:webHidden/>
          </w:rPr>
          <w:fldChar w:fldCharType="end"/>
        </w:r>
      </w:hyperlink>
    </w:p>
    <w:p w14:paraId="34767719" w14:textId="3BC74494"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72" w:history="1">
        <w:r w:rsidR="007057C1" w:rsidRPr="004B3DD2">
          <w:rPr>
            <w:rStyle w:val="Hyperlink"/>
            <w:noProof/>
          </w:rPr>
          <w:t>Performance of HTA processes in Australia</w:t>
        </w:r>
        <w:r w:rsidR="007057C1">
          <w:rPr>
            <w:noProof/>
            <w:webHidden/>
          </w:rPr>
          <w:tab/>
        </w:r>
        <w:r w:rsidR="007057C1">
          <w:rPr>
            <w:noProof/>
            <w:webHidden/>
          </w:rPr>
          <w:fldChar w:fldCharType="begin"/>
        </w:r>
        <w:r w:rsidR="007057C1">
          <w:rPr>
            <w:noProof/>
            <w:webHidden/>
          </w:rPr>
          <w:instrText xml:space="preserve"> PAGEREF _Toc157030172 \h </w:instrText>
        </w:r>
        <w:r w:rsidR="007057C1">
          <w:rPr>
            <w:noProof/>
            <w:webHidden/>
          </w:rPr>
        </w:r>
        <w:r w:rsidR="007057C1">
          <w:rPr>
            <w:noProof/>
            <w:webHidden/>
          </w:rPr>
          <w:fldChar w:fldCharType="separate"/>
        </w:r>
        <w:r w:rsidR="00474ED6">
          <w:rPr>
            <w:noProof/>
            <w:webHidden/>
          </w:rPr>
          <w:t>44</w:t>
        </w:r>
        <w:r w:rsidR="007057C1">
          <w:rPr>
            <w:noProof/>
            <w:webHidden/>
          </w:rPr>
          <w:fldChar w:fldCharType="end"/>
        </w:r>
      </w:hyperlink>
    </w:p>
    <w:p w14:paraId="3FC3CC47" w14:textId="6F400121"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73" w:history="1">
        <w:r w:rsidR="007057C1" w:rsidRPr="004B3DD2">
          <w:rPr>
            <w:rStyle w:val="Hyperlink"/>
            <w:noProof/>
          </w:rPr>
          <w:t>Why are we reviewing HTA Policies and Methods?</w:t>
        </w:r>
        <w:r w:rsidR="007057C1">
          <w:rPr>
            <w:noProof/>
            <w:webHidden/>
          </w:rPr>
          <w:tab/>
        </w:r>
        <w:r w:rsidR="007057C1">
          <w:rPr>
            <w:noProof/>
            <w:webHidden/>
          </w:rPr>
          <w:fldChar w:fldCharType="begin"/>
        </w:r>
        <w:r w:rsidR="007057C1">
          <w:rPr>
            <w:noProof/>
            <w:webHidden/>
          </w:rPr>
          <w:instrText xml:space="preserve"> PAGEREF _Toc157030173 \h </w:instrText>
        </w:r>
        <w:r w:rsidR="007057C1">
          <w:rPr>
            <w:noProof/>
            <w:webHidden/>
          </w:rPr>
        </w:r>
        <w:r w:rsidR="007057C1">
          <w:rPr>
            <w:noProof/>
            <w:webHidden/>
          </w:rPr>
          <w:fldChar w:fldCharType="separate"/>
        </w:r>
        <w:r w:rsidR="00474ED6">
          <w:rPr>
            <w:noProof/>
            <w:webHidden/>
          </w:rPr>
          <w:t>51</w:t>
        </w:r>
        <w:r w:rsidR="007057C1">
          <w:rPr>
            <w:noProof/>
            <w:webHidden/>
          </w:rPr>
          <w:fldChar w:fldCharType="end"/>
        </w:r>
      </w:hyperlink>
    </w:p>
    <w:p w14:paraId="5580A399" w14:textId="71A891F5" w:rsidR="007057C1" w:rsidRDefault="00E73C9F">
      <w:pPr>
        <w:pStyle w:val="TOC2"/>
        <w:tabs>
          <w:tab w:val="right" w:leader="dot" w:pos="9016"/>
        </w:tabs>
        <w:rPr>
          <w:rFonts w:asciiTheme="minorHAnsi" w:eastAsiaTheme="minorEastAsia" w:hAnsiTheme="minorHAnsi" w:cstheme="minorBidi"/>
          <w:noProof/>
          <w:sz w:val="22"/>
          <w:szCs w:val="22"/>
          <w:lang w:eastAsia="ja-JP"/>
        </w:rPr>
      </w:pPr>
      <w:hyperlink w:anchor="_Toc157030174" w:history="1">
        <w:r w:rsidR="007057C1" w:rsidRPr="004B3DD2">
          <w:rPr>
            <w:rStyle w:val="Hyperlink"/>
            <w:noProof/>
          </w:rPr>
          <w:t>HTA Review Overview</w:t>
        </w:r>
        <w:r w:rsidR="007057C1">
          <w:rPr>
            <w:noProof/>
            <w:webHidden/>
          </w:rPr>
          <w:tab/>
        </w:r>
        <w:r w:rsidR="007057C1">
          <w:rPr>
            <w:noProof/>
            <w:webHidden/>
          </w:rPr>
          <w:fldChar w:fldCharType="begin"/>
        </w:r>
        <w:r w:rsidR="007057C1">
          <w:rPr>
            <w:noProof/>
            <w:webHidden/>
          </w:rPr>
          <w:instrText xml:space="preserve"> PAGEREF _Toc157030174 \h </w:instrText>
        </w:r>
        <w:r w:rsidR="007057C1">
          <w:rPr>
            <w:noProof/>
            <w:webHidden/>
          </w:rPr>
        </w:r>
        <w:r w:rsidR="007057C1">
          <w:rPr>
            <w:noProof/>
            <w:webHidden/>
          </w:rPr>
          <w:fldChar w:fldCharType="separate"/>
        </w:r>
        <w:r w:rsidR="00474ED6">
          <w:rPr>
            <w:noProof/>
            <w:webHidden/>
          </w:rPr>
          <w:t>53</w:t>
        </w:r>
        <w:r w:rsidR="007057C1">
          <w:rPr>
            <w:noProof/>
            <w:webHidden/>
          </w:rPr>
          <w:fldChar w:fldCharType="end"/>
        </w:r>
      </w:hyperlink>
    </w:p>
    <w:p w14:paraId="4310FC53" w14:textId="3D253208"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75" w:history="1">
        <w:r w:rsidR="007057C1" w:rsidRPr="004B3DD2">
          <w:rPr>
            <w:rStyle w:val="Hyperlink"/>
            <w:noProof/>
          </w:rPr>
          <w:t>1.</w:t>
        </w:r>
        <w:r w:rsidR="007057C1">
          <w:rPr>
            <w:rFonts w:asciiTheme="minorHAnsi" w:eastAsiaTheme="minorEastAsia" w:hAnsiTheme="minorHAnsi" w:cstheme="minorBidi"/>
            <w:bCs w:val="0"/>
            <w:noProof/>
            <w:sz w:val="22"/>
            <w:szCs w:val="22"/>
            <w:lang w:eastAsia="ja-JP"/>
          </w:rPr>
          <w:tab/>
        </w:r>
        <w:r w:rsidR="007057C1" w:rsidRPr="004B3DD2">
          <w:rPr>
            <w:rStyle w:val="Hyperlink"/>
            <w:noProof/>
          </w:rPr>
          <w:t>Transparency, communication, and stakeholder involvement in HTA</w:t>
        </w:r>
        <w:r w:rsidR="007057C1">
          <w:rPr>
            <w:noProof/>
            <w:webHidden/>
          </w:rPr>
          <w:tab/>
        </w:r>
        <w:r w:rsidR="007057C1">
          <w:rPr>
            <w:noProof/>
            <w:webHidden/>
          </w:rPr>
          <w:fldChar w:fldCharType="begin"/>
        </w:r>
        <w:r w:rsidR="007057C1">
          <w:rPr>
            <w:noProof/>
            <w:webHidden/>
          </w:rPr>
          <w:instrText xml:space="preserve"> PAGEREF _Toc157030175 \h </w:instrText>
        </w:r>
        <w:r w:rsidR="007057C1">
          <w:rPr>
            <w:noProof/>
            <w:webHidden/>
          </w:rPr>
        </w:r>
        <w:r w:rsidR="007057C1">
          <w:rPr>
            <w:noProof/>
            <w:webHidden/>
          </w:rPr>
          <w:fldChar w:fldCharType="separate"/>
        </w:r>
        <w:r w:rsidR="00474ED6">
          <w:rPr>
            <w:noProof/>
            <w:webHidden/>
          </w:rPr>
          <w:t>57</w:t>
        </w:r>
        <w:r w:rsidR="007057C1">
          <w:rPr>
            <w:noProof/>
            <w:webHidden/>
          </w:rPr>
          <w:fldChar w:fldCharType="end"/>
        </w:r>
      </w:hyperlink>
    </w:p>
    <w:p w14:paraId="7DACCA86" w14:textId="4C1B8432"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76" w:history="1">
        <w:r w:rsidR="007057C1" w:rsidRPr="004B3DD2">
          <w:rPr>
            <w:rStyle w:val="Hyperlink"/>
            <w:noProof/>
          </w:rPr>
          <w:t>1.1.</w:t>
        </w:r>
        <w:r w:rsidR="007057C1">
          <w:rPr>
            <w:rFonts w:asciiTheme="minorHAnsi" w:eastAsiaTheme="minorEastAsia" w:hAnsiTheme="minorHAnsi" w:cstheme="minorBidi"/>
            <w:noProof/>
            <w:sz w:val="22"/>
            <w:szCs w:val="22"/>
            <w:lang w:eastAsia="ja-JP"/>
          </w:rPr>
          <w:tab/>
        </w:r>
        <w:r w:rsidR="007057C1" w:rsidRPr="004B3DD2">
          <w:rPr>
            <w:rStyle w:val="Hyperlink"/>
            <w:noProof/>
          </w:rPr>
          <w:t>Transparency and communication of HTA pathways, processes and decisions</w:t>
        </w:r>
        <w:r w:rsidR="007057C1">
          <w:rPr>
            <w:noProof/>
            <w:webHidden/>
          </w:rPr>
          <w:tab/>
        </w:r>
        <w:r w:rsidR="007057C1">
          <w:rPr>
            <w:noProof/>
            <w:webHidden/>
          </w:rPr>
          <w:fldChar w:fldCharType="begin"/>
        </w:r>
        <w:r w:rsidR="007057C1">
          <w:rPr>
            <w:noProof/>
            <w:webHidden/>
          </w:rPr>
          <w:instrText xml:space="preserve"> PAGEREF _Toc157030176 \h </w:instrText>
        </w:r>
        <w:r w:rsidR="007057C1">
          <w:rPr>
            <w:noProof/>
            <w:webHidden/>
          </w:rPr>
        </w:r>
        <w:r w:rsidR="007057C1">
          <w:rPr>
            <w:noProof/>
            <w:webHidden/>
          </w:rPr>
          <w:fldChar w:fldCharType="separate"/>
        </w:r>
        <w:r w:rsidR="00474ED6">
          <w:rPr>
            <w:noProof/>
            <w:webHidden/>
          </w:rPr>
          <w:t>57</w:t>
        </w:r>
        <w:r w:rsidR="007057C1">
          <w:rPr>
            <w:noProof/>
            <w:webHidden/>
          </w:rPr>
          <w:fldChar w:fldCharType="end"/>
        </w:r>
      </w:hyperlink>
    </w:p>
    <w:p w14:paraId="68E276BB" w14:textId="045BD65E"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77" w:history="1">
        <w:r w:rsidR="007057C1" w:rsidRPr="004B3DD2">
          <w:rPr>
            <w:rStyle w:val="Hyperlink"/>
            <w:noProof/>
          </w:rPr>
          <w:t>1.2.</w:t>
        </w:r>
        <w:r w:rsidR="007057C1">
          <w:rPr>
            <w:rFonts w:asciiTheme="minorHAnsi" w:eastAsiaTheme="minorEastAsia" w:hAnsiTheme="minorHAnsi" w:cstheme="minorBidi"/>
            <w:noProof/>
            <w:sz w:val="22"/>
            <w:szCs w:val="22"/>
            <w:lang w:eastAsia="ja-JP"/>
          </w:rPr>
          <w:tab/>
        </w:r>
        <w:r w:rsidR="007057C1" w:rsidRPr="004B3DD2">
          <w:rPr>
            <w:rStyle w:val="Hyperlink"/>
            <w:noProof/>
          </w:rPr>
          <w:t>Consumer, clinician and other stakeholder involvement and consideration in HTA</w:t>
        </w:r>
        <w:r w:rsidR="007057C1">
          <w:rPr>
            <w:noProof/>
            <w:webHidden/>
          </w:rPr>
          <w:tab/>
        </w:r>
        <w:r w:rsidR="007057C1">
          <w:rPr>
            <w:noProof/>
            <w:webHidden/>
          </w:rPr>
          <w:fldChar w:fldCharType="begin"/>
        </w:r>
        <w:r w:rsidR="007057C1">
          <w:rPr>
            <w:noProof/>
            <w:webHidden/>
          </w:rPr>
          <w:instrText xml:space="preserve"> PAGEREF _Toc157030177 \h </w:instrText>
        </w:r>
        <w:r w:rsidR="007057C1">
          <w:rPr>
            <w:noProof/>
            <w:webHidden/>
          </w:rPr>
        </w:r>
        <w:r w:rsidR="007057C1">
          <w:rPr>
            <w:noProof/>
            <w:webHidden/>
          </w:rPr>
          <w:fldChar w:fldCharType="separate"/>
        </w:r>
        <w:r w:rsidR="00474ED6">
          <w:rPr>
            <w:noProof/>
            <w:webHidden/>
          </w:rPr>
          <w:t>63</w:t>
        </w:r>
        <w:r w:rsidR="007057C1">
          <w:rPr>
            <w:noProof/>
            <w:webHidden/>
          </w:rPr>
          <w:fldChar w:fldCharType="end"/>
        </w:r>
      </w:hyperlink>
    </w:p>
    <w:p w14:paraId="52F1CE1B" w14:textId="505BDBF8"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78" w:history="1">
        <w:r w:rsidR="007057C1" w:rsidRPr="004B3DD2">
          <w:rPr>
            <w:rStyle w:val="Hyperlink"/>
            <w:noProof/>
          </w:rPr>
          <w:t>1.3.</w:t>
        </w:r>
        <w:r w:rsidR="007057C1">
          <w:rPr>
            <w:rFonts w:asciiTheme="minorHAnsi" w:eastAsiaTheme="minorEastAsia" w:hAnsiTheme="minorHAnsi" w:cstheme="minorBidi"/>
            <w:noProof/>
            <w:sz w:val="22"/>
            <w:szCs w:val="22"/>
            <w:lang w:eastAsia="ja-JP"/>
          </w:rPr>
          <w:tab/>
        </w:r>
        <w:r w:rsidR="007057C1" w:rsidRPr="004B3DD2">
          <w:rPr>
            <w:rStyle w:val="Hyperlink"/>
            <w:noProof/>
          </w:rPr>
          <w:t>First Nations peoples</w:t>
        </w:r>
        <w:r w:rsidR="009950D4">
          <w:rPr>
            <w:rStyle w:val="Hyperlink"/>
            <w:noProof/>
          </w:rPr>
          <w:fldChar w:fldCharType="begin"/>
        </w:r>
        <w:r w:rsidR="009950D4">
          <w:instrText xml:space="preserve"> XE "</w:instrText>
        </w:r>
        <w:r w:rsidR="009950D4" w:rsidRPr="0032056E">
          <w:instrText>Aboriginal and Torres Strait Islander:First Nations peoples</w:instrText>
        </w:r>
        <w:r w:rsidR="009950D4">
          <w:instrText xml:space="preserve">" </w:instrText>
        </w:r>
        <w:r w:rsidR="009950D4">
          <w:rPr>
            <w:rStyle w:val="Hyperlink"/>
            <w:noProof/>
          </w:rPr>
          <w:fldChar w:fldCharType="end"/>
        </w:r>
        <w:r w:rsidR="007057C1" w:rsidRPr="004B3DD2">
          <w:rPr>
            <w:rStyle w:val="Hyperlink"/>
            <w:noProof/>
          </w:rPr>
          <w:t xml:space="preserve"> involvement and consideration in HTA</w:t>
        </w:r>
        <w:r w:rsidR="007057C1">
          <w:rPr>
            <w:noProof/>
            <w:webHidden/>
          </w:rPr>
          <w:tab/>
        </w:r>
        <w:r w:rsidR="007057C1">
          <w:rPr>
            <w:noProof/>
            <w:webHidden/>
          </w:rPr>
          <w:fldChar w:fldCharType="begin"/>
        </w:r>
        <w:r w:rsidR="007057C1">
          <w:rPr>
            <w:noProof/>
            <w:webHidden/>
          </w:rPr>
          <w:instrText xml:space="preserve"> PAGEREF _Toc157030178 \h </w:instrText>
        </w:r>
        <w:r w:rsidR="007057C1">
          <w:rPr>
            <w:noProof/>
            <w:webHidden/>
          </w:rPr>
        </w:r>
        <w:r w:rsidR="007057C1">
          <w:rPr>
            <w:noProof/>
            <w:webHidden/>
          </w:rPr>
          <w:fldChar w:fldCharType="separate"/>
        </w:r>
        <w:r w:rsidR="00474ED6">
          <w:rPr>
            <w:noProof/>
            <w:webHidden/>
          </w:rPr>
          <w:t>68</w:t>
        </w:r>
        <w:r w:rsidR="007057C1">
          <w:rPr>
            <w:noProof/>
            <w:webHidden/>
          </w:rPr>
          <w:fldChar w:fldCharType="end"/>
        </w:r>
      </w:hyperlink>
    </w:p>
    <w:p w14:paraId="217CCA69" w14:textId="383F599E"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79" w:history="1">
        <w:r w:rsidR="007057C1" w:rsidRPr="004B3DD2">
          <w:rPr>
            <w:rStyle w:val="Hyperlink"/>
            <w:noProof/>
          </w:rPr>
          <w:t>1.4.</w:t>
        </w:r>
        <w:r w:rsidR="007057C1">
          <w:rPr>
            <w:rFonts w:asciiTheme="minorHAnsi" w:eastAsiaTheme="minorEastAsia" w:hAnsiTheme="minorHAnsi" w:cstheme="minorBidi"/>
            <w:noProof/>
            <w:sz w:val="22"/>
            <w:szCs w:val="22"/>
            <w:lang w:eastAsia="ja-JP"/>
          </w:rPr>
          <w:tab/>
        </w:r>
        <w:r w:rsidR="007057C1" w:rsidRPr="004B3DD2">
          <w:rPr>
            <w:rStyle w:val="Hyperlink"/>
            <w:noProof/>
          </w:rPr>
          <w:t>State and territory government collaboration in HTA</w:t>
        </w:r>
        <w:r w:rsidR="007057C1">
          <w:rPr>
            <w:noProof/>
            <w:webHidden/>
          </w:rPr>
          <w:tab/>
        </w:r>
        <w:r w:rsidR="007057C1">
          <w:rPr>
            <w:noProof/>
            <w:webHidden/>
          </w:rPr>
          <w:fldChar w:fldCharType="begin"/>
        </w:r>
        <w:r w:rsidR="007057C1">
          <w:rPr>
            <w:noProof/>
            <w:webHidden/>
          </w:rPr>
          <w:instrText xml:space="preserve"> PAGEREF _Toc157030179 \h </w:instrText>
        </w:r>
        <w:r w:rsidR="007057C1">
          <w:rPr>
            <w:noProof/>
            <w:webHidden/>
          </w:rPr>
        </w:r>
        <w:r w:rsidR="007057C1">
          <w:rPr>
            <w:noProof/>
            <w:webHidden/>
          </w:rPr>
          <w:fldChar w:fldCharType="separate"/>
        </w:r>
        <w:r w:rsidR="00474ED6">
          <w:rPr>
            <w:noProof/>
            <w:webHidden/>
          </w:rPr>
          <w:t>71</w:t>
        </w:r>
        <w:r w:rsidR="007057C1">
          <w:rPr>
            <w:noProof/>
            <w:webHidden/>
          </w:rPr>
          <w:fldChar w:fldCharType="end"/>
        </w:r>
      </w:hyperlink>
    </w:p>
    <w:p w14:paraId="4B6DE780" w14:textId="34D78FDF"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80" w:history="1">
        <w:r w:rsidR="007057C1" w:rsidRPr="004B3DD2">
          <w:rPr>
            <w:rStyle w:val="Hyperlink"/>
            <w:noProof/>
          </w:rPr>
          <w:t>2.</w:t>
        </w:r>
        <w:r w:rsidR="007057C1">
          <w:rPr>
            <w:rFonts w:asciiTheme="minorHAnsi" w:eastAsiaTheme="minorEastAsia" w:hAnsiTheme="minorHAnsi" w:cstheme="minorBidi"/>
            <w:bCs w:val="0"/>
            <w:noProof/>
            <w:sz w:val="22"/>
            <w:szCs w:val="22"/>
            <w:lang w:eastAsia="ja-JP"/>
          </w:rPr>
          <w:tab/>
        </w:r>
        <w:r w:rsidR="007057C1" w:rsidRPr="004B3DD2">
          <w:rPr>
            <w:rStyle w:val="Hyperlink"/>
            <w:noProof/>
          </w:rPr>
          <w:t>Health technology funding and assessment pathways</w:t>
        </w:r>
        <w:r w:rsidR="007057C1">
          <w:rPr>
            <w:noProof/>
            <w:webHidden/>
          </w:rPr>
          <w:tab/>
        </w:r>
        <w:r w:rsidR="007057C1">
          <w:rPr>
            <w:noProof/>
            <w:webHidden/>
          </w:rPr>
          <w:fldChar w:fldCharType="begin"/>
        </w:r>
        <w:r w:rsidR="007057C1">
          <w:rPr>
            <w:noProof/>
            <w:webHidden/>
          </w:rPr>
          <w:instrText xml:space="preserve"> PAGEREF _Toc157030180 \h </w:instrText>
        </w:r>
        <w:r w:rsidR="007057C1">
          <w:rPr>
            <w:noProof/>
            <w:webHidden/>
          </w:rPr>
        </w:r>
        <w:r w:rsidR="007057C1">
          <w:rPr>
            <w:noProof/>
            <w:webHidden/>
          </w:rPr>
          <w:fldChar w:fldCharType="separate"/>
        </w:r>
        <w:r w:rsidR="00474ED6">
          <w:rPr>
            <w:noProof/>
            <w:webHidden/>
          </w:rPr>
          <w:t>76</w:t>
        </w:r>
        <w:r w:rsidR="007057C1">
          <w:rPr>
            <w:noProof/>
            <w:webHidden/>
          </w:rPr>
          <w:fldChar w:fldCharType="end"/>
        </w:r>
      </w:hyperlink>
    </w:p>
    <w:p w14:paraId="5256ECAB" w14:textId="2D3F6859"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1" w:history="1">
        <w:r w:rsidR="007057C1" w:rsidRPr="004B3DD2">
          <w:rPr>
            <w:rStyle w:val="Hyperlink"/>
            <w:noProof/>
          </w:rPr>
          <w:t>2.1.</w:t>
        </w:r>
        <w:r w:rsidR="007057C1">
          <w:rPr>
            <w:rFonts w:asciiTheme="minorHAnsi" w:eastAsiaTheme="minorEastAsia" w:hAnsiTheme="minorHAnsi" w:cstheme="minorBidi"/>
            <w:noProof/>
            <w:sz w:val="22"/>
            <w:szCs w:val="22"/>
            <w:lang w:eastAsia="ja-JP"/>
          </w:rPr>
          <w:tab/>
        </w:r>
        <w:r w:rsidR="007057C1" w:rsidRPr="004B3DD2">
          <w:rPr>
            <w:rStyle w:val="Hyperlink"/>
            <w:noProof/>
          </w:rPr>
          <w:t>HTA pathways and advisory committees</w:t>
        </w:r>
        <w:r w:rsidR="007057C1">
          <w:rPr>
            <w:noProof/>
            <w:webHidden/>
          </w:rPr>
          <w:tab/>
        </w:r>
        <w:r w:rsidR="007057C1">
          <w:rPr>
            <w:noProof/>
            <w:webHidden/>
          </w:rPr>
          <w:fldChar w:fldCharType="begin"/>
        </w:r>
        <w:r w:rsidR="007057C1">
          <w:rPr>
            <w:noProof/>
            <w:webHidden/>
          </w:rPr>
          <w:instrText xml:space="preserve"> PAGEREF _Toc157030181 \h </w:instrText>
        </w:r>
        <w:r w:rsidR="007057C1">
          <w:rPr>
            <w:noProof/>
            <w:webHidden/>
          </w:rPr>
        </w:r>
        <w:r w:rsidR="007057C1">
          <w:rPr>
            <w:noProof/>
            <w:webHidden/>
          </w:rPr>
          <w:fldChar w:fldCharType="separate"/>
        </w:r>
        <w:r w:rsidR="00474ED6">
          <w:rPr>
            <w:noProof/>
            <w:webHidden/>
          </w:rPr>
          <w:t>76</w:t>
        </w:r>
        <w:r w:rsidR="007057C1">
          <w:rPr>
            <w:noProof/>
            <w:webHidden/>
          </w:rPr>
          <w:fldChar w:fldCharType="end"/>
        </w:r>
      </w:hyperlink>
    </w:p>
    <w:p w14:paraId="6BC24DC9" w14:textId="45D73B31"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82" w:history="1">
        <w:r w:rsidR="007057C1" w:rsidRPr="004B3DD2">
          <w:rPr>
            <w:rStyle w:val="Hyperlink"/>
            <w:noProof/>
          </w:rPr>
          <w:t>3.</w:t>
        </w:r>
        <w:r w:rsidR="007057C1">
          <w:rPr>
            <w:rFonts w:asciiTheme="minorHAnsi" w:eastAsiaTheme="minorEastAsia" w:hAnsiTheme="minorHAnsi" w:cstheme="minorBidi"/>
            <w:bCs w:val="0"/>
            <w:noProof/>
            <w:sz w:val="22"/>
            <w:szCs w:val="22"/>
            <w:lang w:eastAsia="ja-JP"/>
          </w:rPr>
          <w:tab/>
        </w:r>
        <w:r w:rsidR="007057C1" w:rsidRPr="004B3DD2">
          <w:rPr>
            <w:rStyle w:val="Hyperlink"/>
            <w:noProof/>
          </w:rPr>
          <w:t>Methods for HTA for Australian Government Subsidy (technical methods)</w:t>
        </w:r>
        <w:r w:rsidR="007057C1">
          <w:rPr>
            <w:noProof/>
            <w:webHidden/>
          </w:rPr>
          <w:tab/>
        </w:r>
        <w:r w:rsidR="007057C1">
          <w:rPr>
            <w:noProof/>
            <w:webHidden/>
          </w:rPr>
          <w:fldChar w:fldCharType="begin"/>
        </w:r>
        <w:r w:rsidR="007057C1">
          <w:rPr>
            <w:noProof/>
            <w:webHidden/>
          </w:rPr>
          <w:instrText xml:space="preserve"> PAGEREF _Toc157030182 \h </w:instrText>
        </w:r>
        <w:r w:rsidR="007057C1">
          <w:rPr>
            <w:noProof/>
            <w:webHidden/>
          </w:rPr>
        </w:r>
        <w:r w:rsidR="007057C1">
          <w:rPr>
            <w:noProof/>
            <w:webHidden/>
          </w:rPr>
          <w:fldChar w:fldCharType="separate"/>
        </w:r>
        <w:r w:rsidR="00474ED6">
          <w:rPr>
            <w:noProof/>
            <w:webHidden/>
          </w:rPr>
          <w:t>90</w:t>
        </w:r>
        <w:r w:rsidR="007057C1">
          <w:rPr>
            <w:noProof/>
            <w:webHidden/>
          </w:rPr>
          <w:fldChar w:fldCharType="end"/>
        </w:r>
      </w:hyperlink>
    </w:p>
    <w:p w14:paraId="182F06EB" w14:textId="301A1E99"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3" w:history="1">
        <w:r w:rsidR="007057C1" w:rsidRPr="004B3DD2">
          <w:rPr>
            <w:rStyle w:val="Hyperlink"/>
            <w:noProof/>
          </w:rPr>
          <w:t>3.1.</w:t>
        </w:r>
        <w:r w:rsidR="007057C1">
          <w:rPr>
            <w:rFonts w:asciiTheme="minorHAnsi" w:eastAsiaTheme="minorEastAsia" w:hAnsiTheme="minorHAnsi" w:cstheme="minorBidi"/>
            <w:noProof/>
            <w:sz w:val="22"/>
            <w:szCs w:val="22"/>
            <w:lang w:eastAsia="ja-JP"/>
          </w:rPr>
          <w:tab/>
        </w:r>
        <w:r w:rsidR="007057C1" w:rsidRPr="004B3DD2">
          <w:rPr>
            <w:rStyle w:val="Hyperlink"/>
            <w:noProof/>
          </w:rPr>
          <w:t>Determination of PICO: pre-assessment processes for selection of comparator(s), and identifying the treatment population and outcomes of interest</w:t>
        </w:r>
        <w:r w:rsidR="007057C1">
          <w:rPr>
            <w:noProof/>
            <w:webHidden/>
          </w:rPr>
          <w:tab/>
        </w:r>
        <w:r w:rsidR="007057C1">
          <w:rPr>
            <w:noProof/>
            <w:webHidden/>
          </w:rPr>
          <w:fldChar w:fldCharType="begin"/>
        </w:r>
        <w:r w:rsidR="007057C1">
          <w:rPr>
            <w:noProof/>
            <w:webHidden/>
          </w:rPr>
          <w:instrText xml:space="preserve"> PAGEREF _Toc157030183 \h </w:instrText>
        </w:r>
        <w:r w:rsidR="007057C1">
          <w:rPr>
            <w:noProof/>
            <w:webHidden/>
          </w:rPr>
        </w:r>
        <w:r w:rsidR="007057C1">
          <w:rPr>
            <w:noProof/>
            <w:webHidden/>
          </w:rPr>
          <w:fldChar w:fldCharType="separate"/>
        </w:r>
        <w:r w:rsidR="00474ED6">
          <w:rPr>
            <w:noProof/>
            <w:webHidden/>
          </w:rPr>
          <w:t>90</w:t>
        </w:r>
        <w:r w:rsidR="007057C1">
          <w:rPr>
            <w:noProof/>
            <w:webHidden/>
          </w:rPr>
          <w:fldChar w:fldCharType="end"/>
        </w:r>
      </w:hyperlink>
    </w:p>
    <w:p w14:paraId="5F291240" w14:textId="3592D6CE"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4" w:history="1">
        <w:r w:rsidR="007057C1" w:rsidRPr="004B3DD2">
          <w:rPr>
            <w:rStyle w:val="Hyperlink"/>
            <w:noProof/>
          </w:rPr>
          <w:t>3.2.</w:t>
        </w:r>
        <w:r w:rsidR="007057C1">
          <w:rPr>
            <w:rFonts w:asciiTheme="minorHAnsi" w:eastAsiaTheme="minorEastAsia" w:hAnsiTheme="minorHAnsi" w:cstheme="minorBidi"/>
            <w:noProof/>
            <w:sz w:val="22"/>
            <w:szCs w:val="22"/>
            <w:lang w:eastAsia="ja-JP"/>
          </w:rPr>
          <w:tab/>
        </w:r>
        <w:r w:rsidR="007057C1" w:rsidRPr="004B3DD2">
          <w:rPr>
            <w:rStyle w:val="Hyperlink"/>
            <w:noProof/>
          </w:rPr>
          <w:t>Clinical evaluation</w:t>
        </w:r>
        <w:r w:rsidR="007057C1">
          <w:rPr>
            <w:noProof/>
            <w:webHidden/>
          </w:rPr>
          <w:tab/>
        </w:r>
        <w:r w:rsidR="007057C1">
          <w:rPr>
            <w:noProof/>
            <w:webHidden/>
          </w:rPr>
          <w:fldChar w:fldCharType="begin"/>
        </w:r>
        <w:r w:rsidR="007057C1">
          <w:rPr>
            <w:noProof/>
            <w:webHidden/>
          </w:rPr>
          <w:instrText xml:space="preserve"> PAGEREF _Toc157030184 \h </w:instrText>
        </w:r>
        <w:r w:rsidR="007057C1">
          <w:rPr>
            <w:noProof/>
            <w:webHidden/>
          </w:rPr>
        </w:r>
        <w:r w:rsidR="007057C1">
          <w:rPr>
            <w:noProof/>
            <w:webHidden/>
          </w:rPr>
          <w:fldChar w:fldCharType="separate"/>
        </w:r>
        <w:r w:rsidR="00474ED6">
          <w:rPr>
            <w:noProof/>
            <w:webHidden/>
          </w:rPr>
          <w:t>94</w:t>
        </w:r>
        <w:r w:rsidR="007057C1">
          <w:rPr>
            <w:noProof/>
            <w:webHidden/>
          </w:rPr>
          <w:fldChar w:fldCharType="end"/>
        </w:r>
      </w:hyperlink>
    </w:p>
    <w:p w14:paraId="45AE19E2" w14:textId="16424352"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5" w:history="1">
        <w:r w:rsidR="007057C1" w:rsidRPr="004B3DD2">
          <w:rPr>
            <w:rStyle w:val="Hyperlink"/>
            <w:noProof/>
          </w:rPr>
          <w:t>3.3.</w:t>
        </w:r>
        <w:r w:rsidR="007057C1">
          <w:rPr>
            <w:rFonts w:asciiTheme="minorHAnsi" w:eastAsiaTheme="minorEastAsia" w:hAnsiTheme="minorHAnsi" w:cstheme="minorBidi"/>
            <w:noProof/>
            <w:sz w:val="22"/>
            <w:szCs w:val="22"/>
            <w:lang w:eastAsia="ja-JP"/>
          </w:rPr>
          <w:tab/>
        </w:r>
        <w:r w:rsidR="007057C1" w:rsidRPr="004B3DD2">
          <w:rPr>
            <w:rStyle w:val="Hyperlink"/>
            <w:noProof/>
          </w:rPr>
          <w:t>Approaches for therapies that target biomarkers</w:t>
        </w:r>
        <w:r w:rsidR="007057C1">
          <w:rPr>
            <w:noProof/>
            <w:webHidden/>
          </w:rPr>
          <w:tab/>
        </w:r>
        <w:r w:rsidR="007057C1">
          <w:rPr>
            <w:noProof/>
            <w:webHidden/>
          </w:rPr>
          <w:fldChar w:fldCharType="begin"/>
        </w:r>
        <w:r w:rsidR="007057C1">
          <w:rPr>
            <w:noProof/>
            <w:webHidden/>
          </w:rPr>
          <w:instrText xml:space="preserve"> PAGEREF _Toc157030185 \h </w:instrText>
        </w:r>
        <w:r w:rsidR="007057C1">
          <w:rPr>
            <w:noProof/>
            <w:webHidden/>
          </w:rPr>
        </w:r>
        <w:r w:rsidR="007057C1">
          <w:rPr>
            <w:noProof/>
            <w:webHidden/>
          </w:rPr>
          <w:fldChar w:fldCharType="separate"/>
        </w:r>
        <w:r w:rsidR="00474ED6">
          <w:rPr>
            <w:noProof/>
            <w:webHidden/>
          </w:rPr>
          <w:t>103</w:t>
        </w:r>
        <w:r w:rsidR="007057C1">
          <w:rPr>
            <w:noProof/>
            <w:webHidden/>
          </w:rPr>
          <w:fldChar w:fldCharType="end"/>
        </w:r>
      </w:hyperlink>
    </w:p>
    <w:p w14:paraId="4323DDE0" w14:textId="0C72B827"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6" w:history="1">
        <w:r w:rsidR="007057C1" w:rsidRPr="004B3DD2">
          <w:rPr>
            <w:rStyle w:val="Hyperlink"/>
            <w:noProof/>
          </w:rPr>
          <w:t>3.4.</w:t>
        </w:r>
        <w:r w:rsidR="007057C1">
          <w:rPr>
            <w:rFonts w:asciiTheme="minorHAnsi" w:eastAsiaTheme="minorEastAsia" w:hAnsiTheme="minorHAnsi" w:cstheme="minorBidi"/>
            <w:noProof/>
            <w:sz w:val="22"/>
            <w:szCs w:val="22"/>
            <w:lang w:eastAsia="ja-JP"/>
          </w:rPr>
          <w:tab/>
        </w:r>
        <w:r w:rsidR="007057C1" w:rsidRPr="004B3DD2">
          <w:rPr>
            <w:rStyle w:val="Hyperlink"/>
            <w:noProof/>
          </w:rPr>
          <w:t>Economic evaluation</w:t>
        </w:r>
        <w:r w:rsidR="007057C1">
          <w:rPr>
            <w:noProof/>
            <w:webHidden/>
          </w:rPr>
          <w:tab/>
        </w:r>
        <w:r w:rsidR="007057C1">
          <w:rPr>
            <w:noProof/>
            <w:webHidden/>
          </w:rPr>
          <w:fldChar w:fldCharType="begin"/>
        </w:r>
        <w:r w:rsidR="007057C1">
          <w:rPr>
            <w:noProof/>
            <w:webHidden/>
          </w:rPr>
          <w:instrText xml:space="preserve"> PAGEREF _Toc157030186 \h </w:instrText>
        </w:r>
        <w:r w:rsidR="007057C1">
          <w:rPr>
            <w:noProof/>
            <w:webHidden/>
          </w:rPr>
        </w:r>
        <w:r w:rsidR="007057C1">
          <w:rPr>
            <w:noProof/>
            <w:webHidden/>
          </w:rPr>
          <w:fldChar w:fldCharType="separate"/>
        </w:r>
        <w:r w:rsidR="00474ED6">
          <w:rPr>
            <w:noProof/>
            <w:webHidden/>
          </w:rPr>
          <w:t>107</w:t>
        </w:r>
        <w:r w:rsidR="007057C1">
          <w:rPr>
            <w:noProof/>
            <w:webHidden/>
          </w:rPr>
          <w:fldChar w:fldCharType="end"/>
        </w:r>
      </w:hyperlink>
    </w:p>
    <w:p w14:paraId="5203ADFF" w14:textId="726B773B"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87" w:history="1">
        <w:r w:rsidR="007057C1" w:rsidRPr="004B3DD2">
          <w:rPr>
            <w:rStyle w:val="Hyperlink"/>
            <w:noProof/>
          </w:rPr>
          <w:t>4.</w:t>
        </w:r>
        <w:r w:rsidR="007057C1">
          <w:rPr>
            <w:rFonts w:asciiTheme="minorHAnsi" w:eastAsiaTheme="minorEastAsia" w:hAnsiTheme="minorHAnsi" w:cstheme="minorBidi"/>
            <w:bCs w:val="0"/>
            <w:noProof/>
            <w:sz w:val="22"/>
            <w:szCs w:val="22"/>
            <w:lang w:eastAsia="ja-JP"/>
          </w:rPr>
          <w:tab/>
        </w:r>
        <w:r w:rsidR="007057C1" w:rsidRPr="004B3DD2">
          <w:rPr>
            <w:rStyle w:val="Hyperlink"/>
            <w:noProof/>
          </w:rPr>
          <w:t>Health technology funding and purchasing approaches and managing uncertainty</w:t>
        </w:r>
        <w:r w:rsidR="007057C1">
          <w:rPr>
            <w:noProof/>
            <w:webHidden/>
          </w:rPr>
          <w:tab/>
        </w:r>
        <w:r w:rsidR="007057C1">
          <w:rPr>
            <w:noProof/>
            <w:webHidden/>
          </w:rPr>
          <w:fldChar w:fldCharType="begin"/>
        </w:r>
        <w:r w:rsidR="007057C1">
          <w:rPr>
            <w:noProof/>
            <w:webHidden/>
          </w:rPr>
          <w:instrText xml:space="preserve"> PAGEREF _Toc157030187 \h </w:instrText>
        </w:r>
        <w:r w:rsidR="007057C1">
          <w:rPr>
            <w:noProof/>
            <w:webHidden/>
          </w:rPr>
        </w:r>
        <w:r w:rsidR="007057C1">
          <w:rPr>
            <w:noProof/>
            <w:webHidden/>
          </w:rPr>
          <w:fldChar w:fldCharType="separate"/>
        </w:r>
        <w:r w:rsidR="00474ED6">
          <w:rPr>
            <w:noProof/>
            <w:webHidden/>
          </w:rPr>
          <w:t>128</w:t>
        </w:r>
        <w:r w:rsidR="007057C1">
          <w:rPr>
            <w:noProof/>
            <w:webHidden/>
          </w:rPr>
          <w:fldChar w:fldCharType="end"/>
        </w:r>
      </w:hyperlink>
    </w:p>
    <w:p w14:paraId="7236DE62" w14:textId="238DA7BE"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8" w:history="1">
        <w:r w:rsidR="007057C1" w:rsidRPr="004B3DD2">
          <w:rPr>
            <w:rStyle w:val="Hyperlink"/>
            <w:noProof/>
          </w:rPr>
          <w:t>4.1.</w:t>
        </w:r>
        <w:r w:rsidR="007057C1">
          <w:rPr>
            <w:rFonts w:asciiTheme="minorHAnsi" w:eastAsiaTheme="minorEastAsia" w:hAnsiTheme="minorHAnsi" w:cstheme="minorBidi"/>
            <w:noProof/>
            <w:sz w:val="22"/>
            <w:szCs w:val="22"/>
            <w:lang w:eastAsia="ja-JP"/>
          </w:rPr>
          <w:tab/>
        </w:r>
        <w:r w:rsidR="007057C1" w:rsidRPr="004B3DD2">
          <w:rPr>
            <w:rStyle w:val="Hyperlink"/>
            <w:noProof/>
          </w:rPr>
          <w:t>Approaches to funding or purchasing new health technologies and managing uncertainty</w:t>
        </w:r>
        <w:r w:rsidR="007057C1">
          <w:rPr>
            <w:noProof/>
            <w:webHidden/>
          </w:rPr>
          <w:tab/>
        </w:r>
        <w:r w:rsidR="007057C1">
          <w:rPr>
            <w:noProof/>
            <w:webHidden/>
          </w:rPr>
          <w:fldChar w:fldCharType="begin"/>
        </w:r>
        <w:r w:rsidR="007057C1">
          <w:rPr>
            <w:noProof/>
            <w:webHidden/>
          </w:rPr>
          <w:instrText xml:space="preserve"> PAGEREF _Toc157030188 \h </w:instrText>
        </w:r>
        <w:r w:rsidR="007057C1">
          <w:rPr>
            <w:noProof/>
            <w:webHidden/>
          </w:rPr>
        </w:r>
        <w:r w:rsidR="007057C1">
          <w:rPr>
            <w:noProof/>
            <w:webHidden/>
          </w:rPr>
          <w:fldChar w:fldCharType="separate"/>
        </w:r>
        <w:r w:rsidR="00474ED6">
          <w:rPr>
            <w:noProof/>
            <w:webHidden/>
          </w:rPr>
          <w:t>128</w:t>
        </w:r>
        <w:r w:rsidR="007057C1">
          <w:rPr>
            <w:noProof/>
            <w:webHidden/>
          </w:rPr>
          <w:fldChar w:fldCharType="end"/>
        </w:r>
      </w:hyperlink>
    </w:p>
    <w:p w14:paraId="3DFE5222" w14:textId="315BCA6B"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89" w:history="1">
        <w:r w:rsidR="007057C1" w:rsidRPr="004B3DD2">
          <w:rPr>
            <w:rStyle w:val="Hyperlink"/>
            <w:noProof/>
          </w:rPr>
          <w:t>4.2.</w:t>
        </w:r>
        <w:r w:rsidR="007057C1">
          <w:rPr>
            <w:rFonts w:asciiTheme="minorHAnsi" w:eastAsiaTheme="minorEastAsia" w:hAnsiTheme="minorHAnsi" w:cstheme="minorBidi"/>
            <w:noProof/>
            <w:sz w:val="22"/>
            <w:szCs w:val="22"/>
            <w:lang w:eastAsia="ja-JP"/>
          </w:rPr>
          <w:tab/>
        </w:r>
        <w:r w:rsidR="007057C1" w:rsidRPr="004B3DD2">
          <w:rPr>
            <w:rStyle w:val="Hyperlink"/>
            <w:noProof/>
          </w:rPr>
          <w:t>Health technologies that address antimicrobial resistance (AMR)</w:t>
        </w:r>
        <w:r w:rsidR="007057C1">
          <w:rPr>
            <w:noProof/>
            <w:webHidden/>
          </w:rPr>
          <w:tab/>
        </w:r>
        <w:r w:rsidR="007057C1">
          <w:rPr>
            <w:noProof/>
            <w:webHidden/>
          </w:rPr>
          <w:fldChar w:fldCharType="begin"/>
        </w:r>
        <w:r w:rsidR="007057C1">
          <w:rPr>
            <w:noProof/>
            <w:webHidden/>
          </w:rPr>
          <w:instrText xml:space="preserve"> PAGEREF _Toc157030189 \h </w:instrText>
        </w:r>
        <w:r w:rsidR="007057C1">
          <w:rPr>
            <w:noProof/>
            <w:webHidden/>
          </w:rPr>
        </w:r>
        <w:r w:rsidR="007057C1">
          <w:rPr>
            <w:noProof/>
            <w:webHidden/>
          </w:rPr>
          <w:fldChar w:fldCharType="separate"/>
        </w:r>
        <w:r w:rsidR="00474ED6">
          <w:rPr>
            <w:noProof/>
            <w:webHidden/>
          </w:rPr>
          <w:t>139</w:t>
        </w:r>
        <w:r w:rsidR="007057C1">
          <w:rPr>
            <w:noProof/>
            <w:webHidden/>
          </w:rPr>
          <w:fldChar w:fldCharType="end"/>
        </w:r>
      </w:hyperlink>
    </w:p>
    <w:p w14:paraId="60A1B7FE" w14:textId="76778D8A"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0" w:history="1">
        <w:r w:rsidR="007057C1" w:rsidRPr="004B3DD2">
          <w:rPr>
            <w:rStyle w:val="Hyperlink"/>
            <w:noProof/>
          </w:rPr>
          <w:t>4.3.</w:t>
        </w:r>
        <w:r w:rsidR="007057C1">
          <w:rPr>
            <w:rFonts w:asciiTheme="minorHAnsi" w:eastAsiaTheme="minorEastAsia" w:hAnsiTheme="minorHAnsi" w:cstheme="minorBidi"/>
            <w:noProof/>
            <w:sz w:val="22"/>
            <w:szCs w:val="22"/>
            <w:lang w:eastAsia="ja-JP"/>
          </w:rPr>
          <w:tab/>
        </w:r>
        <w:r w:rsidR="007057C1" w:rsidRPr="004B3DD2">
          <w:rPr>
            <w:rStyle w:val="Hyperlink"/>
            <w:noProof/>
          </w:rPr>
          <w:t>Understanding the performance of health technologies in the Australian setting</w:t>
        </w:r>
        <w:r w:rsidR="007057C1">
          <w:rPr>
            <w:noProof/>
            <w:webHidden/>
          </w:rPr>
          <w:tab/>
        </w:r>
        <w:r w:rsidR="007057C1">
          <w:rPr>
            <w:noProof/>
            <w:webHidden/>
          </w:rPr>
          <w:fldChar w:fldCharType="begin"/>
        </w:r>
        <w:r w:rsidR="007057C1">
          <w:rPr>
            <w:noProof/>
            <w:webHidden/>
          </w:rPr>
          <w:instrText xml:space="preserve"> PAGEREF _Toc157030190 \h </w:instrText>
        </w:r>
        <w:r w:rsidR="007057C1">
          <w:rPr>
            <w:noProof/>
            <w:webHidden/>
          </w:rPr>
        </w:r>
        <w:r w:rsidR="007057C1">
          <w:rPr>
            <w:noProof/>
            <w:webHidden/>
          </w:rPr>
          <w:fldChar w:fldCharType="separate"/>
        </w:r>
        <w:r w:rsidR="00474ED6">
          <w:rPr>
            <w:noProof/>
            <w:webHidden/>
          </w:rPr>
          <w:t>144</w:t>
        </w:r>
        <w:r w:rsidR="007057C1">
          <w:rPr>
            <w:noProof/>
            <w:webHidden/>
          </w:rPr>
          <w:fldChar w:fldCharType="end"/>
        </w:r>
      </w:hyperlink>
    </w:p>
    <w:p w14:paraId="371C7CB7" w14:textId="7045FE3B"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91" w:history="1">
        <w:r w:rsidR="007057C1" w:rsidRPr="004B3DD2">
          <w:rPr>
            <w:rStyle w:val="Hyperlink"/>
            <w:noProof/>
          </w:rPr>
          <w:t>5.</w:t>
        </w:r>
        <w:r w:rsidR="007057C1">
          <w:rPr>
            <w:rFonts w:asciiTheme="minorHAnsi" w:eastAsiaTheme="minorEastAsia" w:hAnsiTheme="minorHAnsi" w:cstheme="minorBidi"/>
            <w:bCs w:val="0"/>
            <w:noProof/>
            <w:sz w:val="22"/>
            <w:szCs w:val="22"/>
            <w:lang w:eastAsia="ja-JP"/>
          </w:rPr>
          <w:tab/>
        </w:r>
        <w:r w:rsidR="007057C1" w:rsidRPr="004B3DD2">
          <w:rPr>
            <w:rStyle w:val="Hyperlink"/>
            <w:noProof/>
          </w:rPr>
          <w:t>Futureproofing Australia’s systems and processes</w:t>
        </w:r>
        <w:r w:rsidR="007057C1">
          <w:rPr>
            <w:noProof/>
            <w:webHidden/>
          </w:rPr>
          <w:tab/>
        </w:r>
        <w:r w:rsidR="007057C1">
          <w:rPr>
            <w:noProof/>
            <w:webHidden/>
          </w:rPr>
          <w:fldChar w:fldCharType="begin"/>
        </w:r>
        <w:r w:rsidR="007057C1">
          <w:rPr>
            <w:noProof/>
            <w:webHidden/>
          </w:rPr>
          <w:instrText xml:space="preserve"> PAGEREF _Toc157030191 \h </w:instrText>
        </w:r>
        <w:r w:rsidR="007057C1">
          <w:rPr>
            <w:noProof/>
            <w:webHidden/>
          </w:rPr>
        </w:r>
        <w:r w:rsidR="007057C1">
          <w:rPr>
            <w:noProof/>
            <w:webHidden/>
          </w:rPr>
          <w:fldChar w:fldCharType="separate"/>
        </w:r>
        <w:r w:rsidR="00474ED6">
          <w:rPr>
            <w:noProof/>
            <w:webHidden/>
          </w:rPr>
          <w:t>152</w:t>
        </w:r>
        <w:r w:rsidR="007057C1">
          <w:rPr>
            <w:noProof/>
            <w:webHidden/>
          </w:rPr>
          <w:fldChar w:fldCharType="end"/>
        </w:r>
      </w:hyperlink>
    </w:p>
    <w:p w14:paraId="5AE95278" w14:textId="03200312"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2" w:history="1">
        <w:r w:rsidR="007057C1" w:rsidRPr="004B3DD2">
          <w:rPr>
            <w:rStyle w:val="Hyperlink"/>
            <w:noProof/>
          </w:rPr>
          <w:t>5.1.</w:t>
        </w:r>
        <w:r w:rsidR="007057C1">
          <w:rPr>
            <w:rFonts w:asciiTheme="minorHAnsi" w:eastAsiaTheme="minorEastAsia" w:hAnsiTheme="minorHAnsi" w:cstheme="minorBidi"/>
            <w:noProof/>
            <w:sz w:val="22"/>
            <w:szCs w:val="22"/>
            <w:lang w:eastAsia="ja-JP"/>
          </w:rPr>
          <w:tab/>
        </w:r>
        <w:r w:rsidR="007057C1" w:rsidRPr="004B3DD2">
          <w:rPr>
            <w:rStyle w:val="Hyperlink"/>
            <w:noProof/>
          </w:rPr>
          <w:t>Proactively addressing areas of unmet clinical need and gaps in funded access</w:t>
        </w:r>
        <w:r w:rsidR="007057C1">
          <w:rPr>
            <w:noProof/>
            <w:webHidden/>
          </w:rPr>
          <w:tab/>
        </w:r>
        <w:r w:rsidR="007057C1">
          <w:rPr>
            <w:noProof/>
            <w:webHidden/>
          </w:rPr>
          <w:fldChar w:fldCharType="begin"/>
        </w:r>
        <w:r w:rsidR="007057C1">
          <w:rPr>
            <w:noProof/>
            <w:webHidden/>
          </w:rPr>
          <w:instrText xml:space="preserve"> PAGEREF _Toc157030192 \h </w:instrText>
        </w:r>
        <w:r w:rsidR="007057C1">
          <w:rPr>
            <w:noProof/>
            <w:webHidden/>
          </w:rPr>
        </w:r>
        <w:r w:rsidR="007057C1">
          <w:rPr>
            <w:noProof/>
            <w:webHidden/>
          </w:rPr>
          <w:fldChar w:fldCharType="separate"/>
        </w:r>
        <w:r w:rsidR="00474ED6">
          <w:rPr>
            <w:noProof/>
            <w:webHidden/>
          </w:rPr>
          <w:t>152</w:t>
        </w:r>
        <w:r w:rsidR="007057C1">
          <w:rPr>
            <w:noProof/>
            <w:webHidden/>
          </w:rPr>
          <w:fldChar w:fldCharType="end"/>
        </w:r>
      </w:hyperlink>
    </w:p>
    <w:p w14:paraId="440DA534" w14:textId="0B008131"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3" w:history="1">
        <w:r w:rsidR="007057C1" w:rsidRPr="004B3DD2">
          <w:rPr>
            <w:rStyle w:val="Hyperlink"/>
            <w:noProof/>
          </w:rPr>
          <w:t>5.2.</w:t>
        </w:r>
        <w:r w:rsidR="007057C1">
          <w:rPr>
            <w:rFonts w:asciiTheme="minorHAnsi" w:eastAsiaTheme="minorEastAsia" w:hAnsiTheme="minorHAnsi" w:cstheme="minorBidi"/>
            <w:noProof/>
            <w:sz w:val="22"/>
            <w:szCs w:val="22"/>
            <w:lang w:eastAsia="ja-JP"/>
          </w:rPr>
          <w:tab/>
        </w:r>
        <w:r w:rsidR="007057C1" w:rsidRPr="004B3DD2">
          <w:rPr>
            <w:rStyle w:val="Hyperlink"/>
            <w:noProof/>
          </w:rPr>
          <w:t>Horizon Scanning</w:t>
        </w:r>
        <w:r w:rsidR="007057C1">
          <w:rPr>
            <w:noProof/>
            <w:webHidden/>
          </w:rPr>
          <w:tab/>
        </w:r>
        <w:r w:rsidR="007057C1">
          <w:rPr>
            <w:noProof/>
            <w:webHidden/>
          </w:rPr>
          <w:fldChar w:fldCharType="begin"/>
        </w:r>
        <w:r w:rsidR="007057C1">
          <w:rPr>
            <w:noProof/>
            <w:webHidden/>
          </w:rPr>
          <w:instrText xml:space="preserve"> PAGEREF _Toc157030193 \h </w:instrText>
        </w:r>
        <w:r w:rsidR="007057C1">
          <w:rPr>
            <w:noProof/>
            <w:webHidden/>
          </w:rPr>
        </w:r>
        <w:r w:rsidR="007057C1">
          <w:rPr>
            <w:noProof/>
            <w:webHidden/>
          </w:rPr>
          <w:fldChar w:fldCharType="separate"/>
        </w:r>
        <w:r w:rsidR="00474ED6">
          <w:rPr>
            <w:noProof/>
            <w:webHidden/>
          </w:rPr>
          <w:t>154</w:t>
        </w:r>
        <w:r w:rsidR="007057C1">
          <w:rPr>
            <w:noProof/>
            <w:webHidden/>
          </w:rPr>
          <w:fldChar w:fldCharType="end"/>
        </w:r>
      </w:hyperlink>
    </w:p>
    <w:p w14:paraId="5A878D09" w14:textId="2F27A07F"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4" w:history="1">
        <w:r w:rsidR="007057C1" w:rsidRPr="004B3DD2">
          <w:rPr>
            <w:rStyle w:val="Hyperlink"/>
            <w:noProof/>
          </w:rPr>
          <w:t>5.3.</w:t>
        </w:r>
        <w:r w:rsidR="007057C1">
          <w:rPr>
            <w:rFonts w:asciiTheme="minorHAnsi" w:eastAsiaTheme="minorEastAsia" w:hAnsiTheme="minorHAnsi" w:cstheme="minorBidi"/>
            <w:noProof/>
            <w:sz w:val="22"/>
            <w:szCs w:val="22"/>
            <w:lang w:eastAsia="ja-JP"/>
          </w:rPr>
          <w:tab/>
        </w:r>
        <w:r w:rsidR="007057C1" w:rsidRPr="004B3DD2">
          <w:rPr>
            <w:rStyle w:val="Hyperlink"/>
            <w:noProof/>
          </w:rPr>
          <w:t>Environmental considerations in HTA</w:t>
        </w:r>
        <w:r w:rsidR="007057C1">
          <w:rPr>
            <w:noProof/>
            <w:webHidden/>
          </w:rPr>
          <w:tab/>
        </w:r>
        <w:r w:rsidR="007057C1">
          <w:rPr>
            <w:noProof/>
            <w:webHidden/>
          </w:rPr>
          <w:fldChar w:fldCharType="begin"/>
        </w:r>
        <w:r w:rsidR="007057C1">
          <w:rPr>
            <w:noProof/>
            <w:webHidden/>
          </w:rPr>
          <w:instrText xml:space="preserve"> PAGEREF _Toc157030194 \h </w:instrText>
        </w:r>
        <w:r w:rsidR="007057C1">
          <w:rPr>
            <w:noProof/>
            <w:webHidden/>
          </w:rPr>
        </w:r>
        <w:r w:rsidR="007057C1">
          <w:rPr>
            <w:noProof/>
            <w:webHidden/>
          </w:rPr>
          <w:fldChar w:fldCharType="separate"/>
        </w:r>
        <w:r w:rsidR="00474ED6">
          <w:rPr>
            <w:noProof/>
            <w:webHidden/>
          </w:rPr>
          <w:t>158</w:t>
        </w:r>
        <w:r w:rsidR="007057C1">
          <w:rPr>
            <w:noProof/>
            <w:webHidden/>
          </w:rPr>
          <w:fldChar w:fldCharType="end"/>
        </w:r>
      </w:hyperlink>
    </w:p>
    <w:p w14:paraId="1D3A879C" w14:textId="57FC6A68"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5" w:history="1">
        <w:r w:rsidR="007057C1" w:rsidRPr="004B3DD2">
          <w:rPr>
            <w:rStyle w:val="Hyperlink"/>
            <w:noProof/>
          </w:rPr>
          <w:t>5.4.</w:t>
        </w:r>
        <w:r w:rsidR="007057C1">
          <w:rPr>
            <w:rFonts w:asciiTheme="minorHAnsi" w:eastAsiaTheme="minorEastAsia" w:hAnsiTheme="minorHAnsi" w:cstheme="minorBidi"/>
            <w:noProof/>
            <w:sz w:val="22"/>
            <w:szCs w:val="22"/>
            <w:lang w:eastAsia="ja-JP"/>
          </w:rPr>
          <w:tab/>
        </w:r>
        <w:r w:rsidR="007057C1" w:rsidRPr="004B3DD2">
          <w:rPr>
            <w:rStyle w:val="Hyperlink"/>
            <w:noProof/>
          </w:rPr>
          <w:t>Mechanisms for continuous review and improvement</w:t>
        </w:r>
        <w:r w:rsidR="007057C1">
          <w:rPr>
            <w:noProof/>
            <w:webHidden/>
          </w:rPr>
          <w:tab/>
        </w:r>
        <w:r w:rsidR="007057C1">
          <w:rPr>
            <w:noProof/>
            <w:webHidden/>
          </w:rPr>
          <w:fldChar w:fldCharType="begin"/>
        </w:r>
        <w:r w:rsidR="007057C1">
          <w:rPr>
            <w:noProof/>
            <w:webHidden/>
          </w:rPr>
          <w:instrText xml:space="preserve"> PAGEREF _Toc157030195 \h </w:instrText>
        </w:r>
        <w:r w:rsidR="007057C1">
          <w:rPr>
            <w:noProof/>
            <w:webHidden/>
          </w:rPr>
        </w:r>
        <w:r w:rsidR="007057C1">
          <w:rPr>
            <w:noProof/>
            <w:webHidden/>
          </w:rPr>
          <w:fldChar w:fldCharType="separate"/>
        </w:r>
        <w:r w:rsidR="00474ED6">
          <w:rPr>
            <w:noProof/>
            <w:webHidden/>
          </w:rPr>
          <w:t>162</w:t>
        </w:r>
        <w:r w:rsidR="007057C1">
          <w:rPr>
            <w:noProof/>
            <w:webHidden/>
          </w:rPr>
          <w:fldChar w:fldCharType="end"/>
        </w:r>
      </w:hyperlink>
    </w:p>
    <w:p w14:paraId="69713061" w14:textId="32CBADC7" w:rsidR="007057C1" w:rsidRDefault="00E73C9F">
      <w:pPr>
        <w:pStyle w:val="TOC2"/>
        <w:tabs>
          <w:tab w:val="left" w:pos="1440"/>
          <w:tab w:val="right" w:leader="dot" w:pos="9016"/>
        </w:tabs>
        <w:rPr>
          <w:rFonts w:asciiTheme="minorHAnsi" w:eastAsiaTheme="minorEastAsia" w:hAnsiTheme="minorHAnsi" w:cstheme="minorBidi"/>
          <w:noProof/>
          <w:sz w:val="22"/>
          <w:szCs w:val="22"/>
          <w:lang w:eastAsia="ja-JP"/>
        </w:rPr>
      </w:pPr>
      <w:hyperlink w:anchor="_Toc157030196" w:history="1">
        <w:r w:rsidR="007057C1" w:rsidRPr="004B3DD2">
          <w:rPr>
            <w:rStyle w:val="Hyperlink"/>
            <w:noProof/>
          </w:rPr>
          <w:t>5.5.</w:t>
        </w:r>
        <w:r w:rsidR="007057C1">
          <w:rPr>
            <w:rFonts w:asciiTheme="minorHAnsi" w:eastAsiaTheme="minorEastAsia" w:hAnsiTheme="minorHAnsi" w:cstheme="minorBidi"/>
            <w:noProof/>
            <w:sz w:val="22"/>
            <w:szCs w:val="22"/>
            <w:lang w:eastAsia="ja-JP"/>
          </w:rPr>
          <w:tab/>
        </w:r>
        <w:r w:rsidR="007057C1" w:rsidRPr="004B3DD2">
          <w:rPr>
            <w:rStyle w:val="Hyperlink"/>
            <w:noProof/>
          </w:rPr>
          <w:t>Capacity and capability in the HTA systems</w:t>
        </w:r>
        <w:r w:rsidR="007057C1">
          <w:rPr>
            <w:noProof/>
            <w:webHidden/>
          </w:rPr>
          <w:tab/>
        </w:r>
        <w:r w:rsidR="007057C1">
          <w:rPr>
            <w:noProof/>
            <w:webHidden/>
          </w:rPr>
          <w:fldChar w:fldCharType="begin"/>
        </w:r>
        <w:r w:rsidR="007057C1">
          <w:rPr>
            <w:noProof/>
            <w:webHidden/>
          </w:rPr>
          <w:instrText xml:space="preserve"> PAGEREF _Toc157030196 \h </w:instrText>
        </w:r>
        <w:r w:rsidR="007057C1">
          <w:rPr>
            <w:noProof/>
            <w:webHidden/>
          </w:rPr>
        </w:r>
        <w:r w:rsidR="007057C1">
          <w:rPr>
            <w:noProof/>
            <w:webHidden/>
          </w:rPr>
          <w:fldChar w:fldCharType="separate"/>
        </w:r>
        <w:r w:rsidR="00474ED6">
          <w:rPr>
            <w:noProof/>
            <w:webHidden/>
          </w:rPr>
          <w:t>165</w:t>
        </w:r>
        <w:r w:rsidR="007057C1">
          <w:rPr>
            <w:noProof/>
            <w:webHidden/>
          </w:rPr>
          <w:fldChar w:fldCharType="end"/>
        </w:r>
      </w:hyperlink>
    </w:p>
    <w:p w14:paraId="3659E8BC" w14:textId="23707302"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97" w:history="1">
        <w:r w:rsidR="007057C1" w:rsidRPr="004B3DD2">
          <w:rPr>
            <w:rStyle w:val="Hyperlink"/>
            <w:noProof/>
          </w:rPr>
          <w:t>Index</w:t>
        </w:r>
        <w:r w:rsidR="007057C1">
          <w:rPr>
            <w:noProof/>
            <w:webHidden/>
          </w:rPr>
          <w:tab/>
        </w:r>
        <w:r w:rsidR="007057C1">
          <w:rPr>
            <w:noProof/>
            <w:webHidden/>
          </w:rPr>
          <w:fldChar w:fldCharType="begin"/>
        </w:r>
        <w:r w:rsidR="007057C1">
          <w:rPr>
            <w:noProof/>
            <w:webHidden/>
          </w:rPr>
          <w:instrText xml:space="preserve"> PAGEREF _Toc157030197 \h </w:instrText>
        </w:r>
        <w:r w:rsidR="007057C1">
          <w:rPr>
            <w:noProof/>
            <w:webHidden/>
          </w:rPr>
        </w:r>
        <w:r w:rsidR="007057C1">
          <w:rPr>
            <w:noProof/>
            <w:webHidden/>
          </w:rPr>
          <w:fldChar w:fldCharType="separate"/>
        </w:r>
        <w:r w:rsidR="00474ED6">
          <w:rPr>
            <w:noProof/>
            <w:webHidden/>
          </w:rPr>
          <w:t>170</w:t>
        </w:r>
        <w:r w:rsidR="007057C1">
          <w:rPr>
            <w:noProof/>
            <w:webHidden/>
          </w:rPr>
          <w:fldChar w:fldCharType="end"/>
        </w:r>
      </w:hyperlink>
    </w:p>
    <w:p w14:paraId="32423290" w14:textId="03E1D1D7" w:rsidR="007057C1" w:rsidRDefault="00E73C9F">
      <w:pPr>
        <w:pStyle w:val="TOC1"/>
        <w:tabs>
          <w:tab w:val="right" w:leader="dot" w:pos="9016"/>
        </w:tabs>
        <w:rPr>
          <w:rFonts w:asciiTheme="minorHAnsi" w:eastAsiaTheme="minorEastAsia" w:hAnsiTheme="minorHAnsi" w:cstheme="minorBidi"/>
          <w:bCs w:val="0"/>
          <w:noProof/>
          <w:sz w:val="22"/>
          <w:szCs w:val="22"/>
          <w:lang w:eastAsia="ja-JP"/>
        </w:rPr>
      </w:pPr>
      <w:hyperlink w:anchor="_Toc157030198" w:history="1">
        <w:r w:rsidR="007057C1" w:rsidRPr="004B3DD2">
          <w:rPr>
            <w:rStyle w:val="Hyperlink"/>
            <w:noProof/>
          </w:rPr>
          <w:t>List of Acronyms and Abbreviations</w:t>
        </w:r>
        <w:r w:rsidR="007057C1">
          <w:rPr>
            <w:noProof/>
            <w:webHidden/>
          </w:rPr>
          <w:tab/>
        </w:r>
        <w:r w:rsidR="007057C1">
          <w:rPr>
            <w:noProof/>
            <w:webHidden/>
          </w:rPr>
          <w:fldChar w:fldCharType="begin"/>
        </w:r>
        <w:r w:rsidR="007057C1">
          <w:rPr>
            <w:noProof/>
            <w:webHidden/>
          </w:rPr>
          <w:instrText xml:space="preserve"> PAGEREF _Toc157030198 \h </w:instrText>
        </w:r>
        <w:r w:rsidR="007057C1">
          <w:rPr>
            <w:noProof/>
            <w:webHidden/>
          </w:rPr>
        </w:r>
        <w:r w:rsidR="007057C1">
          <w:rPr>
            <w:noProof/>
            <w:webHidden/>
          </w:rPr>
          <w:fldChar w:fldCharType="separate"/>
        </w:r>
        <w:r w:rsidR="00474ED6">
          <w:rPr>
            <w:noProof/>
            <w:webHidden/>
          </w:rPr>
          <w:t>172</w:t>
        </w:r>
        <w:r w:rsidR="007057C1">
          <w:rPr>
            <w:noProof/>
            <w:webHidden/>
          </w:rPr>
          <w:fldChar w:fldCharType="end"/>
        </w:r>
      </w:hyperlink>
    </w:p>
    <w:p w14:paraId="476ECD06" w14:textId="309A95FB" w:rsidR="00F765C8" w:rsidRDefault="00B3176A" w:rsidP="008C10BB">
      <w:r>
        <w:rPr>
          <w:rFonts w:cstheme="minorHAnsi"/>
          <w:sz w:val="22"/>
          <w:szCs w:val="20"/>
        </w:rPr>
        <w:fldChar w:fldCharType="end"/>
      </w:r>
    </w:p>
    <w:p w14:paraId="73C1BE67" w14:textId="4A56F33E" w:rsidR="001B1C5C" w:rsidRDefault="001B1C5C" w:rsidP="00225619">
      <w:pPr>
        <w:pStyle w:val="Heading1"/>
        <w:numPr>
          <w:ilvl w:val="0"/>
          <w:numId w:val="0"/>
        </w:numPr>
      </w:pPr>
    </w:p>
    <w:p w14:paraId="53A38675" w14:textId="55E9F2F6" w:rsidR="00F765C8" w:rsidRDefault="00F765C8" w:rsidP="008C10BB">
      <w:pPr>
        <w:sectPr w:rsidR="00F765C8" w:rsidSect="00C168E9">
          <w:headerReference w:type="default" r:id="rId61"/>
          <w:pgSz w:w="11906" w:h="16838"/>
          <w:pgMar w:top="1440" w:right="1440" w:bottom="1135" w:left="1440" w:header="708" w:footer="708" w:gutter="0"/>
          <w:cols w:space="708"/>
          <w:docGrid w:linePitch="360"/>
        </w:sectPr>
      </w:pPr>
    </w:p>
    <w:p w14:paraId="493867EF" w14:textId="401E06C6" w:rsidR="009B5EE1" w:rsidRDefault="009B5EE1">
      <w:pPr>
        <w:sectPr w:rsidR="009B5EE1" w:rsidSect="00F765C8">
          <w:headerReference w:type="default" r:id="rId62"/>
          <w:type w:val="continuous"/>
          <w:pgSz w:w="11906" w:h="16838"/>
          <w:pgMar w:top="1440" w:right="1440" w:bottom="1135" w:left="1440" w:header="708" w:footer="708" w:gutter="0"/>
          <w:cols w:space="708"/>
          <w:docGrid w:linePitch="360"/>
        </w:sectPr>
      </w:pPr>
    </w:p>
    <w:p w14:paraId="5243EA92" w14:textId="33FC2FAE" w:rsidR="00A05178" w:rsidRPr="00362AF9" w:rsidRDefault="00792A4B" w:rsidP="008C10BB">
      <w:pPr>
        <w:pStyle w:val="Heading1"/>
        <w:numPr>
          <w:ilvl w:val="0"/>
          <w:numId w:val="0"/>
        </w:numPr>
        <w:spacing w:line="259" w:lineRule="auto"/>
      </w:pPr>
      <w:bookmarkStart w:id="10" w:name="_Toc157029020"/>
      <w:bookmarkStart w:id="11" w:name="_Toc157029473"/>
      <w:bookmarkStart w:id="12" w:name="_Toc157030165"/>
      <w:bookmarkStart w:id="13" w:name="_Hlk156831434"/>
      <w:bookmarkEnd w:id="0"/>
      <w:r w:rsidRPr="00362AF9">
        <w:lastRenderedPageBreak/>
        <w:t>Preface</w:t>
      </w:r>
      <w:bookmarkEnd w:id="10"/>
      <w:bookmarkEnd w:id="11"/>
      <w:bookmarkEnd w:id="12"/>
    </w:p>
    <w:bookmarkEnd w:id="13"/>
    <w:p w14:paraId="739EE157" w14:textId="501E7EFA" w:rsidR="00CB4AB0" w:rsidRDefault="00CB4AB0" w:rsidP="00CB4AB0">
      <w:r>
        <w:t xml:space="preserve">All individuals and organisations </w:t>
      </w:r>
      <w:r w:rsidR="00577FC7">
        <w:t xml:space="preserve">that have participated in the HTA </w:t>
      </w:r>
      <w:r w:rsidR="00107E98">
        <w:t>R</w:t>
      </w:r>
      <w:r w:rsidR="00577FC7">
        <w:t>eview</w:t>
      </w:r>
      <w:r>
        <w:t xml:space="preserve"> are keen for Australians to be able to access the latest breakthrough health technologies as </w:t>
      </w:r>
      <w:r w:rsidR="00760D98">
        <w:t xml:space="preserve">quickly </w:t>
      </w:r>
      <w:r>
        <w:t>as</w:t>
      </w:r>
      <w:r w:rsidDel="00CB4AB0">
        <w:t xml:space="preserve"> </w:t>
      </w:r>
      <w:r w:rsidDel="00760D98">
        <w:t>is</w:t>
      </w:r>
      <w:r>
        <w:t xml:space="preserve"> possible</w:t>
      </w:r>
      <w:r w:rsidR="00D825C9" w:rsidRPr="00D825C9">
        <w:t xml:space="preserve">, and in line with the </w:t>
      </w:r>
      <w:hyperlink r:id="rId63" w:history="1">
        <w:r w:rsidR="00D825C9" w:rsidRPr="00313A7B">
          <w:rPr>
            <w:rStyle w:val="Hyperlink"/>
          </w:rPr>
          <w:t>National Medicines Policy</w:t>
        </w:r>
        <w:r w:rsidR="74D81A12" w:rsidRPr="00313A7B">
          <w:rPr>
            <w:rStyle w:val="Hyperlink"/>
          </w:rPr>
          <w:t xml:space="preserve"> (NMP)</w:t>
        </w:r>
      </w:hyperlink>
      <w:r w:rsidR="00D825C9">
        <w:t>,</w:t>
      </w:r>
      <w:r w:rsidR="00D825C9" w:rsidRPr="00D825C9">
        <w:t xml:space="preserve"> at </w:t>
      </w:r>
      <w:r w:rsidR="00D825C9">
        <w:t>a</w:t>
      </w:r>
      <w:r w:rsidR="000D2446">
        <w:t>n affordable</w:t>
      </w:r>
      <w:r w:rsidR="00D825C9" w:rsidRPr="00D825C9">
        <w:t xml:space="preserve"> cost</w:t>
      </w:r>
      <w:r>
        <w:t>.</w:t>
      </w:r>
    </w:p>
    <w:p w14:paraId="29DCB602" w14:textId="52CB447B" w:rsidR="00A103B7" w:rsidRDefault="00A24CE5" w:rsidP="00810A9D">
      <w:r>
        <w:t>W</w:t>
      </w:r>
      <w:r w:rsidR="005E15B0">
        <w:t>hen deciding whether a health technology should be funded</w:t>
      </w:r>
      <w:r w:rsidR="00A04B6B">
        <w:t xml:space="preserve"> or subsidised,</w:t>
      </w:r>
      <w:r w:rsidR="005055DC">
        <w:t xml:space="preserve"> the fundamental questions </w:t>
      </w:r>
      <w:r w:rsidR="006E1611">
        <w:t>that need to be asked</w:t>
      </w:r>
      <w:r w:rsidR="00353889">
        <w:t xml:space="preserve"> </w:t>
      </w:r>
      <w:r w:rsidR="003F18AA">
        <w:t>are</w:t>
      </w:r>
      <w:r w:rsidR="00AF2B99">
        <w:t>:</w:t>
      </w:r>
    </w:p>
    <w:p w14:paraId="6E3C5F56" w14:textId="0C4B99B7" w:rsidR="006E1611" w:rsidRDefault="006E1611" w:rsidP="008505D7">
      <w:pPr>
        <w:pStyle w:val="ListParagraph"/>
        <w:numPr>
          <w:ilvl w:val="0"/>
          <w:numId w:val="141"/>
        </w:numPr>
      </w:pPr>
      <w:r>
        <w:t>Does it work</w:t>
      </w:r>
      <w:r w:rsidR="00556EAC">
        <w:t>?</w:t>
      </w:r>
    </w:p>
    <w:p w14:paraId="57C1AB39" w14:textId="24051B8D" w:rsidR="006E1611" w:rsidRDefault="006D06CB" w:rsidP="008505D7">
      <w:pPr>
        <w:pStyle w:val="ListParagraph"/>
        <w:numPr>
          <w:ilvl w:val="0"/>
          <w:numId w:val="141"/>
        </w:numPr>
      </w:pPr>
      <w:r>
        <w:t>Will</w:t>
      </w:r>
      <w:r w:rsidR="006E1611">
        <w:t xml:space="preserve"> it</w:t>
      </w:r>
      <w:r w:rsidR="00FC1DDF">
        <w:t xml:space="preserve"> </w:t>
      </w:r>
      <w:r w:rsidR="00024EAA">
        <w:t>work</w:t>
      </w:r>
      <w:r w:rsidR="006E1611">
        <w:t xml:space="preserve"> </w:t>
      </w:r>
      <w:r w:rsidR="00593A14">
        <w:t xml:space="preserve">as well as, or </w:t>
      </w:r>
      <w:r w:rsidR="006E1611">
        <w:t>better than</w:t>
      </w:r>
      <w:r w:rsidR="00981F80">
        <w:t>,</w:t>
      </w:r>
      <w:r w:rsidR="00103886">
        <w:t xml:space="preserve"> </w:t>
      </w:r>
      <w:r w:rsidR="006658B1">
        <w:t>what</w:t>
      </w:r>
      <w:r w:rsidR="00103886">
        <w:t xml:space="preserve"> </w:t>
      </w:r>
      <w:r w:rsidR="008128B1">
        <w:t>Australians</w:t>
      </w:r>
      <w:r w:rsidR="00103886">
        <w:t xml:space="preserve"> already have</w:t>
      </w:r>
      <w:r w:rsidR="006E0081">
        <w:t xml:space="preserve"> access to</w:t>
      </w:r>
      <w:r w:rsidR="00556EAC">
        <w:t>?</w:t>
      </w:r>
    </w:p>
    <w:p w14:paraId="1EBF9A9E" w14:textId="526A422F" w:rsidR="00050234" w:rsidRDefault="00103886" w:rsidP="008505D7">
      <w:pPr>
        <w:pStyle w:val="ListParagraph"/>
        <w:numPr>
          <w:ilvl w:val="0"/>
          <w:numId w:val="141"/>
        </w:numPr>
      </w:pPr>
      <w:r>
        <w:t xml:space="preserve">Will </w:t>
      </w:r>
      <w:r w:rsidR="00256B47">
        <w:t>Australians</w:t>
      </w:r>
      <w:r w:rsidR="00050234">
        <w:t xml:space="preserve"> be</w:t>
      </w:r>
      <w:r>
        <w:t xml:space="preserve"> better off overall</w:t>
      </w:r>
      <w:r w:rsidR="00866970">
        <w:t xml:space="preserve"> if</w:t>
      </w:r>
      <w:r w:rsidR="00457263">
        <w:t xml:space="preserve"> </w:t>
      </w:r>
      <w:r w:rsidR="008128B1">
        <w:t>it is funded</w:t>
      </w:r>
      <w:r w:rsidR="00556EAC">
        <w:t>?</w:t>
      </w:r>
    </w:p>
    <w:p w14:paraId="0F45DEF4" w14:textId="026EA887" w:rsidR="007C0550" w:rsidRDefault="009C7019" w:rsidP="00915E77">
      <w:r>
        <w:t xml:space="preserve">Australia’s HTA policy and methods provide the framework for how these </w:t>
      </w:r>
      <w:r w:rsidR="00AF2B99">
        <w:t>assessments</w:t>
      </w:r>
      <w:r>
        <w:t xml:space="preserve"> are to be made. </w:t>
      </w:r>
      <w:r w:rsidR="00557893">
        <w:t xml:space="preserve">They set out how </w:t>
      </w:r>
      <w:r w:rsidR="005033C8">
        <w:t>safe</w:t>
      </w:r>
      <w:r w:rsidR="00086778">
        <w:t>ty</w:t>
      </w:r>
      <w:r w:rsidR="005033C8">
        <w:t xml:space="preserve"> and </w:t>
      </w:r>
      <w:r w:rsidR="00FD6B8D">
        <w:t>efficacy</w:t>
      </w:r>
      <w:r w:rsidR="00086778">
        <w:t xml:space="preserve"> of</w:t>
      </w:r>
      <w:r w:rsidR="005033C8">
        <w:t xml:space="preserve"> health technologies</w:t>
      </w:r>
      <w:r w:rsidR="000C43FA">
        <w:t xml:space="preserve"> are</w:t>
      </w:r>
      <w:r w:rsidR="00B00620">
        <w:t xml:space="preserve"> measured</w:t>
      </w:r>
      <w:r w:rsidR="000C43FA">
        <w:t>, how they compare with alternative therapies,</w:t>
      </w:r>
      <w:r w:rsidR="00CE660A">
        <w:t xml:space="preserve"> </w:t>
      </w:r>
      <w:r w:rsidR="00F1671C">
        <w:t>how</w:t>
      </w:r>
      <w:r w:rsidR="00426BD1">
        <w:t xml:space="preserve"> their</w:t>
      </w:r>
      <w:r w:rsidR="0013136A">
        <w:t xml:space="preserve"> value </w:t>
      </w:r>
      <w:r w:rsidR="00F1671C">
        <w:t>for money</w:t>
      </w:r>
      <w:r w:rsidR="00B00620">
        <w:t xml:space="preserve"> is estimated</w:t>
      </w:r>
      <w:r w:rsidR="00FD69B2">
        <w:t xml:space="preserve">, how </w:t>
      </w:r>
      <w:r w:rsidR="00B00620">
        <w:t xml:space="preserve">appraisals may be </w:t>
      </w:r>
      <w:r w:rsidR="00FD69B2">
        <w:t>modif</w:t>
      </w:r>
      <w:r w:rsidR="00B00620">
        <w:t>ied</w:t>
      </w:r>
      <w:r w:rsidR="00CC1E13">
        <w:t xml:space="preserve"> </w:t>
      </w:r>
      <w:r w:rsidR="00B00620">
        <w:t>for</w:t>
      </w:r>
      <w:r w:rsidR="00CC1E13">
        <w:t xml:space="preserve">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00CC1E13">
        <w:t xml:space="preserve"> and other policy considerations</w:t>
      </w:r>
      <w:r w:rsidR="00F0410B">
        <w:t xml:space="preserve">, </w:t>
      </w:r>
      <w:r w:rsidR="002E0946">
        <w:t xml:space="preserve">and how confident </w:t>
      </w:r>
      <w:r w:rsidR="00101FE8">
        <w:t>the HTA Committee</w:t>
      </w:r>
      <w:r w:rsidR="002E0946">
        <w:t xml:space="preserve"> can be </w:t>
      </w:r>
      <w:r w:rsidR="00C87846">
        <w:t xml:space="preserve">in the evidence </w:t>
      </w:r>
      <w:r w:rsidR="00720088">
        <w:t xml:space="preserve">they </w:t>
      </w:r>
      <w:r w:rsidR="00C87846">
        <w:t xml:space="preserve">have </w:t>
      </w:r>
      <w:r w:rsidR="00720088">
        <w:t xml:space="preserve">reviewed </w:t>
      </w:r>
      <w:r w:rsidR="00C87846">
        <w:t xml:space="preserve">to support </w:t>
      </w:r>
      <w:r w:rsidR="00720088">
        <w:t xml:space="preserve">the HTA </w:t>
      </w:r>
      <w:r w:rsidR="00C87846">
        <w:t>decisions</w:t>
      </w:r>
      <w:r w:rsidR="00720088">
        <w:t>/</w:t>
      </w:r>
      <w:r w:rsidR="005D7890">
        <w:t>advice</w:t>
      </w:r>
      <w:r w:rsidR="00CC1E13">
        <w:t xml:space="preserve">. </w:t>
      </w:r>
    </w:p>
    <w:p w14:paraId="21EBECC9" w14:textId="3FEDCC65" w:rsidR="00667B06" w:rsidRDefault="00667B06" w:rsidP="00667B06">
      <w:r>
        <w:t xml:space="preserve">As the Reference Committee for the HTA Review, we have observed that HTA arrangements are complex to navigate for most stakeholders and that this complexity has increased over time through many reforms developed jointly by industry and government. </w:t>
      </w:r>
    </w:p>
    <w:p w14:paraId="72E7916A" w14:textId="394B058C" w:rsidR="00667B06" w:rsidRPr="001426EE" w:rsidRDefault="00667B06" w:rsidP="00667B06">
      <w:r>
        <w:t>Some of this complexity is necessary</w:t>
      </w:r>
      <w:r w:rsidR="00297BA4">
        <w:t>.</w:t>
      </w:r>
      <w:r>
        <w:t xml:space="preserve"> </w:t>
      </w:r>
      <w:r w:rsidRPr="001426EE">
        <w:t>Human health and the practice of medicine and healthcare are complicated and health technologies addressing areas of unmet need are increasingly innovative</w:t>
      </w:r>
      <w:r>
        <w:t>.</w:t>
      </w:r>
    </w:p>
    <w:p w14:paraId="5A774239" w14:textId="6243776C" w:rsidR="00667B06" w:rsidRDefault="00667B06" w:rsidP="00915E77">
      <w:r>
        <w:t>Good decisions need to account for the complexity of these areas. Nevertheless, we have also seen that several aspects of the HTA and funding system could be simpler.</w:t>
      </w:r>
    </w:p>
    <w:p w14:paraId="0AE66611" w14:textId="0882BAC4" w:rsidR="00936931" w:rsidRDefault="003F77A0" w:rsidP="00306329">
      <w:pPr>
        <w:pStyle w:val="Heading4"/>
      </w:pPr>
      <w:r>
        <w:t>What have we heard?</w:t>
      </w:r>
    </w:p>
    <w:p w14:paraId="37AD15C4" w14:textId="168629E1" w:rsidR="00E128D9" w:rsidRDefault="000A56A0" w:rsidP="00915E77">
      <w:r w:rsidRPr="000A56A0">
        <w:t>Throughout the HTA Review we have heard from many individuals and organisations. Largely</w:t>
      </w:r>
      <w:r w:rsidR="008C3DC0">
        <w:t>,</w:t>
      </w:r>
      <w:r w:rsidRPr="000A56A0">
        <w:t xml:space="preserve"> stakeholders report that Australia has a world class HTA system</w:t>
      </w:r>
      <w:r w:rsidR="00E62B78">
        <w:t xml:space="preserve"> </w:t>
      </w:r>
      <w:r w:rsidRPr="000A56A0">
        <w:t xml:space="preserve">that works well in many aspects to provide subsidised access to therapies to patients, with many stakeholders acknowledging the dedicated individuals and teams throughout the system as a major contributor the </w:t>
      </w:r>
      <w:r w:rsidR="00F37E4B" w:rsidRPr="000A56A0">
        <w:t>success</w:t>
      </w:r>
      <w:r w:rsidRPr="000A56A0">
        <w:t xml:space="preserve"> of the system. </w:t>
      </w:r>
      <w:r>
        <w:t>We have also hear</w:t>
      </w:r>
      <w:r w:rsidR="00F37E4B">
        <w:t xml:space="preserve">d from stakeholders </w:t>
      </w:r>
      <w:r w:rsidR="00A02178">
        <w:t xml:space="preserve">that </w:t>
      </w:r>
      <w:r w:rsidR="007A24E6">
        <w:t>they are concerned about how</w:t>
      </w:r>
      <w:r w:rsidR="0012352D">
        <w:t xml:space="preserve"> consumer</w:t>
      </w:r>
      <w:r w:rsidR="008D5FBB">
        <w:t>s, patients</w:t>
      </w:r>
      <w:r w:rsidR="000171DF">
        <w:t xml:space="preserve">, First Nations </w:t>
      </w:r>
      <w:r w:rsidR="0AB9A9D2">
        <w:t>people</w:t>
      </w:r>
      <w:r w:rsidR="00FC7315">
        <w:t>s</w:t>
      </w:r>
      <w:r w:rsidR="009950D4">
        <w:fldChar w:fldCharType="begin"/>
      </w:r>
      <w:r w:rsidR="009950D4">
        <w:instrText xml:space="preserve"> XE "</w:instrText>
      </w:r>
      <w:r w:rsidR="009950D4" w:rsidRPr="0032056E">
        <w:instrText>Aboriginal and Torres Strait Islander:First Nations peoples</w:instrText>
      </w:r>
      <w:r w:rsidR="009950D4">
        <w:instrText xml:space="preserve">" </w:instrText>
      </w:r>
      <w:r w:rsidR="009950D4">
        <w:fldChar w:fldCharType="end"/>
      </w:r>
      <w:r w:rsidR="008D5FBB">
        <w:t xml:space="preserve"> and other</w:t>
      </w:r>
      <w:r w:rsidR="00745196">
        <w:t>s</w:t>
      </w:r>
      <w:r w:rsidR="008D5FBB">
        <w:t xml:space="preserve"> are </w:t>
      </w:r>
      <w:r w:rsidR="002A22DB">
        <w:t>included</w:t>
      </w:r>
      <w:r w:rsidR="006E0FFB">
        <w:t xml:space="preserve"> </w:t>
      </w:r>
      <w:r w:rsidR="00CF39F0">
        <w:t>and</w:t>
      </w:r>
      <w:r w:rsidR="008D5FBB">
        <w:t xml:space="preserve"> </w:t>
      </w:r>
      <w:r w:rsidR="00E81941">
        <w:t>considered in</w:t>
      </w:r>
      <w:r w:rsidR="00CF39F0">
        <w:t xml:space="preserve"> HTA processes</w:t>
      </w:r>
      <w:r w:rsidR="003A3B89">
        <w:t xml:space="preserve"> and</w:t>
      </w:r>
      <w:r w:rsidR="00CF39F0">
        <w:t xml:space="preserve"> </w:t>
      </w:r>
      <w:r w:rsidR="00E81941">
        <w:t>decision</w:t>
      </w:r>
      <w:r w:rsidR="006C1665">
        <w:t>-</w:t>
      </w:r>
      <w:r w:rsidR="00E81941">
        <w:t>making</w:t>
      </w:r>
      <w:r w:rsidR="00BF0A6A">
        <w:t xml:space="preserve">. </w:t>
      </w:r>
      <w:r w:rsidR="003771BB">
        <w:t xml:space="preserve">We </w:t>
      </w:r>
      <w:r w:rsidR="00BF0A6A">
        <w:t xml:space="preserve">heard concerns about </w:t>
      </w:r>
      <w:r w:rsidR="005F060D">
        <w:t>how different types of evidence</w:t>
      </w:r>
      <w:r w:rsidR="00745196">
        <w:t xml:space="preserve"> </w:t>
      </w:r>
      <w:r w:rsidR="004975E2">
        <w:t xml:space="preserve">are </w:t>
      </w:r>
      <w:r w:rsidR="005F060D">
        <w:t>considered</w:t>
      </w:r>
      <w:r w:rsidR="00CE32A1">
        <w:t xml:space="preserve"> and weighted</w:t>
      </w:r>
      <w:r w:rsidR="004044D0">
        <w:t xml:space="preserve">, </w:t>
      </w:r>
      <w:r w:rsidR="00E81941">
        <w:t>how</w:t>
      </w:r>
      <w:r w:rsidR="007A24E6">
        <w:t xml:space="preserve"> </w:t>
      </w:r>
      <w:r w:rsidR="00760874">
        <w:lastRenderedPageBreak/>
        <w:t xml:space="preserve">HTA advisory committees value </w:t>
      </w:r>
      <w:r w:rsidR="007A24E6">
        <w:t>health technologies</w:t>
      </w:r>
      <w:r w:rsidR="000E4BA8">
        <w:t>,</w:t>
      </w:r>
      <w:r w:rsidR="007A24E6">
        <w:t xml:space="preserve"> </w:t>
      </w:r>
      <w:r w:rsidR="00786926">
        <w:t xml:space="preserve">and </w:t>
      </w:r>
      <w:r w:rsidR="00CE32A1">
        <w:t>h</w:t>
      </w:r>
      <w:r w:rsidR="00134D8D">
        <w:t xml:space="preserve">ow long it takes </w:t>
      </w:r>
      <w:r w:rsidR="001360F4">
        <w:t>for them to be funded and made broadly accessible to Australians.</w:t>
      </w:r>
    </w:p>
    <w:p w14:paraId="4E5A1F89" w14:textId="40E63C21" w:rsidR="00DF0DAF" w:rsidRDefault="00EB1269" w:rsidP="00DF0DAF">
      <w:r>
        <w:t>Throughout the HTA Review, we have</w:t>
      </w:r>
      <w:r w:rsidR="7D4933E0">
        <w:t xml:space="preserve"> </w:t>
      </w:r>
      <w:r w:rsidR="00DF0DAF">
        <w:t xml:space="preserve">thoroughly considered the </w:t>
      </w:r>
      <w:r w:rsidR="004E4027">
        <w:t xml:space="preserve">extensive </w:t>
      </w:r>
      <w:r w:rsidR="00DF0DAF">
        <w:t>input and evidence presented through</w:t>
      </w:r>
      <w:r w:rsidR="004E4027">
        <w:t xml:space="preserve"> a range of </w:t>
      </w:r>
      <w:r w:rsidR="00C54255">
        <w:t>channels including</w:t>
      </w:r>
      <w:r w:rsidR="00DF0DAF">
        <w:t xml:space="preserve">: </w:t>
      </w:r>
    </w:p>
    <w:p w14:paraId="72789791" w14:textId="009DB906" w:rsidR="00DF0DAF" w:rsidRDefault="00DF0DAF" w:rsidP="008505D7">
      <w:pPr>
        <w:pStyle w:val="ListParagraph"/>
        <w:numPr>
          <w:ilvl w:val="0"/>
          <w:numId w:val="29"/>
        </w:numPr>
      </w:pPr>
      <w:r>
        <w:t xml:space="preserve">the </w:t>
      </w:r>
      <w:hyperlink r:id="rId64" w:history="1">
        <w:r w:rsidRPr="0031702F">
          <w:rPr>
            <w:rStyle w:val="Hyperlink"/>
          </w:rPr>
          <w:t>first round of public consultations</w:t>
        </w:r>
      </w:hyperlink>
      <w:r w:rsidR="00C03228">
        <w:rPr>
          <w:rStyle w:val="Hyperlink"/>
        </w:rPr>
        <w:t xml:space="preserve"> </w:t>
      </w:r>
      <w:r w:rsidR="00A50822">
        <w:rPr>
          <w:rStyle w:val="Hyperlink"/>
        </w:rPr>
        <w:t>for the HTA Review</w:t>
      </w:r>
    </w:p>
    <w:p w14:paraId="1CA7C490" w14:textId="77777777" w:rsidR="00E133AC" w:rsidRDefault="00DF0DAF" w:rsidP="008505D7">
      <w:pPr>
        <w:pStyle w:val="ListParagraph"/>
        <w:numPr>
          <w:ilvl w:val="0"/>
          <w:numId w:val="29"/>
        </w:numPr>
      </w:pPr>
      <w:r>
        <w:t xml:space="preserve">deep dive discussions with individuals and organisations </w:t>
      </w:r>
      <w:r w:rsidR="008A18FC">
        <w:t>including</w:t>
      </w:r>
      <w:r>
        <w:t xml:space="preserve"> patients, clinicians, representative organisations, </w:t>
      </w:r>
      <w:r w:rsidR="00A50822">
        <w:t>industry</w:t>
      </w:r>
      <w:r>
        <w:t xml:space="preserve"> and international </w:t>
      </w:r>
      <w:proofErr w:type="gramStart"/>
      <w:r>
        <w:t>experts</w:t>
      </w:r>
      <w:proofErr w:type="gramEnd"/>
    </w:p>
    <w:p w14:paraId="1F0623E3" w14:textId="2A6E5738" w:rsidR="001D2473" w:rsidRDefault="001D2473" w:rsidP="008505D7">
      <w:pPr>
        <w:pStyle w:val="ListParagraph"/>
        <w:numPr>
          <w:ilvl w:val="0"/>
          <w:numId w:val="29"/>
        </w:numPr>
      </w:pPr>
      <w:r w:rsidRPr="001D2473">
        <w:t>submissions to, and the report and recommendations of, the</w:t>
      </w:r>
      <w:r w:rsidR="00D02141" w:rsidRPr="00445A19">
        <w:t xml:space="preserve"> House of Representatives Standing Committee Inquiry</w:t>
      </w:r>
      <w:r w:rsidR="00D02141" w:rsidRPr="00D02141">
        <w:t xml:space="preserve"> (</w:t>
      </w:r>
      <w:hyperlink r:id="rId65" w:history="1">
        <w:r w:rsidR="00D02141" w:rsidRPr="00D02141">
          <w:rPr>
            <w:rStyle w:val="Hyperlink"/>
          </w:rPr>
          <w:t>the Inquiry</w:t>
        </w:r>
      </w:hyperlink>
      <w:r w:rsidR="00D02141" w:rsidRPr="00D02141">
        <w:t xml:space="preserve">) report, </w:t>
      </w:r>
      <w:hyperlink r:id="rId66" w:history="1">
        <w:r w:rsidR="00D02141" w:rsidRPr="00D02141">
          <w:rPr>
            <w:rStyle w:val="Hyperlink"/>
          </w:rPr>
          <w:t>The New Frontier - Delivering better health for all Australians</w:t>
        </w:r>
      </w:hyperlink>
      <w:r w:rsidR="00D02141" w:rsidRPr="00D02141">
        <w:t xml:space="preserve"> (The New Frontier report)</w:t>
      </w:r>
      <w:r w:rsidRPr="00D02141">
        <w:t xml:space="preserve"> </w:t>
      </w:r>
    </w:p>
    <w:p w14:paraId="11D7CF5E" w14:textId="32202DDB" w:rsidR="00DF0DAF" w:rsidRDefault="00DF0DAF" w:rsidP="008505D7">
      <w:pPr>
        <w:pStyle w:val="ListParagraph"/>
        <w:numPr>
          <w:ilvl w:val="0"/>
          <w:numId w:val="29"/>
        </w:numPr>
      </w:pPr>
      <w:r>
        <w:t xml:space="preserve">Other relevant </w:t>
      </w:r>
      <w:r w:rsidRPr="7873B7EB">
        <w:rPr>
          <w:rFonts w:eastAsia="Segoe UI" w:cs="Segoe UI"/>
        </w:rPr>
        <w:t>Committee</w:t>
      </w:r>
      <w:r>
        <w:t xml:space="preserve"> inquiry reports such as that into </w:t>
      </w:r>
      <w:hyperlink r:id="rId67" w:history="1">
        <w:r w:rsidRPr="00646FBF">
          <w:rPr>
            <w:rStyle w:val="Hyperlink"/>
          </w:rPr>
          <w:t>juvenile arthritis</w:t>
        </w:r>
      </w:hyperlink>
      <w:r>
        <w:t xml:space="preserve"> </w:t>
      </w:r>
    </w:p>
    <w:p w14:paraId="1F3B13DB" w14:textId="77777777" w:rsidR="00DF0DAF" w:rsidRDefault="00DF0DAF" w:rsidP="008505D7">
      <w:pPr>
        <w:pStyle w:val="ListParagraph"/>
        <w:numPr>
          <w:ilvl w:val="0"/>
          <w:numId w:val="29"/>
        </w:numPr>
      </w:pPr>
      <w:r>
        <w:t>the Government’s responses to these reports.</w:t>
      </w:r>
    </w:p>
    <w:p w14:paraId="31B99494" w14:textId="656E8E20" w:rsidR="00117178" w:rsidRDefault="00622007" w:rsidP="00915E77">
      <w:r>
        <w:t>A</w:t>
      </w:r>
      <w:r w:rsidR="00FE27DB">
        <w:t>dditionally, we have</w:t>
      </w:r>
      <w:r w:rsidR="00117178">
        <w:t xml:space="preserve"> thoroughly considered </w:t>
      </w:r>
      <w:hyperlink r:id="rId68" w:history="1">
        <w:r w:rsidR="00117178" w:rsidRPr="00FE27DB">
          <w:rPr>
            <w:rStyle w:val="Hyperlink"/>
          </w:rPr>
          <w:t>commissioned reports prepared by experts in HTA</w:t>
        </w:r>
      </w:hyperlink>
      <w:r w:rsidR="00117178">
        <w:t xml:space="preserve"> analysing contemporary research, relevant methodologies and purchasing practices used by comparable international jurisdictions, and their applicability to the Australian context. </w:t>
      </w:r>
    </w:p>
    <w:p w14:paraId="4EBB74F5" w14:textId="6B7F7017" w:rsidR="003F77A0" w:rsidRDefault="003F77A0" w:rsidP="003F77A0">
      <w:pPr>
        <w:pStyle w:val="Heading4"/>
      </w:pPr>
      <w:r>
        <w:t>What issues have we identified?</w:t>
      </w:r>
    </w:p>
    <w:p w14:paraId="4F655A26" w14:textId="42854C84" w:rsidR="0076043C" w:rsidRDefault="0076043C" w:rsidP="00915E77">
      <w:r w:rsidRPr="0076043C">
        <w:t xml:space="preserve">We have observed that Australia’s processes and how they are used in practice mean that, in many circumstances, health technologies are not funded in the shortest possible time. </w:t>
      </w:r>
      <w:r w:rsidR="003E25FB">
        <w:t xml:space="preserve">Companies that supply health technologies </w:t>
      </w:r>
      <w:r w:rsidRPr="0076043C">
        <w:t xml:space="preserve">rarely make applications for funding at the earliest opportunity; they are frequently not acceptable in the first instance, and for some technologies, the pathway has more steps and is more complicated than it needs to be. </w:t>
      </w:r>
    </w:p>
    <w:p w14:paraId="3C1F2638" w14:textId="0406210C" w:rsidR="002E169D" w:rsidRDefault="002E169D" w:rsidP="00915E77">
      <w:r w:rsidRPr="002E169D">
        <w:t xml:space="preserve">Globally, there are issues relating to limited commercial incentives to develop certain types of products, such as new antimicrobials, which contribute to the global issue of antimicrobial resistance (AMR). AMR is an exceptionally complex multifaceted issue, clinically and economically, and is being impacted by the current HTA and purchasing practices both in Australia and globally. </w:t>
      </w:r>
    </w:p>
    <w:p w14:paraId="04E855B4" w14:textId="43FBCAEC" w:rsidR="00185DF7" w:rsidRDefault="00401213" w:rsidP="00915E77">
      <w:r>
        <w:t>We have identified</w:t>
      </w:r>
      <w:r w:rsidR="008877CE">
        <w:t xml:space="preserve"> that</w:t>
      </w:r>
      <w:r w:rsidR="0A06CB3E">
        <w:t>,</w:t>
      </w:r>
      <w:r w:rsidR="00E444F7">
        <w:t xml:space="preserve"> </w:t>
      </w:r>
      <w:r w:rsidR="000A7B59">
        <w:t>while</w:t>
      </w:r>
      <w:r w:rsidR="00401048">
        <w:t xml:space="preserve"> evidence</w:t>
      </w:r>
      <w:r w:rsidR="6AE2C058">
        <w:t xml:space="preserve"> sources</w:t>
      </w:r>
      <w:r w:rsidR="00401048">
        <w:t xml:space="preserve"> beyond traditional </w:t>
      </w:r>
      <w:r w:rsidR="73F9C5BF">
        <w:t>clinical trial</w:t>
      </w:r>
      <w:r w:rsidR="265B76E5">
        <w:t>-based</w:t>
      </w:r>
      <w:r w:rsidR="73F9C5BF">
        <w:t xml:space="preserve"> </w:t>
      </w:r>
      <w:r w:rsidR="00FB3F96">
        <w:t xml:space="preserve">evidence of clinical </w:t>
      </w:r>
      <w:r w:rsidR="445A4916">
        <w:t>efficacy</w:t>
      </w:r>
      <w:r w:rsidR="00FB3F96">
        <w:t xml:space="preserve">, safety and cost effectiveness </w:t>
      </w:r>
      <w:r w:rsidR="007E1CA9">
        <w:t xml:space="preserve">may be </w:t>
      </w:r>
      <w:r w:rsidR="000A7B59">
        <w:t>considered and factored into decision making</w:t>
      </w:r>
      <w:r w:rsidR="0003078B">
        <w:t xml:space="preserve">, </w:t>
      </w:r>
      <w:r>
        <w:t xml:space="preserve">the </w:t>
      </w:r>
      <w:r w:rsidR="007A3C41">
        <w:t xml:space="preserve">current </w:t>
      </w:r>
      <w:r w:rsidR="0003078B">
        <w:t>guidance</w:t>
      </w:r>
      <w:r w:rsidR="00FD13DD">
        <w:t xml:space="preserve"> (such as the PBAC guidelines)</w:t>
      </w:r>
      <w:r w:rsidR="0003078B">
        <w:t>, public summaries and other communications do not make</w:t>
      </w:r>
      <w:r w:rsidR="000573AA">
        <w:t xml:space="preserve"> is clear how </w:t>
      </w:r>
      <w:r w:rsidR="00243485">
        <w:t xml:space="preserve">to include this </w:t>
      </w:r>
      <w:r w:rsidR="00366B7A">
        <w:t>input</w:t>
      </w:r>
      <w:r w:rsidR="00237144">
        <w:t xml:space="preserve">, </w:t>
      </w:r>
      <w:r w:rsidR="00285C76">
        <w:t xml:space="preserve">how they are used by </w:t>
      </w:r>
      <w:r w:rsidR="00046FF0">
        <w:t xml:space="preserve">and to what extent </w:t>
      </w:r>
      <w:r w:rsidR="00D91432">
        <w:t>they</w:t>
      </w:r>
      <w:r w:rsidR="00BA6B8D">
        <w:t xml:space="preserve"> modify</w:t>
      </w:r>
      <w:r w:rsidR="00FD78BC">
        <w:t xml:space="preserve"> </w:t>
      </w:r>
      <w:r w:rsidR="009D387E">
        <w:t>the advice of</w:t>
      </w:r>
      <w:r w:rsidR="00BA6B8D">
        <w:t xml:space="preserve">, </w:t>
      </w:r>
      <w:r w:rsidR="009D387E">
        <w:t xml:space="preserve">the </w:t>
      </w:r>
      <w:r w:rsidR="008877CE">
        <w:t xml:space="preserve">HTA committee. </w:t>
      </w:r>
    </w:p>
    <w:p w14:paraId="2F554ECC" w14:textId="2FB2ED26" w:rsidR="00DD1DC2" w:rsidRDefault="007024D1" w:rsidP="00915E77">
      <w:r>
        <w:t xml:space="preserve">Lack of transparency and clarity is an overarching theme impacting the performance of many elements </w:t>
      </w:r>
      <w:r w:rsidR="003324F6">
        <w:t>across</w:t>
      </w:r>
      <w:r w:rsidR="00FB1487">
        <w:t xml:space="preserve"> the </w:t>
      </w:r>
      <w:r w:rsidR="00B56C42">
        <w:t xml:space="preserve">whole </w:t>
      </w:r>
      <w:r w:rsidR="00FB1487">
        <w:t xml:space="preserve">HTA system. </w:t>
      </w:r>
      <w:r w:rsidR="00185DF7">
        <w:t>S</w:t>
      </w:r>
      <w:r w:rsidR="00477436" w:rsidRPr="00477436">
        <w:t xml:space="preserve">takeholders such as patients and clinicians have unequal knowledge of the application, the evidence submitted with it, </w:t>
      </w:r>
      <w:r w:rsidR="00477436" w:rsidRPr="00477436">
        <w:lastRenderedPageBreak/>
        <w:t>and the process for its assessment</w:t>
      </w:r>
      <w:r w:rsidR="008B624A">
        <w:t>.</w:t>
      </w:r>
      <w:r w:rsidR="00074968">
        <w:t xml:space="preserve"> We </w:t>
      </w:r>
      <w:r w:rsidR="00ED0960">
        <w:t xml:space="preserve">have </w:t>
      </w:r>
      <w:r w:rsidR="00E26964">
        <w:t>identified that while there is a vast a</w:t>
      </w:r>
      <w:r w:rsidR="00F31BDA">
        <w:t xml:space="preserve">mount of information available, the </w:t>
      </w:r>
      <w:r w:rsidR="00640431">
        <w:t xml:space="preserve">communication of this information is often not fir-for-purpose leading to </w:t>
      </w:r>
      <w:r w:rsidR="007E71A5">
        <w:t>a lack of transparency.</w:t>
      </w:r>
      <w:r w:rsidR="00E00205">
        <w:t xml:space="preserve"> </w:t>
      </w:r>
      <w:r w:rsidR="00CD7609">
        <w:t xml:space="preserve">The review process has revealed </w:t>
      </w:r>
      <w:r w:rsidR="00E076B9">
        <w:t xml:space="preserve">many misconceptions </w:t>
      </w:r>
      <w:r w:rsidR="001112B2">
        <w:t xml:space="preserve">relating to HTA systems, processes, methods, and </w:t>
      </w:r>
      <w:r w:rsidR="00166A03">
        <w:t>decision</w:t>
      </w:r>
      <w:r w:rsidR="00565A6F">
        <w:t xml:space="preserve">s which </w:t>
      </w:r>
      <w:r w:rsidR="007B10F1">
        <w:t xml:space="preserve">is </w:t>
      </w:r>
      <w:r w:rsidR="00FC2B9D">
        <w:t xml:space="preserve">a </w:t>
      </w:r>
      <w:r w:rsidR="000961B8">
        <w:t xml:space="preserve">symptom of the </w:t>
      </w:r>
      <w:r w:rsidR="00313D76">
        <w:t xml:space="preserve">lack of </w:t>
      </w:r>
      <w:r w:rsidR="000373CA">
        <w:t xml:space="preserve">transparency including </w:t>
      </w:r>
      <w:r w:rsidR="004515DC">
        <w:t xml:space="preserve">fit-for-purpose </w:t>
      </w:r>
      <w:r w:rsidR="00F32483">
        <w:t>methods of comm</w:t>
      </w:r>
      <w:r w:rsidR="000373CA">
        <w:t>unication.</w:t>
      </w:r>
      <w:r w:rsidR="00A00905">
        <w:t xml:space="preserve"> </w:t>
      </w:r>
      <w:r w:rsidR="00FA27EF">
        <w:t xml:space="preserve">Relatedly, </w:t>
      </w:r>
      <w:r w:rsidR="00554398">
        <w:t xml:space="preserve">we </w:t>
      </w:r>
      <w:r w:rsidR="000B3B8A">
        <w:t xml:space="preserve">consider that involvement of </w:t>
      </w:r>
      <w:r w:rsidR="0010321E">
        <w:t xml:space="preserve">patients, </w:t>
      </w:r>
      <w:r w:rsidR="00CC58CB">
        <w:t xml:space="preserve">consumers, </w:t>
      </w:r>
      <w:r w:rsidR="00B60959">
        <w:t>clinicians</w:t>
      </w:r>
      <w:r w:rsidR="00CC58CB">
        <w:t xml:space="preserve">, First Nations </w:t>
      </w:r>
      <w:r w:rsidR="003A2FDA">
        <w:t>peoples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CC58CB">
        <w:t xml:space="preserve"> and </w:t>
      </w:r>
      <w:r w:rsidR="00E85577">
        <w:t xml:space="preserve">does not </w:t>
      </w:r>
      <w:r w:rsidR="00B60959">
        <w:t>occur</w:t>
      </w:r>
      <w:r w:rsidR="00E85577">
        <w:t xml:space="preserve"> </w:t>
      </w:r>
      <w:r w:rsidR="002C53AA">
        <w:t xml:space="preserve">early and </w:t>
      </w:r>
      <w:r w:rsidR="00642867">
        <w:t xml:space="preserve">regularly enough through the HTA </w:t>
      </w:r>
      <w:r w:rsidR="00B60959">
        <w:t xml:space="preserve">continuum </w:t>
      </w:r>
      <w:r w:rsidR="00417A17">
        <w:t xml:space="preserve">to realise the full potential </w:t>
      </w:r>
      <w:r w:rsidR="00F1277C">
        <w:t>value</w:t>
      </w:r>
      <w:r w:rsidR="00F77B24">
        <w:t xml:space="preserve"> of </w:t>
      </w:r>
      <w:r w:rsidR="00F1277C">
        <w:t>thei</w:t>
      </w:r>
      <w:r w:rsidR="00FA0659">
        <w:t>r involvement</w:t>
      </w:r>
      <w:r w:rsidR="0010321E">
        <w:t xml:space="preserve">. </w:t>
      </w:r>
    </w:p>
    <w:p w14:paraId="21D15A91" w14:textId="378010B0" w:rsidR="00BD4FEC" w:rsidRDefault="0087143A" w:rsidP="00915E77">
      <w:r>
        <w:t>We</w:t>
      </w:r>
      <w:r w:rsidR="43EF760A">
        <w:t xml:space="preserve"> </w:t>
      </w:r>
      <w:r w:rsidR="00E444F7">
        <w:t>identified</w:t>
      </w:r>
      <w:r w:rsidR="0024488E">
        <w:t xml:space="preserve"> that </w:t>
      </w:r>
      <w:r w:rsidR="00AC2B18">
        <w:t>A</w:t>
      </w:r>
      <w:r w:rsidR="008F09E9">
        <w:t>ustralia’s system</w:t>
      </w:r>
      <w:r w:rsidR="00054DC7">
        <w:t>s for funding health technologies</w:t>
      </w:r>
      <w:r w:rsidR="008F09E9">
        <w:t xml:space="preserve"> </w:t>
      </w:r>
      <w:r>
        <w:t xml:space="preserve">do </w:t>
      </w:r>
      <w:r w:rsidR="002F48CE">
        <w:t xml:space="preserve">not </w:t>
      </w:r>
      <w:r w:rsidR="00F954DD">
        <w:t xml:space="preserve">look </w:t>
      </w:r>
      <w:r w:rsidR="002A2001">
        <w:t>proactively</w:t>
      </w:r>
      <w:r w:rsidR="00F954DD">
        <w:t xml:space="preserve"> at </w:t>
      </w:r>
      <w:r w:rsidR="008F09E9">
        <w:t>the</w:t>
      </w:r>
      <w:r w:rsidR="00F954DD">
        <w:t xml:space="preserve"> unmet needs </w:t>
      </w:r>
      <w:r w:rsidR="00054DC7">
        <w:t>in</w:t>
      </w:r>
      <w:r w:rsidR="008F09E9">
        <w:t xml:space="preserve"> Australia</w:t>
      </w:r>
      <w:r w:rsidR="00F954DD">
        <w:t xml:space="preserve"> </w:t>
      </w:r>
      <w:r w:rsidR="007D41C8">
        <w:t xml:space="preserve">and </w:t>
      </w:r>
      <w:r w:rsidR="004B13EF">
        <w:t>proactively seek</w:t>
      </w:r>
      <w:r w:rsidR="00F954DD">
        <w:t xml:space="preserve"> possible health technologies to address them. </w:t>
      </w:r>
      <w:r w:rsidR="00C56B0B">
        <w:t>As with</w:t>
      </w:r>
      <w:r w:rsidR="000D7704">
        <w:t xml:space="preserve"> most other international jurisdictions, </w:t>
      </w:r>
      <w:r w:rsidR="00054DC7">
        <w:t xml:space="preserve">Australia’s </w:t>
      </w:r>
      <w:r w:rsidR="005D2E88">
        <w:t>system is reactive</w:t>
      </w:r>
      <w:r w:rsidR="005C2BAD">
        <w:t xml:space="preserve"> in that </w:t>
      </w:r>
      <w:r w:rsidR="48D54B5D">
        <w:t>it</w:t>
      </w:r>
      <w:r w:rsidR="005C2BAD">
        <w:t xml:space="preserve"> </w:t>
      </w:r>
      <w:r w:rsidR="0060309C">
        <w:t>rel</w:t>
      </w:r>
      <w:r w:rsidR="139DA566">
        <w:t>ies</w:t>
      </w:r>
      <w:r w:rsidR="0060309C">
        <w:t xml:space="preserve"> on </w:t>
      </w:r>
      <w:r w:rsidR="00CD1024">
        <w:t xml:space="preserve">companies </w:t>
      </w:r>
      <w:r w:rsidR="00271654">
        <w:t xml:space="preserve">that </w:t>
      </w:r>
      <w:r w:rsidR="00A47CCA">
        <w:t xml:space="preserve">supply </w:t>
      </w:r>
      <w:r w:rsidR="00CD1024">
        <w:t xml:space="preserve">health technologies </w:t>
      </w:r>
      <w:r w:rsidR="11B759B7">
        <w:t xml:space="preserve">to </w:t>
      </w:r>
      <w:r w:rsidR="00CD1024">
        <w:t>mak</w:t>
      </w:r>
      <w:r w:rsidR="71530F2A">
        <w:t>e</w:t>
      </w:r>
      <w:r w:rsidR="00CD1024">
        <w:t xml:space="preserve"> </w:t>
      </w:r>
      <w:r w:rsidR="005A4161">
        <w:t>submissions</w:t>
      </w:r>
      <w:r w:rsidR="79E09E36">
        <w:t xml:space="preserve"> for subsidy</w:t>
      </w:r>
      <w:r w:rsidR="00B254D9">
        <w:t>, and there is no mechanism to proactively</w:t>
      </w:r>
      <w:r w:rsidR="009D59C5">
        <w:t xml:space="preserve"> </w:t>
      </w:r>
      <w:r w:rsidR="00FF258C">
        <w:t>seek submissions</w:t>
      </w:r>
      <w:r w:rsidR="005D2E88">
        <w:t xml:space="preserve">. </w:t>
      </w:r>
      <w:r w:rsidR="00864389">
        <w:t xml:space="preserve">Similarly, </w:t>
      </w:r>
      <w:r w:rsidR="00D726B3">
        <w:t xml:space="preserve">Australia </w:t>
      </w:r>
      <w:r w:rsidR="00EF6D51">
        <w:t>do</w:t>
      </w:r>
      <w:r w:rsidR="00D726B3">
        <w:t>es</w:t>
      </w:r>
      <w:r w:rsidR="00EF6D51">
        <w:t xml:space="preserve"> not </w:t>
      </w:r>
      <w:r w:rsidR="00253BE0">
        <w:t>systematically</w:t>
      </w:r>
      <w:r w:rsidR="00EF6D51">
        <w:t xml:space="preserve"> scan what health technologies </w:t>
      </w:r>
      <w:r w:rsidR="00864389">
        <w:t>are available, or imminently available</w:t>
      </w:r>
      <w:r w:rsidR="00EF6D51">
        <w:t xml:space="preserve"> elsewhere in the world </w:t>
      </w:r>
      <w:r w:rsidR="00CC7829">
        <w:t>that</w:t>
      </w:r>
      <w:r w:rsidR="009E642A">
        <w:t xml:space="preserve"> </w:t>
      </w:r>
      <w:r w:rsidR="00A438C6">
        <w:t>might</w:t>
      </w:r>
      <w:r w:rsidR="00C94BEF">
        <w:t xml:space="preserve"> </w:t>
      </w:r>
      <w:r w:rsidR="009E642A">
        <w:t>address need</w:t>
      </w:r>
      <w:r w:rsidR="00C94BEF">
        <w:t>s</w:t>
      </w:r>
      <w:r w:rsidR="009E642A">
        <w:t xml:space="preserve"> in Australia</w:t>
      </w:r>
      <w:r w:rsidR="00650089">
        <w:t xml:space="preserve"> better than</w:t>
      </w:r>
      <w:r w:rsidR="00A438C6">
        <w:t xml:space="preserve"> the </w:t>
      </w:r>
      <w:r w:rsidR="00641127">
        <w:t>currently available options.</w:t>
      </w:r>
    </w:p>
    <w:p w14:paraId="2DE57E2B" w14:textId="0798601C" w:rsidR="0038377B" w:rsidRDefault="00804726" w:rsidP="00915E77">
      <w:r>
        <w:t xml:space="preserve">Health technologies may not perform as well in the real-world as they did in trials for a range of reasons. </w:t>
      </w:r>
      <w:r w:rsidR="00D21C87" w:rsidRPr="00D21C87">
        <w:t xml:space="preserve">It </w:t>
      </w:r>
      <w:r w:rsidR="00F86D2A">
        <w:t>was</w:t>
      </w:r>
      <w:r w:rsidR="00D21C87" w:rsidRPr="00D21C87">
        <w:t xml:space="preserve"> identified that Australia does not have sufficient systems to evaluate whether subsidised health technologies work as well as expected after the original subsidy assessment</w:t>
      </w:r>
      <w:r w:rsidR="00BB3296">
        <w:t xml:space="preserve"> and do not routinely or systematically measure how well health technologies that have been funded perform compared to alternatives – whether patients and the Australian community are better off from accessing the health technologies that have been funded. </w:t>
      </w:r>
    </w:p>
    <w:p w14:paraId="1B3808E1" w14:textId="4EA5DEF1" w:rsidR="00A83376" w:rsidRDefault="00D21C87" w:rsidP="00915E77">
      <w:r w:rsidRPr="00D21C87">
        <w:t>It noted that there is some collection of data and analysis to measure the performance of health technologies in different jurisdictions and for specific products, such as those funded under provisional approval or interim arrangements</w:t>
      </w:r>
      <w:r w:rsidR="00EA2C1A">
        <w:t>, and those selected for post market reviews</w:t>
      </w:r>
      <w:r w:rsidRPr="00D21C87">
        <w:t xml:space="preserve">. However, </w:t>
      </w:r>
      <w:r w:rsidR="00916A4E">
        <w:t xml:space="preserve">the quality and </w:t>
      </w:r>
      <w:r w:rsidR="00490E5D">
        <w:t>integration of this information is not fit-for-purpose</w:t>
      </w:r>
      <w:r w:rsidRPr="00D21C87">
        <w:t xml:space="preserve"> </w:t>
      </w:r>
      <w:r w:rsidR="00A24158">
        <w:t xml:space="preserve">to </w:t>
      </w:r>
      <w:r w:rsidRPr="00D21C87">
        <w:t xml:space="preserve">inform decision-making. </w:t>
      </w:r>
      <w:r w:rsidR="00A83376" w:rsidRPr="00D21C87">
        <w:t>Further, improvements must be made to the data capture, quality, and availability to measure the performance of the HTA systems and processes, including transparency of different stages and their responsible actors within the system.</w:t>
      </w:r>
    </w:p>
    <w:p w14:paraId="47733211" w14:textId="71595F39" w:rsidR="00021506" w:rsidRDefault="000D1D40" w:rsidP="000D1D40">
      <w:pPr>
        <w:pStyle w:val="Heading4"/>
      </w:pPr>
      <w:r>
        <w:t xml:space="preserve">What potential solutions have </w:t>
      </w:r>
      <w:r w:rsidR="05C518F3">
        <w:t xml:space="preserve">been </w:t>
      </w:r>
      <w:r>
        <w:t>considered</w:t>
      </w:r>
      <w:r w:rsidR="005962A6">
        <w:t>?</w:t>
      </w:r>
    </w:p>
    <w:p w14:paraId="3DCA7934" w14:textId="02B2BE43" w:rsidR="0005668B" w:rsidRDefault="00631DA4" w:rsidP="0005668B">
      <w:r>
        <w:t xml:space="preserve">We </w:t>
      </w:r>
      <w:r w:rsidR="000E6D30">
        <w:t xml:space="preserve">have </w:t>
      </w:r>
      <w:r w:rsidR="2BFEA2CD">
        <w:t xml:space="preserve">considered </w:t>
      </w:r>
      <w:r w:rsidR="00C31B68">
        <w:t>that there are opportunities</w:t>
      </w:r>
      <w:r w:rsidR="0005668B">
        <w:t xml:space="preserve"> to reduce complexity, better engage </w:t>
      </w:r>
      <w:r w:rsidR="46172808">
        <w:t xml:space="preserve">with </w:t>
      </w:r>
      <w:r w:rsidR="0005668B">
        <w:t xml:space="preserve">those who are impacted by HTA decisions, improve system performance, ensure </w:t>
      </w:r>
      <w:r w:rsidR="00CD7A94">
        <w:t>Australia’s</w:t>
      </w:r>
      <w:r w:rsidR="00ED2C6A">
        <w:t xml:space="preserve"> health technology funding programs</w:t>
      </w:r>
      <w:r w:rsidR="0005668B">
        <w:t xml:space="preserve"> are meeting the health needs of Australians to the </w:t>
      </w:r>
      <w:r w:rsidR="00D12E9C">
        <w:t xml:space="preserve">greatest </w:t>
      </w:r>
      <w:r w:rsidR="0005668B">
        <w:t>extent possible, and be confident that</w:t>
      </w:r>
      <w:r w:rsidR="00273489">
        <w:t xml:space="preserve"> Australians</w:t>
      </w:r>
      <w:r w:rsidR="0005668B">
        <w:t xml:space="preserve"> are getting the benefits expect</w:t>
      </w:r>
      <w:r w:rsidR="00273489">
        <w:t>ed</w:t>
      </w:r>
      <w:r w:rsidR="0005668B">
        <w:t xml:space="preserve"> when </w:t>
      </w:r>
      <w:r w:rsidR="5DF9C154">
        <w:t>the</w:t>
      </w:r>
      <w:r w:rsidR="00B22654">
        <w:t xml:space="preserve"> </w:t>
      </w:r>
      <w:r w:rsidR="3A1B90EF">
        <w:t>Australia</w:t>
      </w:r>
      <w:r w:rsidR="5957A72B">
        <w:t>n government</w:t>
      </w:r>
      <w:r w:rsidR="007052CA">
        <w:t xml:space="preserve"> </w:t>
      </w:r>
      <w:r w:rsidR="0005668B">
        <w:t>decide</w:t>
      </w:r>
      <w:r w:rsidR="007052CA">
        <w:t>s</w:t>
      </w:r>
      <w:r w:rsidR="0005668B">
        <w:t xml:space="preserve"> to fund health technologies. </w:t>
      </w:r>
    </w:p>
    <w:p w14:paraId="71E4AB37" w14:textId="7C07A09B" w:rsidR="00940A32" w:rsidRDefault="00DF264D" w:rsidP="00915E77">
      <w:r>
        <w:lastRenderedPageBreak/>
        <w:t>This paper sets out</w:t>
      </w:r>
      <w:r w:rsidR="00D75C5F">
        <w:t xml:space="preserve"> a range of options for reform</w:t>
      </w:r>
      <w:r w:rsidR="00012ED7">
        <w:t xml:space="preserve"> that have been</w:t>
      </w:r>
      <w:r w:rsidR="00D75C5F">
        <w:t xml:space="preserve"> </w:t>
      </w:r>
      <w:r>
        <w:t>developed base</w:t>
      </w:r>
      <w:r w:rsidR="00480098">
        <w:t>d</w:t>
      </w:r>
      <w:r>
        <w:t xml:space="preserve"> on </w:t>
      </w:r>
      <w:r w:rsidR="00E5290D">
        <w:t xml:space="preserve">review, </w:t>
      </w:r>
      <w:r w:rsidR="00A01126">
        <w:t>consideration</w:t>
      </w:r>
      <w:r w:rsidR="00E5290D">
        <w:t xml:space="preserve">, and </w:t>
      </w:r>
      <w:r w:rsidR="00A01126">
        <w:t xml:space="preserve">synthesis </w:t>
      </w:r>
      <w:r w:rsidR="004A3B72">
        <w:t xml:space="preserve">of </w:t>
      </w:r>
      <w:r>
        <w:t xml:space="preserve">the </w:t>
      </w:r>
      <w:r w:rsidR="006F3E53">
        <w:t xml:space="preserve">extensive input </w:t>
      </w:r>
      <w:r w:rsidR="004A3B72">
        <w:t>we have received throughout the HTA Review process</w:t>
      </w:r>
      <w:r>
        <w:t xml:space="preserve">. </w:t>
      </w:r>
    </w:p>
    <w:p w14:paraId="50B5E439" w14:textId="77777777" w:rsidR="00BD32A8" w:rsidRDefault="00940A32" w:rsidP="00F765C8">
      <w:pPr>
        <w:sectPr w:rsidR="00BD32A8" w:rsidSect="00C168E9">
          <w:headerReference w:type="even" r:id="rId69"/>
          <w:headerReference w:type="default" r:id="rId70"/>
          <w:pgSz w:w="11906" w:h="16838"/>
          <w:pgMar w:top="1440" w:right="1440" w:bottom="1135" w:left="1440" w:header="708" w:footer="708" w:gutter="0"/>
          <w:cols w:space="708"/>
          <w:docGrid w:linePitch="360"/>
        </w:sectPr>
      </w:pPr>
      <w:r>
        <w:t>These options span the lifecycle of health technologies, from development, through initial funding decisions to assessment of their performance after they are funded</w:t>
      </w:r>
      <w:r w:rsidR="4CBDC33B">
        <w:t>.</w:t>
      </w:r>
      <w:r>
        <w:t xml:space="preserve"> </w:t>
      </w:r>
      <w:r w:rsidR="00645F96">
        <w:t xml:space="preserve">They include options for reform to how patients, consumers and healthcare professionals are engaged in HTA, as well as </w:t>
      </w:r>
      <w:r w:rsidR="63DBB5CE">
        <w:t xml:space="preserve">to </w:t>
      </w:r>
      <w:r w:rsidR="00645F96">
        <w:t xml:space="preserve">the technical methods used to estimate </w:t>
      </w:r>
      <w:r w:rsidR="0FD109F6">
        <w:t xml:space="preserve">benefits and costs of new technologies compared to existing </w:t>
      </w:r>
      <w:r w:rsidR="007052CA">
        <w:t>available</w:t>
      </w:r>
      <w:r w:rsidR="0FD109F6">
        <w:t xml:space="preserve"> healthcare</w:t>
      </w:r>
      <w:r w:rsidR="00645F96">
        <w:t xml:space="preserve">, and measuring how effective and safe they </w:t>
      </w:r>
      <w:proofErr w:type="gramStart"/>
      <w:r w:rsidR="00645F96">
        <w:t>actually are</w:t>
      </w:r>
      <w:proofErr w:type="gramEnd"/>
      <w:r w:rsidR="00645F96">
        <w:t xml:space="preserve"> after they have been funded and made widely available to the Australian community. </w:t>
      </w:r>
    </w:p>
    <w:p w14:paraId="7FD95597" w14:textId="7C8C23DB" w:rsidR="00A969F0" w:rsidRDefault="00A969F0" w:rsidP="00F765C8">
      <w:pPr>
        <w:sectPr w:rsidR="00A969F0" w:rsidSect="00BD32A8">
          <w:type w:val="continuous"/>
          <w:pgSz w:w="11906" w:h="16838"/>
          <w:pgMar w:top="1440" w:right="1440" w:bottom="1135" w:left="1440" w:header="708" w:footer="708" w:gutter="0"/>
          <w:cols w:space="708"/>
          <w:docGrid w:linePitch="360"/>
        </w:sectPr>
      </w:pPr>
    </w:p>
    <w:p w14:paraId="634EF212" w14:textId="77777777" w:rsidR="00BD32A8" w:rsidRDefault="00BD32A8" w:rsidP="008C10BB">
      <w:pPr>
        <w:pStyle w:val="Heading1"/>
        <w:numPr>
          <w:ilvl w:val="0"/>
          <w:numId w:val="0"/>
        </w:numPr>
        <w:spacing w:line="259" w:lineRule="auto"/>
      </w:pPr>
      <w:r>
        <w:br w:type="page"/>
      </w:r>
    </w:p>
    <w:p w14:paraId="02110BCB" w14:textId="77777777" w:rsidR="00970AB8" w:rsidRDefault="002B6590" w:rsidP="008C10BB">
      <w:pPr>
        <w:pStyle w:val="Heading1"/>
        <w:numPr>
          <w:ilvl w:val="0"/>
          <w:numId w:val="0"/>
        </w:numPr>
        <w:spacing w:line="259" w:lineRule="auto"/>
        <w:rPr>
          <w:color w:val="11427A"/>
        </w:rPr>
      </w:pPr>
      <w:bookmarkStart w:id="14" w:name="_Toc157029021"/>
      <w:bookmarkStart w:id="15" w:name="_Toc157029474"/>
      <w:bookmarkStart w:id="16" w:name="_Toc157030166"/>
      <w:bookmarkStart w:id="17" w:name="_Toc598601238"/>
      <w:r w:rsidRPr="11DF80E4">
        <w:lastRenderedPageBreak/>
        <w:t>Executive Summary</w:t>
      </w:r>
      <w:bookmarkEnd w:id="14"/>
      <w:bookmarkEnd w:id="15"/>
      <w:bookmarkEnd w:id="16"/>
      <w:r w:rsidRPr="11DF80E4">
        <w:t xml:space="preserve"> </w:t>
      </w:r>
    </w:p>
    <w:p w14:paraId="43732D38" w14:textId="14FEA97D" w:rsidR="00F02AEA" w:rsidRPr="00F02AEA" w:rsidRDefault="00F02AEA" w:rsidP="00687095">
      <w:pPr>
        <w:rPr>
          <w:rFonts w:eastAsia="Times New Roman" w:cs="Segoe UI"/>
        </w:rPr>
      </w:pPr>
      <w:r w:rsidRPr="00F02AEA">
        <w:rPr>
          <w:rFonts w:eastAsia="Times New Roman" w:cs="Segoe UI"/>
        </w:rPr>
        <w:t xml:space="preserve">The HTA Review is one of the key commitments in </w:t>
      </w:r>
      <w:hyperlink r:id="rId71" w:history="1">
        <w:r w:rsidRPr="005977DB">
          <w:rPr>
            <w:rStyle w:val="Hyperlink"/>
            <w:rFonts w:eastAsia="Times New Roman" w:cs="Segoe UI"/>
          </w:rPr>
          <w:t>the Strategic Agreement between the Commonwealth and Medicines Australia</w:t>
        </w:r>
      </w:hyperlink>
      <w:r w:rsidRPr="00F02AEA">
        <w:rPr>
          <w:rFonts w:eastAsia="Times New Roman" w:cs="Segoe UI"/>
        </w:rPr>
        <w:t xml:space="preserve">. Its primary objective is to ensure that Australia’s assessment processes keep pace with the rapid advances in health technology and minimise barriers to access. </w:t>
      </w:r>
    </w:p>
    <w:p w14:paraId="7C2D6374" w14:textId="491D4D01" w:rsidR="00B56637" w:rsidRDefault="00F02AEA" w:rsidP="00687095">
      <w:pPr>
        <w:rPr>
          <w:rFonts w:eastAsia="Times New Roman" w:cs="Segoe UI"/>
        </w:rPr>
      </w:pPr>
      <w:r w:rsidRPr="00F02AEA">
        <w:rPr>
          <w:rFonts w:eastAsia="Times New Roman" w:cs="Segoe UI"/>
        </w:rPr>
        <w:t xml:space="preserve">The </w:t>
      </w:r>
      <w:hyperlink r:id="rId72" w:history="1">
        <w:r w:rsidR="00351717">
          <w:rPr>
            <w:rStyle w:val="Hyperlink"/>
            <w:rFonts w:eastAsia="Times New Roman" w:cs="Segoe UI"/>
          </w:rPr>
          <w:t>terms of reference</w:t>
        </w:r>
      </w:hyperlink>
      <w:r w:rsidRPr="00F02AEA">
        <w:rPr>
          <w:rFonts w:eastAsia="Times New Roman" w:cs="Segoe UI"/>
        </w:rPr>
        <w:t xml:space="preserve"> for the HTA Review </w:t>
      </w:r>
      <w:r w:rsidR="00C70CD1">
        <w:rPr>
          <w:rFonts w:eastAsia="Times New Roman" w:cs="Segoe UI"/>
        </w:rPr>
        <w:t>were</w:t>
      </w:r>
      <w:r w:rsidRPr="00F02AEA">
        <w:rPr>
          <w:rFonts w:eastAsia="Times New Roman" w:cs="Segoe UI"/>
        </w:rPr>
        <w:t xml:space="preserve"> published on 22 March 2023. Since then, the Reference Committee has traversed extensive inputs </w:t>
      </w:r>
      <w:r w:rsidR="008A5F89">
        <w:rPr>
          <w:rFonts w:eastAsia="Times New Roman" w:cs="Segoe UI"/>
        </w:rPr>
        <w:t>in relation to</w:t>
      </w:r>
      <w:r w:rsidRPr="00F02AEA">
        <w:rPr>
          <w:rFonts w:eastAsia="Times New Roman" w:cs="Segoe UI"/>
        </w:rPr>
        <w:t xml:space="preserve"> Health Technology Assessment </w:t>
      </w:r>
      <w:r w:rsidR="00ED4C69">
        <w:rPr>
          <w:rFonts w:eastAsia="Times New Roman" w:cs="Segoe UI"/>
        </w:rPr>
        <w:t xml:space="preserve">systems </w:t>
      </w:r>
      <w:r w:rsidRPr="00F02AEA">
        <w:rPr>
          <w:rFonts w:eastAsia="Times New Roman" w:cs="Segoe UI"/>
        </w:rPr>
        <w:t>in Australia and overseas</w:t>
      </w:r>
      <w:r w:rsidR="001812FD">
        <w:rPr>
          <w:rFonts w:eastAsia="Times New Roman" w:cs="Segoe UI"/>
        </w:rPr>
        <w:t xml:space="preserve"> – </w:t>
      </w:r>
      <w:r w:rsidRPr="00F02AEA">
        <w:rPr>
          <w:rFonts w:eastAsia="Times New Roman" w:cs="Segoe UI"/>
        </w:rPr>
        <w:t xml:space="preserve">how </w:t>
      </w:r>
      <w:r w:rsidR="00ED4C69">
        <w:rPr>
          <w:rFonts w:eastAsia="Times New Roman" w:cs="Segoe UI"/>
        </w:rPr>
        <w:t xml:space="preserve">they are </w:t>
      </w:r>
      <w:r w:rsidRPr="00F02AEA">
        <w:rPr>
          <w:rFonts w:eastAsia="Times New Roman" w:cs="Segoe UI"/>
        </w:rPr>
        <w:t xml:space="preserve">performing, and how well </w:t>
      </w:r>
      <w:r w:rsidR="0087195A">
        <w:rPr>
          <w:rFonts w:eastAsia="Times New Roman" w:cs="Segoe UI"/>
        </w:rPr>
        <w:t xml:space="preserve">they are </w:t>
      </w:r>
      <w:r w:rsidRPr="00F02AEA">
        <w:rPr>
          <w:rFonts w:eastAsia="Times New Roman" w:cs="Segoe UI"/>
        </w:rPr>
        <w:t xml:space="preserve">serving the needs of Australians. </w:t>
      </w:r>
    </w:p>
    <w:p w14:paraId="349A91F0" w14:textId="69B8298E" w:rsidR="00F02AEA" w:rsidRPr="00F02AEA" w:rsidRDefault="00BD3635" w:rsidP="00687095">
      <w:pPr>
        <w:rPr>
          <w:rFonts w:eastAsia="Times New Roman" w:cs="Segoe UI"/>
        </w:rPr>
      </w:pPr>
      <w:r>
        <w:rPr>
          <w:rFonts w:eastAsia="Times New Roman" w:cs="Segoe UI"/>
        </w:rPr>
        <w:t>A broad range of s</w:t>
      </w:r>
      <w:r w:rsidR="00F02AEA" w:rsidRPr="00F02AEA">
        <w:rPr>
          <w:rFonts w:eastAsia="Times New Roman" w:cs="Segoe UI"/>
        </w:rPr>
        <w:t xml:space="preserve">takeholders have provided valuable insights through various consultations, including </w:t>
      </w:r>
      <w:hyperlink r:id="rId73" w:history="1">
        <w:r w:rsidR="00F02AEA" w:rsidRPr="00CD5229">
          <w:rPr>
            <w:rStyle w:val="Hyperlink"/>
            <w:rFonts w:eastAsia="Times New Roman" w:cs="Segoe UI"/>
          </w:rPr>
          <w:t>Consultation 1</w:t>
        </w:r>
      </w:hyperlink>
      <w:r w:rsidR="00F02AEA" w:rsidRPr="00F02AEA">
        <w:rPr>
          <w:rFonts w:eastAsia="Times New Roman" w:cs="Segoe UI"/>
        </w:rPr>
        <w:t xml:space="preserve">, which received </w:t>
      </w:r>
      <w:r w:rsidR="0011225D">
        <w:rPr>
          <w:rFonts w:eastAsia="Times New Roman" w:cs="Segoe UI"/>
        </w:rPr>
        <w:t>more than</w:t>
      </w:r>
      <w:r w:rsidR="00F02AEA" w:rsidRPr="00F02AEA">
        <w:rPr>
          <w:rFonts w:eastAsia="Times New Roman" w:cs="Segoe UI"/>
        </w:rPr>
        <w:t xml:space="preserve"> 110 submissions, and deep</w:t>
      </w:r>
      <w:r w:rsidR="00EB07E6">
        <w:rPr>
          <w:rFonts w:eastAsia="Times New Roman" w:cs="Segoe UI"/>
        </w:rPr>
        <w:t xml:space="preserve"> </w:t>
      </w:r>
      <w:r w:rsidR="00F02AEA" w:rsidRPr="00F02AEA">
        <w:rPr>
          <w:rFonts w:eastAsia="Times New Roman" w:cs="Segoe UI"/>
        </w:rPr>
        <w:t xml:space="preserve">dives with the Reference Committee which </w:t>
      </w:r>
      <w:r w:rsidR="00F56EDC">
        <w:rPr>
          <w:rFonts w:eastAsia="Times New Roman" w:cs="Segoe UI"/>
        </w:rPr>
        <w:t xml:space="preserve">covered a </w:t>
      </w:r>
      <w:r w:rsidR="00F02AEA" w:rsidRPr="00F02AEA">
        <w:rPr>
          <w:rFonts w:eastAsia="Times New Roman" w:cs="Segoe UI"/>
        </w:rPr>
        <w:t xml:space="preserve">range of topics. Stakeholder input was bolstered by the </w:t>
      </w:r>
      <w:r w:rsidR="00F47F0C">
        <w:rPr>
          <w:rFonts w:eastAsia="Times New Roman" w:cs="Segoe UI"/>
        </w:rPr>
        <w:t>7</w:t>
      </w:r>
      <w:r w:rsidR="00F02AEA" w:rsidRPr="00F02AEA">
        <w:rPr>
          <w:rFonts w:eastAsia="Times New Roman" w:cs="Segoe UI"/>
        </w:rPr>
        <w:t xml:space="preserve"> </w:t>
      </w:r>
      <w:hyperlink r:id="rId74" w:history="1">
        <w:r w:rsidR="00F02AEA" w:rsidRPr="00A856F6">
          <w:rPr>
            <w:rStyle w:val="Hyperlink"/>
            <w:rFonts w:eastAsia="Times New Roman" w:cs="Segoe UI"/>
          </w:rPr>
          <w:t>research and analysis papers</w:t>
        </w:r>
      </w:hyperlink>
      <w:r w:rsidR="00F02AEA" w:rsidRPr="00F02AEA">
        <w:rPr>
          <w:rFonts w:eastAsia="Times New Roman" w:cs="Segoe UI"/>
        </w:rPr>
        <w:t xml:space="preserve"> developed by experts in HTA, analysing current methods, contemporary research, relevant methodologies, and purchasing practices used in HTA in Australia and internationally. </w:t>
      </w:r>
    </w:p>
    <w:p w14:paraId="28DD80CD" w14:textId="60F996FB" w:rsidR="00F02AEA" w:rsidRDefault="00F02AEA" w:rsidP="00687095">
      <w:pPr>
        <w:rPr>
          <w:rFonts w:eastAsia="Times New Roman" w:cs="Segoe UI"/>
        </w:rPr>
      </w:pPr>
      <w:r w:rsidRPr="00F02AEA">
        <w:rPr>
          <w:rFonts w:eastAsia="Times New Roman" w:cs="Segoe UI"/>
        </w:rPr>
        <w:t xml:space="preserve">This paper has been developed to facilitate </w:t>
      </w:r>
      <w:r w:rsidR="001E4DD0">
        <w:rPr>
          <w:rFonts w:eastAsia="Times New Roman" w:cs="Segoe UI"/>
        </w:rPr>
        <w:t xml:space="preserve">further </w:t>
      </w:r>
      <w:r w:rsidRPr="00F02AEA">
        <w:rPr>
          <w:rFonts w:eastAsia="Times New Roman" w:cs="Segoe UI"/>
        </w:rPr>
        <w:t xml:space="preserve">stakeholder input through Consultation 2 </w:t>
      </w:r>
      <w:r w:rsidR="00F63C72">
        <w:rPr>
          <w:rFonts w:eastAsia="Times New Roman" w:cs="Segoe UI"/>
        </w:rPr>
        <w:t>on potential</w:t>
      </w:r>
      <w:r w:rsidRPr="00F02AEA">
        <w:rPr>
          <w:rFonts w:eastAsia="Times New Roman" w:cs="Segoe UI"/>
        </w:rPr>
        <w:t xml:space="preserve"> options for reform</w:t>
      </w:r>
      <w:r w:rsidR="00F63C72">
        <w:rPr>
          <w:rFonts w:eastAsia="Times New Roman" w:cs="Segoe UI"/>
        </w:rPr>
        <w:t xml:space="preserve"> that have been proposed through the HTA Review or</w:t>
      </w:r>
      <w:r w:rsidRPr="00F02AEA">
        <w:rPr>
          <w:rFonts w:eastAsia="Times New Roman" w:cs="Segoe UI"/>
        </w:rPr>
        <w:t xml:space="preserve"> developed by the Reference Committee through </w:t>
      </w:r>
      <w:r w:rsidR="00804320">
        <w:rPr>
          <w:rFonts w:eastAsia="Times New Roman" w:cs="Segoe UI"/>
        </w:rPr>
        <w:t>its</w:t>
      </w:r>
      <w:r w:rsidRPr="00F02AEA">
        <w:rPr>
          <w:rFonts w:eastAsia="Times New Roman" w:cs="Segoe UI"/>
        </w:rPr>
        <w:t xml:space="preserve"> consideration of th</w:t>
      </w:r>
      <w:r w:rsidR="004301AF">
        <w:rPr>
          <w:rFonts w:eastAsia="Times New Roman" w:cs="Segoe UI"/>
        </w:rPr>
        <w:t xml:space="preserve">e </w:t>
      </w:r>
      <w:r w:rsidRPr="00F02AEA">
        <w:rPr>
          <w:rFonts w:eastAsia="Times New Roman" w:cs="Segoe UI"/>
        </w:rPr>
        <w:t>input</w:t>
      </w:r>
      <w:r w:rsidR="004301AF">
        <w:rPr>
          <w:rFonts w:eastAsia="Times New Roman" w:cs="Segoe UI"/>
        </w:rPr>
        <w:t xml:space="preserve"> received to date.</w:t>
      </w:r>
    </w:p>
    <w:p w14:paraId="15BC2D7F" w14:textId="2675CC40" w:rsidR="00043356" w:rsidRDefault="002E0F73" w:rsidP="00043356">
      <w:pPr>
        <w:pStyle w:val="Heading3"/>
      </w:pPr>
      <w:bookmarkStart w:id="18" w:name="_Toc157029022"/>
      <w:r>
        <w:t xml:space="preserve">Goal </w:t>
      </w:r>
      <w:r w:rsidR="00043356">
        <w:t>of options</w:t>
      </w:r>
      <w:r>
        <w:t xml:space="preserve"> for reform</w:t>
      </w:r>
      <w:bookmarkEnd w:id="18"/>
    </w:p>
    <w:p w14:paraId="174AAB9D" w14:textId="57E104AD" w:rsidR="000E47B5" w:rsidRDefault="003D7AF0" w:rsidP="00890936">
      <w:r>
        <w:t>The</w:t>
      </w:r>
      <w:r w:rsidR="00404A56">
        <w:t xml:space="preserve"> Reference Committee has identified </w:t>
      </w:r>
      <w:r w:rsidR="00F32A0C">
        <w:t>several</w:t>
      </w:r>
      <w:r w:rsidR="00404A56">
        <w:t xml:space="preserve"> areas where </w:t>
      </w:r>
      <w:r w:rsidR="00D5097F">
        <w:t>H</w:t>
      </w:r>
      <w:r w:rsidR="00404A56">
        <w:t xml:space="preserve">ealth </w:t>
      </w:r>
      <w:r w:rsidR="00D5097F">
        <w:t>T</w:t>
      </w:r>
      <w:r w:rsidR="00404A56">
        <w:t xml:space="preserve">echnology </w:t>
      </w:r>
      <w:r w:rsidR="00D5097F">
        <w:t>A</w:t>
      </w:r>
      <w:r w:rsidR="00404A56">
        <w:t xml:space="preserve">ssessment and funding approaches could be improved to better meet the needs of Australians. </w:t>
      </w:r>
    </w:p>
    <w:p w14:paraId="741EC558" w14:textId="0F4AC907" w:rsidR="00890936" w:rsidRDefault="00404A56" w:rsidP="00890936">
      <w:r>
        <w:t>The</w:t>
      </w:r>
      <w:r w:rsidR="003D7AF0">
        <w:t xml:space="preserve"> options the Reference Committee presents in this paper are those that it has identified could </w:t>
      </w:r>
      <w:r w:rsidR="009A0891">
        <w:t xml:space="preserve">address </w:t>
      </w:r>
      <w:r>
        <w:t xml:space="preserve">the issues </w:t>
      </w:r>
      <w:r w:rsidR="083C5B18">
        <w:t xml:space="preserve">raised </w:t>
      </w:r>
      <w:r>
        <w:t xml:space="preserve">and </w:t>
      </w:r>
      <w:r w:rsidR="00890936">
        <w:t xml:space="preserve">support the objectives set out in the </w:t>
      </w:r>
      <w:hyperlink r:id="rId75" w:history="1">
        <w:r w:rsidR="00394DEE">
          <w:rPr>
            <w:rStyle w:val="Hyperlink"/>
          </w:rPr>
          <w:t>terms of reference</w:t>
        </w:r>
        <w:r w:rsidR="00890936" w:rsidRPr="00065631">
          <w:rPr>
            <w:rStyle w:val="Hyperlink"/>
          </w:rPr>
          <w:t xml:space="preserve"> for the HTA Review</w:t>
        </w:r>
      </w:hyperlink>
      <w:r w:rsidR="00890936">
        <w:t xml:space="preserve">. That is: </w:t>
      </w:r>
    </w:p>
    <w:p w14:paraId="13BAB8CD" w14:textId="1B4FEADA" w:rsidR="00890936" w:rsidRDefault="00890936" w:rsidP="008505D7">
      <w:pPr>
        <w:pStyle w:val="ListParagraph"/>
        <w:numPr>
          <w:ilvl w:val="0"/>
          <w:numId w:val="49"/>
        </w:numPr>
      </w:pPr>
      <w:r>
        <w:t xml:space="preserve">deliver Australians equitable, timely, safe and affordable access to a high-quality and reliable supply of medicines for all </w:t>
      </w:r>
      <w:proofErr w:type="gramStart"/>
      <w:r>
        <w:t>Australians</w:t>
      </w:r>
      <w:proofErr w:type="gramEnd"/>
    </w:p>
    <w:p w14:paraId="562A90EE" w14:textId="77C53F40" w:rsidR="00890936" w:rsidRDefault="00890936" w:rsidP="008505D7">
      <w:pPr>
        <w:pStyle w:val="ListParagraph"/>
        <w:numPr>
          <w:ilvl w:val="0"/>
          <w:numId w:val="49"/>
        </w:numPr>
      </w:pPr>
      <w:r>
        <w:t xml:space="preserve">adopt a person-centred approach in </w:t>
      </w:r>
      <w:proofErr w:type="gramStart"/>
      <w:r>
        <w:t>HTA</w:t>
      </w:r>
      <w:proofErr w:type="gramEnd"/>
    </w:p>
    <w:p w14:paraId="367AF812" w14:textId="43E184B3" w:rsidR="00890936" w:rsidRDefault="00890936" w:rsidP="008505D7">
      <w:pPr>
        <w:pStyle w:val="ListParagraph"/>
        <w:numPr>
          <w:ilvl w:val="0"/>
          <w:numId w:val="49"/>
        </w:numPr>
      </w:pPr>
      <w:r>
        <w:t xml:space="preserve">deliver the outcomes sought by recommendations from </w:t>
      </w:r>
      <w:hyperlink r:id="rId76" w:history="1">
        <w:r w:rsidRPr="00DC4920">
          <w:rPr>
            <w:rStyle w:val="Hyperlink"/>
          </w:rPr>
          <w:t>the Inquiry</w:t>
        </w:r>
      </w:hyperlink>
      <w:r>
        <w:t xml:space="preserve"> that are agreed in principle in the </w:t>
      </w:r>
      <w:hyperlink r:id="rId77" w:history="1">
        <w:r w:rsidRPr="00501D1B">
          <w:rPr>
            <w:rStyle w:val="Hyperlink"/>
          </w:rPr>
          <w:t>Government Response</w:t>
        </w:r>
      </w:hyperlink>
    </w:p>
    <w:p w14:paraId="268BA8E0" w14:textId="6C542C93" w:rsidR="00890936" w:rsidRDefault="00890936" w:rsidP="008505D7">
      <w:pPr>
        <w:pStyle w:val="ListParagraph"/>
        <w:numPr>
          <w:ilvl w:val="0"/>
          <w:numId w:val="49"/>
        </w:numPr>
      </w:pPr>
      <w:r>
        <w:t xml:space="preserve">further the objectives of the new </w:t>
      </w:r>
      <w:hyperlink r:id="rId78" w:history="1">
        <w:r w:rsidRPr="0007162F">
          <w:rPr>
            <w:rStyle w:val="Hyperlink"/>
          </w:rPr>
          <w:t>NMP</w:t>
        </w:r>
      </w:hyperlink>
    </w:p>
    <w:p w14:paraId="0E601F38" w14:textId="20F7A671" w:rsidR="00890936" w:rsidRDefault="00890936" w:rsidP="008505D7">
      <w:pPr>
        <w:pStyle w:val="ListParagraph"/>
        <w:numPr>
          <w:ilvl w:val="0"/>
          <w:numId w:val="49"/>
        </w:numPr>
      </w:pPr>
      <w:r>
        <w:t>ensure HTA policy and methods are well adapted to and capable of assessing new technologies that are emerging or are expected to emerge in the coming years</w:t>
      </w:r>
      <w:r w:rsidR="00EF6CBB">
        <w:t>.</w:t>
      </w:r>
    </w:p>
    <w:p w14:paraId="62297BED" w14:textId="77777777" w:rsidR="00890936" w:rsidRDefault="00890936" w:rsidP="00890936">
      <w:r>
        <w:lastRenderedPageBreak/>
        <w:t>While making sure they are:</w:t>
      </w:r>
    </w:p>
    <w:p w14:paraId="147F1C7A" w14:textId="3FD0699A" w:rsidR="00890936" w:rsidRDefault="00890936" w:rsidP="008505D7">
      <w:pPr>
        <w:pStyle w:val="ListParagraph"/>
        <w:numPr>
          <w:ilvl w:val="0"/>
          <w:numId w:val="50"/>
        </w:numPr>
      </w:pPr>
      <w:r>
        <w:t>implementable and sustainable for both health funders (Commonwealth, state, and territory) and the health technology industry</w:t>
      </w:r>
    </w:p>
    <w:p w14:paraId="57722479" w14:textId="45A61AE0" w:rsidR="00043356" w:rsidRPr="00043356" w:rsidRDefault="00890936" w:rsidP="008505D7">
      <w:pPr>
        <w:pStyle w:val="ListParagraph"/>
        <w:numPr>
          <w:ilvl w:val="0"/>
          <w:numId w:val="50"/>
        </w:numPr>
      </w:pPr>
      <w:r>
        <w:t xml:space="preserve">do not compromise assessment of patient safety, effectiveness and cost, or advice to Government on subsidy of health technologies. </w:t>
      </w:r>
    </w:p>
    <w:p w14:paraId="11E3AC82" w14:textId="466B0922" w:rsidR="00FE1392" w:rsidRDefault="009321D3" w:rsidP="00622410">
      <w:pPr>
        <w:pStyle w:val="Heading3"/>
      </w:pPr>
      <w:bookmarkStart w:id="19" w:name="_Toc157029023"/>
      <w:r>
        <w:t>How long HTA processes take</w:t>
      </w:r>
      <w:r w:rsidR="0094008D">
        <w:t xml:space="preserve"> in </w:t>
      </w:r>
      <w:proofErr w:type="gramStart"/>
      <w:r w:rsidR="0094008D">
        <w:t>Australia</w:t>
      </w:r>
      <w:bookmarkEnd w:id="19"/>
      <w:proofErr w:type="gramEnd"/>
    </w:p>
    <w:p w14:paraId="3C8ECE85" w14:textId="77777777" w:rsidR="004342EB" w:rsidRDefault="00C203AF" w:rsidP="00622410">
      <w:r>
        <w:t xml:space="preserve">The Reference committee considered </w:t>
      </w:r>
      <w:r w:rsidR="0094008D">
        <w:t xml:space="preserve">several </w:t>
      </w:r>
      <w:r w:rsidR="00735051">
        <w:t>analyses</w:t>
      </w:r>
      <w:r w:rsidR="0094008D">
        <w:t xml:space="preserve"> </w:t>
      </w:r>
      <w:r w:rsidR="00125ADF">
        <w:t>on how long HTA processes</w:t>
      </w:r>
      <w:r w:rsidR="00056275">
        <w:t xml:space="preserve"> take</w:t>
      </w:r>
      <w:r w:rsidR="00125ADF">
        <w:t xml:space="preserve"> in Australia</w:t>
      </w:r>
      <w:r w:rsidR="00056275">
        <w:t xml:space="preserve"> compared to other countries and</w:t>
      </w:r>
      <w:r w:rsidR="00D10A66">
        <w:t xml:space="preserve"> </w:t>
      </w:r>
      <w:r w:rsidR="00D11CCA">
        <w:t>the reasons that they may</w:t>
      </w:r>
      <w:r w:rsidR="00F00847">
        <w:t xml:space="preserve"> not happen in the </w:t>
      </w:r>
      <w:r w:rsidR="007D1F30">
        <w:t>minimum</w:t>
      </w:r>
      <w:r w:rsidR="00F00847">
        <w:t xml:space="preserve"> possible timeframe. </w:t>
      </w:r>
    </w:p>
    <w:p w14:paraId="0C7B9FC2" w14:textId="31424227" w:rsidR="004342EB" w:rsidRDefault="004342EB" w:rsidP="00E700AB">
      <w:pPr>
        <w:pStyle w:val="Heading4"/>
      </w:pPr>
      <w:r>
        <w:t>Medicines</w:t>
      </w:r>
    </w:p>
    <w:p w14:paraId="303A28B0" w14:textId="0787FC05" w:rsidR="00E67433" w:rsidRDefault="00CD6E14" w:rsidP="00622410">
      <w:r>
        <w:t>The Reference Committee</w:t>
      </w:r>
      <w:r w:rsidR="00C85AF3">
        <w:t xml:space="preserve"> saw</w:t>
      </w:r>
      <w:r>
        <w:t xml:space="preserve"> </w:t>
      </w:r>
      <w:r w:rsidR="00E416A8">
        <w:t xml:space="preserve">that </w:t>
      </w:r>
      <w:r w:rsidR="00A8349A">
        <w:t xml:space="preserve">the shortest possible timeframe </w:t>
      </w:r>
      <w:r w:rsidR="00B63C70">
        <w:t>for funding medicines</w:t>
      </w:r>
      <w:r w:rsidR="00056275">
        <w:t xml:space="preserve"> in Australia</w:t>
      </w:r>
      <w:r w:rsidR="00B63C70">
        <w:t xml:space="preserve"> was</w:t>
      </w:r>
      <w:r w:rsidR="00D530F9">
        <w:t xml:space="preserve"> </w:t>
      </w:r>
      <w:r w:rsidR="00056275">
        <w:t xml:space="preserve">fast compared to most other countries but that </w:t>
      </w:r>
      <w:r w:rsidR="00057CF1">
        <w:t xml:space="preserve">medicines </w:t>
      </w:r>
      <w:r w:rsidR="004F0FE9">
        <w:t xml:space="preserve">were rarely funded in the shortest possible timeframe. </w:t>
      </w:r>
      <w:r w:rsidR="00FB246F">
        <w:t>Parallel processing and a 17</w:t>
      </w:r>
      <w:r w:rsidR="004A7D37">
        <w:noBreakHyphen/>
      </w:r>
      <w:r w:rsidR="00FB246F">
        <w:t>week HTA cycle</w:t>
      </w:r>
      <w:r w:rsidR="00B03E68">
        <w:t xml:space="preserve"> for medicine</w:t>
      </w:r>
      <w:r w:rsidR="00FB246F">
        <w:t xml:space="preserve"> </w:t>
      </w:r>
      <w:r w:rsidR="00B03E68">
        <w:t xml:space="preserve">make it possible for </w:t>
      </w:r>
      <w:r w:rsidR="004D278A">
        <w:t xml:space="preserve">medicines to be funded quickly, but </w:t>
      </w:r>
      <w:r w:rsidR="0068756B">
        <w:t xml:space="preserve">delay in submissions being made, </w:t>
      </w:r>
      <w:r w:rsidR="009E0DF1">
        <w:t xml:space="preserve">repeated </w:t>
      </w:r>
      <w:r w:rsidR="0068756B">
        <w:t xml:space="preserve">resubmissions and </w:t>
      </w:r>
      <w:r w:rsidR="009E0DF1">
        <w:t xml:space="preserve">extended </w:t>
      </w:r>
      <w:r w:rsidR="0068756B">
        <w:t>price negotiation</w:t>
      </w:r>
      <w:r w:rsidR="004B5FDF">
        <w:t>s</w:t>
      </w:r>
      <w:r w:rsidR="00B8604F">
        <w:t xml:space="preserve"> </w:t>
      </w:r>
      <w:r w:rsidR="0045767B">
        <w:t xml:space="preserve">in </w:t>
      </w:r>
      <w:r w:rsidR="215B1868">
        <w:t xml:space="preserve">some </w:t>
      </w:r>
      <w:r w:rsidR="0045767B">
        <w:t xml:space="preserve">instances prevent this from happening. </w:t>
      </w:r>
    </w:p>
    <w:p w14:paraId="487274B8" w14:textId="7CC98C85" w:rsidR="00E72277" w:rsidRDefault="00590FE9" w:rsidP="00622410">
      <w:r>
        <w:t>Overall</w:t>
      </w:r>
      <w:r w:rsidR="00E67433">
        <w:t>,</w:t>
      </w:r>
      <w:r>
        <w:t xml:space="preserve"> </w:t>
      </w:r>
      <w:r w:rsidR="00FA7FD0">
        <w:t>Australia</w:t>
      </w:r>
      <w:r w:rsidR="003577F7">
        <w:t xml:space="preserve"> is reported to</w:t>
      </w:r>
      <w:r w:rsidR="00FA7FD0">
        <w:t xml:space="preserve"> </w:t>
      </w:r>
      <w:r w:rsidR="00EC760D">
        <w:t>be</w:t>
      </w:r>
      <w:r w:rsidR="00FA7FD0">
        <w:t xml:space="preserve"> in the middle </w:t>
      </w:r>
      <w:r w:rsidR="008D70B0">
        <w:t xml:space="preserve">of </w:t>
      </w:r>
      <w:r w:rsidR="00286952" w:rsidRPr="00286952">
        <w:t xml:space="preserve">Organisation for Economic Co-operation and Development </w:t>
      </w:r>
      <w:r w:rsidR="00286952">
        <w:t>(</w:t>
      </w:r>
      <w:r w:rsidR="008D70B0">
        <w:t>OECD</w:t>
      </w:r>
      <w:r w:rsidR="00286952">
        <w:t>)</w:t>
      </w:r>
      <w:r w:rsidR="008D70B0">
        <w:t xml:space="preserve"> countries</w:t>
      </w:r>
      <w:r w:rsidR="004A2795">
        <w:t xml:space="preserve"> in terms of the actual time it takes for a medicine to be funded. </w:t>
      </w:r>
    </w:p>
    <w:p w14:paraId="07C7B2AB" w14:textId="75E7DF28" w:rsidR="004342EB" w:rsidRDefault="008A0713" w:rsidP="00622410">
      <w:pPr>
        <w:pStyle w:val="Heading4"/>
      </w:pPr>
      <w:r>
        <w:t>Other health technologies</w:t>
      </w:r>
    </w:p>
    <w:p w14:paraId="1B39DD36" w14:textId="6CDCE2E9" w:rsidR="008A0713" w:rsidRPr="008A0713" w:rsidRDefault="007421F8" w:rsidP="008A0713">
      <w:r>
        <w:t>The Reference Committee found that</w:t>
      </w:r>
      <w:r w:rsidR="00597CA2">
        <w:t xml:space="preserve"> the minimum possible timeframe </w:t>
      </w:r>
      <w:r w:rsidR="006B55F0">
        <w:t xml:space="preserve">was significantly longer </w:t>
      </w:r>
      <w:r w:rsidR="00597CA2">
        <w:t>for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rsidR="00597CA2">
        <w:t xml:space="preserve">, </w:t>
      </w:r>
      <w:r w:rsidR="00071227">
        <w:t>advanced therapies</w:t>
      </w:r>
      <w:r w:rsidR="00700B73">
        <w:fldChar w:fldCharType="begin"/>
      </w:r>
      <w:r w:rsidR="00700B73">
        <w:instrText xml:space="preserve"> XE "</w:instrText>
      </w:r>
      <w:r w:rsidR="00700B73" w:rsidRPr="00D231D2">
        <w:instrText>advanced therapies</w:instrText>
      </w:r>
      <w:r w:rsidR="00700B73">
        <w:instrText xml:space="preserve">" </w:instrText>
      </w:r>
      <w:r w:rsidR="00700B73">
        <w:fldChar w:fldCharType="end"/>
      </w:r>
      <w:r w:rsidR="003824D6">
        <w:t xml:space="preserve"> (including high cost</w:t>
      </w:r>
      <w:r w:rsidR="0065556C">
        <w:t xml:space="preserve"> </w:t>
      </w:r>
      <w:r w:rsidR="00D152BA">
        <w:t>Highly S</w:t>
      </w:r>
      <w:r w:rsidR="00597CA2">
        <w:t xml:space="preserve">pecialised </w:t>
      </w:r>
      <w:r w:rsidR="00D152BA">
        <w:t>T</w:t>
      </w:r>
      <w:r w:rsidR="00597CA2">
        <w:t>herapies</w:t>
      </w:r>
      <w:r w:rsidR="00D152BA">
        <w:t xml:space="preserve"> (HSTs)</w:t>
      </w:r>
      <w:r w:rsidR="003824D6">
        <w:t xml:space="preserve"> funded through the NHRA)</w:t>
      </w:r>
      <w:r w:rsidR="001675AC">
        <w:fldChar w:fldCharType="begin"/>
      </w:r>
      <w:r w:rsidR="001675AC">
        <w:instrText xml:space="preserve"> XE "</w:instrText>
      </w:r>
      <w:r w:rsidR="001675AC" w:rsidRPr="004856BD">
        <w:instrText>highly specialised therapies</w:instrText>
      </w:r>
      <w:r w:rsidR="001675AC">
        <w:instrText xml:space="preserve">" \b </w:instrText>
      </w:r>
      <w:r w:rsidR="001675AC">
        <w:fldChar w:fldCharType="end"/>
      </w:r>
      <w:r w:rsidR="00597CA2">
        <w:t xml:space="preserve">, and medicines funded through the </w:t>
      </w:r>
      <w:r w:rsidR="00053249">
        <w:t>L</w:t>
      </w:r>
      <w:r w:rsidR="00597CA2">
        <w:t xml:space="preserve">ife </w:t>
      </w:r>
      <w:r w:rsidR="00053249">
        <w:t>S</w:t>
      </w:r>
      <w:r w:rsidR="00597CA2">
        <w:t xml:space="preserve">aving </w:t>
      </w:r>
      <w:r w:rsidR="00053249">
        <w:t>D</w:t>
      </w:r>
      <w:r w:rsidR="00597CA2">
        <w:t xml:space="preserve">rugs </w:t>
      </w:r>
      <w:r w:rsidR="00053249">
        <w:t>P</w:t>
      </w:r>
      <w:r w:rsidR="00597CA2">
        <w:t>rogram</w:t>
      </w:r>
      <w:r w:rsidR="0031255A">
        <w:t xml:space="preserv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fldChar w:fldCharType="end"/>
      </w:r>
      <w:r w:rsidR="0031255A">
        <w:t>)</w:t>
      </w:r>
      <w:r w:rsidR="004F358C">
        <w:t>.</w:t>
      </w:r>
      <w:r w:rsidR="00BA6A94">
        <w:fldChar w:fldCharType="begin"/>
      </w:r>
      <w:r w:rsidR="00BA6A94">
        <w:instrText xml:space="preserve"> XE "</w:instrText>
      </w:r>
      <w:r w:rsidR="00BA6A94" w:rsidRPr="001B64C0">
        <w:rPr>
          <w:lang w:eastAsia="en-AU"/>
        </w:rPr>
        <w:instrText>Life Saving Drugs Program</w:instrText>
      </w:r>
      <w:r w:rsidR="00BA6A94">
        <w:instrText xml:space="preserve">" \b </w:instrText>
      </w:r>
      <w:r w:rsidR="00BA6A94">
        <w:fldChar w:fldCharType="end"/>
      </w:r>
      <w:r w:rsidR="00597CA2">
        <w:t xml:space="preserve"> </w:t>
      </w:r>
      <w:r w:rsidR="00E67433">
        <w:t>This was</w:t>
      </w:r>
      <w:r w:rsidR="00871B29">
        <w:t xml:space="preserve"> due to the</w:t>
      </w:r>
      <w:r w:rsidR="00E67433">
        <w:t xml:space="preserve"> </w:t>
      </w:r>
      <w:r w:rsidR="006B55F0">
        <w:t xml:space="preserve">additional processes in the </w:t>
      </w:r>
      <w:r w:rsidR="00871B29">
        <w:t xml:space="preserve">assessment and funding decisions for these products. </w:t>
      </w:r>
    </w:p>
    <w:p w14:paraId="4F336FF5" w14:textId="6C8A0F22" w:rsidR="009505A7" w:rsidRDefault="00B53D92" w:rsidP="00332C52">
      <w:pPr>
        <w:pStyle w:val="Heading3"/>
        <w:spacing w:after="0"/>
      </w:pPr>
      <w:bookmarkStart w:id="20" w:name="_Toc157029024"/>
      <w:r>
        <w:t>Transparency, communication</w:t>
      </w:r>
      <w:r w:rsidR="00570001">
        <w:fldChar w:fldCharType="begin"/>
      </w:r>
      <w:r w:rsidR="00570001">
        <w:instrText xml:space="preserve"> XE "</w:instrText>
      </w:r>
      <w:r w:rsidR="00570001" w:rsidRPr="00E61E42">
        <w:rPr>
          <w:color w:val="auto"/>
        </w:rPr>
        <w:instrText>communication</w:instrText>
      </w:r>
      <w:r w:rsidR="00570001">
        <w:instrText xml:space="preserve">" \b </w:instrText>
      </w:r>
      <w:r w:rsidR="00570001">
        <w:fldChar w:fldCharType="end"/>
      </w:r>
      <w:r>
        <w:t>, and stakeholder involvement in HTA</w:t>
      </w:r>
      <w:bookmarkEnd w:id="20"/>
    </w:p>
    <w:p w14:paraId="0C2DF954" w14:textId="0D52D1DD" w:rsidR="00F02AEA" w:rsidRPr="00687095" w:rsidRDefault="00F02AEA" w:rsidP="00FC2618">
      <w:pPr>
        <w:pStyle w:val="Heading4"/>
        <w:rPr>
          <w:rFonts w:eastAsia="Times New Roman" w:cs="Segoe UI"/>
        </w:rPr>
      </w:pPr>
      <w:r w:rsidRPr="00687095">
        <w:t xml:space="preserve">Transparency </w:t>
      </w:r>
      <w:r w:rsidR="007D37A3">
        <w:rPr>
          <w:szCs w:val="20"/>
        </w:rPr>
        <w:t>and</w:t>
      </w:r>
      <w:r w:rsidRPr="00687095">
        <w:rPr>
          <w:szCs w:val="20"/>
        </w:rPr>
        <w:t xml:space="preserve"> communication</w:t>
      </w:r>
      <w:r w:rsidR="00570001">
        <w:rPr>
          <w:szCs w:val="20"/>
        </w:rPr>
        <w:fldChar w:fldCharType="begin"/>
      </w:r>
      <w:r w:rsidR="00570001">
        <w:instrText xml:space="preserve"> XE "</w:instrText>
      </w:r>
      <w:r w:rsidR="00570001" w:rsidRPr="00E61E42">
        <w:instrText>communication</w:instrText>
      </w:r>
      <w:r w:rsidR="00570001">
        <w:instrText xml:space="preserve">" \b </w:instrText>
      </w:r>
      <w:r w:rsidR="00570001">
        <w:rPr>
          <w:szCs w:val="20"/>
        </w:rPr>
        <w:fldChar w:fldCharType="end"/>
      </w:r>
      <w:r w:rsidRPr="00687095">
        <w:rPr>
          <w:szCs w:val="20"/>
        </w:rPr>
        <w:t xml:space="preserve"> of HTA pathways,</w:t>
      </w:r>
      <w:r w:rsidRPr="00F02AEA">
        <w:rPr>
          <w:szCs w:val="20"/>
        </w:rPr>
        <w:t xml:space="preserve"> </w:t>
      </w:r>
      <w:proofErr w:type="gramStart"/>
      <w:r w:rsidRPr="00F02AEA">
        <w:rPr>
          <w:szCs w:val="20"/>
        </w:rPr>
        <w:t>p</w:t>
      </w:r>
      <w:r w:rsidRPr="00687095">
        <w:rPr>
          <w:szCs w:val="20"/>
        </w:rPr>
        <w:t>rocesses</w:t>
      </w:r>
      <w:proofErr w:type="gramEnd"/>
      <w:r w:rsidRPr="00687095">
        <w:rPr>
          <w:szCs w:val="20"/>
        </w:rPr>
        <w:t xml:space="preserve"> and decisions</w:t>
      </w:r>
      <w:r w:rsidRPr="00687095" w:rsidDel="00E41B30">
        <w:rPr>
          <w:szCs w:val="20"/>
        </w:rPr>
        <w:t xml:space="preserve"> </w:t>
      </w:r>
    </w:p>
    <w:p w14:paraId="5AC2C13D" w14:textId="092778E4" w:rsidR="00F02AEA" w:rsidRPr="00F02AEA" w:rsidRDefault="00F02AEA" w:rsidP="00687095">
      <w:r>
        <w:t>Communication, clarity, and transparency</w:t>
      </w:r>
      <w:r>
        <w:fldChar w:fldCharType="begin"/>
      </w:r>
      <w:r>
        <w:instrText xml:space="preserve"> XE "transparency" \b </w:instrText>
      </w:r>
      <w:r>
        <w:fldChar w:fldCharType="end"/>
      </w:r>
      <w:r>
        <w:t xml:space="preserve"> were overarching themes raised across all stakeholder groups, affecting the performance of many aspects of the HTA system. The Reference Committee considered that while a lot of information is available regarding HTA systems, processes, pathways, and decisions, </w:t>
      </w:r>
      <w:r w:rsidR="00333819">
        <w:t xml:space="preserve">it remained challenging for those impacted by HTA decisions to </w:t>
      </w:r>
      <w:r w:rsidR="009B1C5B">
        <w:t>find</w:t>
      </w:r>
      <w:r w:rsidR="00333819">
        <w:t xml:space="preserve"> </w:t>
      </w:r>
      <w:r w:rsidR="00C81B8E">
        <w:t xml:space="preserve">and understand </w:t>
      </w:r>
      <w:r w:rsidR="00333819">
        <w:lastRenderedPageBreak/>
        <w:t xml:space="preserve">the information they </w:t>
      </w:r>
      <w:r w:rsidR="005E32E7">
        <w:t xml:space="preserve">were looking for. </w:t>
      </w:r>
      <w:r w:rsidR="00F45494">
        <w:t>This is</w:t>
      </w:r>
      <w:r w:rsidR="00FF4819">
        <w:t xml:space="preserve"> due to documents not </w:t>
      </w:r>
      <w:r w:rsidR="007B06F4">
        <w:t>being written in accessible language</w:t>
      </w:r>
      <w:r w:rsidR="005C78AC">
        <w:t>,</w:t>
      </w:r>
      <w:r w:rsidR="007B06F4">
        <w:t xml:space="preserve"> or </w:t>
      </w:r>
      <w:r w:rsidR="00904326">
        <w:t>specific information is not published.</w:t>
      </w:r>
      <w:r>
        <w:t xml:space="preserve"> </w:t>
      </w:r>
      <w:r w:rsidR="00F81A03">
        <w:t>Many of the published documents</w:t>
      </w:r>
      <w:r w:rsidR="005D4B47">
        <w:t xml:space="preserve"> are</w:t>
      </w:r>
      <w:r w:rsidR="00F81A03">
        <w:t xml:space="preserve"> </w:t>
      </w:r>
      <w:r>
        <w:t xml:space="preserve">highly </w:t>
      </w:r>
      <w:r w:rsidR="00300B12">
        <w:t xml:space="preserve">complex and </w:t>
      </w:r>
      <w:r>
        <w:t>technica</w:t>
      </w:r>
      <w:r w:rsidR="00F81A03">
        <w:t xml:space="preserve">l, prepared for different </w:t>
      </w:r>
      <w:r w:rsidR="00D57E84">
        <w:t xml:space="preserve">audiences and purposes, and are </w:t>
      </w:r>
      <w:r w:rsidR="003E1073">
        <w:t>presented on multiple websites</w:t>
      </w:r>
      <w:r w:rsidR="4EF3EC6B">
        <w:t xml:space="preserve">. </w:t>
      </w:r>
      <w:r>
        <w:t xml:space="preserve">Additionally, there is a need for meaningful, timely information on HTA submissions and the factors influencing HTA decisions. </w:t>
      </w:r>
    </w:p>
    <w:p w14:paraId="7C7C2410" w14:textId="10CD4CCB" w:rsidR="00F02AEA" w:rsidRPr="00F02AEA" w:rsidRDefault="00F02AEA" w:rsidP="003F360F">
      <w:r w:rsidRPr="00F02AEA">
        <w:t>A suit</w:t>
      </w:r>
      <w:r w:rsidR="0013784C">
        <w:t>e</w:t>
      </w:r>
      <w:r w:rsidRPr="00F02AEA">
        <w:t xml:space="preserve"> of </w:t>
      </w:r>
      <w:r w:rsidR="003D1C2B">
        <w:t>reform</w:t>
      </w:r>
      <w:r w:rsidRPr="00F02AEA">
        <w:t xml:space="preserve"> options to improve the performance of the HTA system through enhancements to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Pr="00F02AEA">
        <w:t xml:space="preserve"> and communication</w:t>
      </w:r>
      <w:r w:rsidR="00570001">
        <w:fldChar w:fldCharType="begin"/>
      </w:r>
      <w:r w:rsidR="00570001">
        <w:instrText xml:space="preserve"> XE "</w:instrText>
      </w:r>
      <w:r w:rsidR="00570001" w:rsidRPr="00E61E42">
        <w:instrText>communication</w:instrText>
      </w:r>
      <w:r w:rsidR="00570001">
        <w:instrText xml:space="preserve">" \b </w:instrText>
      </w:r>
      <w:r w:rsidR="00570001">
        <w:fldChar w:fldCharType="end"/>
      </w:r>
      <w:r w:rsidRPr="00F02AEA">
        <w:t xml:space="preserve"> have been proposed</w:t>
      </w:r>
      <w:r w:rsidR="00B8772A">
        <w:t>,</w:t>
      </w:r>
      <w:r w:rsidRPr="00F02AEA">
        <w:t xml:space="preserve"> including the timely </w:t>
      </w:r>
      <w:r w:rsidR="00CF782B">
        <w:t>provision</w:t>
      </w:r>
      <w:r w:rsidRPr="00F02AEA">
        <w:t xml:space="preserve"> of plain language summaries of various documents</w:t>
      </w:r>
      <w:r w:rsidR="006807C8">
        <w:t xml:space="preserve"> (</w:t>
      </w:r>
      <w:r w:rsidR="00067177">
        <w:t>e.g.</w:t>
      </w:r>
      <w:r w:rsidRPr="00F02AEA">
        <w:t xml:space="preserve"> </w:t>
      </w:r>
      <w:r w:rsidR="00512D6E">
        <w:t>HTA</w:t>
      </w:r>
      <w:r w:rsidRPr="00F02AEA">
        <w:t xml:space="preserve"> submissions</w:t>
      </w:r>
      <w:r w:rsidR="00512D6E">
        <w:t xml:space="preserve"> lodged by </w:t>
      </w:r>
      <w:r w:rsidR="00204BDE">
        <w:t>sponsors</w:t>
      </w:r>
      <w:r w:rsidR="0032699D">
        <w:t xml:space="preserve"> </w:t>
      </w:r>
      <w:r w:rsidR="0032699D" w:rsidRPr="0032699D">
        <w:t>(usually the companies that supply the health technologies)</w:t>
      </w:r>
      <w:r w:rsidRPr="00F02AEA">
        <w:t>, committee decisions, and HTA guidance material</w:t>
      </w:r>
      <w:r w:rsidR="006807C8">
        <w:t>)</w:t>
      </w:r>
      <w:r w:rsidRPr="00F02AEA">
        <w:t xml:space="preserve">. Further, options </w:t>
      </w:r>
      <w:r w:rsidR="00EF0A6F">
        <w:t>to</w:t>
      </w:r>
      <w:r w:rsidRPr="00F02AEA">
        <w:t xml:space="preserve"> improve</w:t>
      </w:r>
      <w:r w:rsidR="00EF0A6F">
        <w:t xml:space="preserve"> </w:t>
      </w:r>
      <w:r w:rsidRPr="00F02AEA">
        <w:t>the HTA webpages</w:t>
      </w:r>
      <w:r w:rsidR="00124484">
        <w:t>,</w:t>
      </w:r>
      <w:r w:rsidRPr="00F02AEA">
        <w:t xml:space="preserve"> including development of a data</w:t>
      </w:r>
      <w:r w:rsidR="00124484">
        <w:t>-</w:t>
      </w:r>
      <w:r w:rsidRPr="00F02AEA">
        <w:t>driven dashboard and the communication of currently available information</w:t>
      </w:r>
      <w:r w:rsidR="00601416">
        <w:t>,</w:t>
      </w:r>
      <w:r w:rsidRPr="00F02AEA">
        <w:t xml:space="preserve"> will make the HTA system, its processes and performance, easier to understand and navigate for all stakeholder groups. </w:t>
      </w:r>
      <w:r w:rsidR="00C367DC">
        <w:t>Importantly</w:t>
      </w:r>
      <w:r w:rsidRPr="00F02AEA">
        <w:t xml:space="preserve">, these options </w:t>
      </w:r>
      <w:r w:rsidR="00C367DC">
        <w:t xml:space="preserve">complement </w:t>
      </w:r>
      <w:r w:rsidRPr="00F02AEA">
        <w:t xml:space="preserve">those detailed under the Stakeholder involvement in HTA section. </w:t>
      </w:r>
    </w:p>
    <w:p w14:paraId="0489F626" w14:textId="53D4BFDA" w:rsidR="00B460F0" w:rsidRPr="00F82E46" w:rsidRDefault="00B460F0" w:rsidP="00FC2618">
      <w:pPr>
        <w:pStyle w:val="Heading4"/>
        <w:rPr>
          <w:szCs w:val="20"/>
        </w:rPr>
      </w:pPr>
      <w:bookmarkStart w:id="21" w:name="_Stakeholder_involvement_in"/>
      <w:bookmarkEnd w:id="21"/>
      <w:r w:rsidRPr="00F82E46">
        <w:t>Consumer, clinician and othe</w:t>
      </w:r>
      <w:r w:rsidRPr="00F82E46">
        <w:rPr>
          <w:szCs w:val="20"/>
        </w:rPr>
        <w:t xml:space="preserve">r stakeholder involvement and consideration in HTA </w:t>
      </w:r>
    </w:p>
    <w:p w14:paraId="2C4BEB83" w14:textId="7BBE54AF" w:rsidR="00510AC6" w:rsidRDefault="00B460F0" w:rsidP="00D67A95">
      <w:r>
        <w:t>T</w:t>
      </w:r>
      <w:r w:rsidR="006777C9">
        <w:t xml:space="preserve">he main mechanism for stakeholders to be involved in HTA in Australia is though the opportunity to provide comments on submissions made to advisory committees. </w:t>
      </w:r>
    </w:p>
    <w:p w14:paraId="3E244EB1" w14:textId="7316A752" w:rsidR="00D67A95" w:rsidRDefault="005E10E6" w:rsidP="00D67A95">
      <w:r>
        <w:t xml:space="preserve">The Reference Committee noted support from stakeholders for </w:t>
      </w:r>
      <w:r w:rsidR="00AA0DA3">
        <w:t>processes</w:t>
      </w:r>
      <w:r w:rsidR="00796011">
        <w:t xml:space="preserve"> that allo</w:t>
      </w:r>
      <w:r>
        <w:t>w</w:t>
      </w:r>
      <w:r w:rsidR="00796011">
        <w:t xml:space="preserve"> consumers, </w:t>
      </w:r>
      <w:proofErr w:type="gramStart"/>
      <w:r w:rsidR="00796011">
        <w:t>patients</w:t>
      </w:r>
      <w:proofErr w:type="gramEnd"/>
      <w:r w:rsidR="00796011">
        <w:t xml:space="preserve"> and clinicians to</w:t>
      </w:r>
      <w:r w:rsidR="005D5064">
        <w:t xml:space="preserve"> engage in HTA. </w:t>
      </w:r>
      <w:r w:rsidR="004370F6">
        <w:t>However</w:t>
      </w:r>
      <w:r w:rsidR="005E7FF2">
        <w:t>,</w:t>
      </w:r>
      <w:r w:rsidR="004370F6">
        <w:t xml:space="preserve"> there was general concern raised </w:t>
      </w:r>
      <w:r>
        <w:t>that it was unclear</w:t>
      </w:r>
      <w:r w:rsidR="00EE7EF2">
        <w:t xml:space="preserve"> </w:t>
      </w:r>
      <w:r w:rsidR="00F63C72">
        <w:t xml:space="preserve">how </w:t>
      </w:r>
      <w:r w:rsidR="00EE7EF2">
        <w:t>input was used. Stakeholders</w:t>
      </w:r>
      <w:r>
        <w:t xml:space="preserve"> also expressed a view that input should be sought earlier in the HTA process. </w:t>
      </w:r>
      <w:r w:rsidR="00CE3A35">
        <w:t xml:space="preserve">This </w:t>
      </w:r>
      <w:r w:rsidR="0045303C">
        <w:t xml:space="preserve">paper presents options to develop an engagement framework </w:t>
      </w:r>
      <w:r w:rsidR="0091253F">
        <w:t xml:space="preserve">and strengthen </w:t>
      </w:r>
      <w:r w:rsidR="00A538E8">
        <w:t>consumer evidence</w:t>
      </w:r>
      <w:r w:rsidR="00B40903">
        <w:fldChar w:fldCharType="begin"/>
      </w:r>
      <w:r w:rsidR="00B40903">
        <w:instrText xml:space="preserve"> XE "</w:instrText>
      </w:r>
      <w:r w:rsidR="00B40903" w:rsidRPr="00E62860">
        <w:rPr>
          <w:rStyle w:val="cf01"/>
          <w:sz w:val="20"/>
          <w:szCs w:val="20"/>
        </w:rPr>
        <w:instrText>consumer evidence</w:instrText>
      </w:r>
      <w:r w:rsidR="00B40903">
        <w:instrText xml:space="preserve">" \b </w:instrText>
      </w:r>
      <w:r w:rsidR="00B40903">
        <w:fldChar w:fldCharType="end"/>
      </w:r>
      <w:r w:rsidR="00A538E8">
        <w:t xml:space="preserve"> that may help to address these issues.</w:t>
      </w:r>
    </w:p>
    <w:p w14:paraId="074B4BEA" w14:textId="2C22CA6B" w:rsidR="002244C2" w:rsidRPr="00F82E46" w:rsidRDefault="002244C2" w:rsidP="00FC2618">
      <w:pPr>
        <w:pStyle w:val="Heading4"/>
        <w:rPr>
          <w:szCs w:val="20"/>
        </w:rPr>
      </w:pPr>
      <w:r w:rsidRPr="00F82E46">
        <w:t>First Nations</w:t>
      </w:r>
      <w:r w:rsidRPr="00F82E46">
        <w:rPr>
          <w:szCs w:val="20"/>
        </w:rPr>
        <w:t xml:space="preserve"> </w:t>
      </w:r>
      <w:r w:rsidR="005B761D">
        <w:rPr>
          <w:szCs w:val="20"/>
        </w:rPr>
        <w:t>p</w:t>
      </w:r>
      <w:r w:rsidR="005B761D" w:rsidRPr="00F82E46">
        <w:rPr>
          <w:szCs w:val="20"/>
        </w:rPr>
        <w:t>eoples</w:t>
      </w:r>
      <w:r w:rsidR="009950D4">
        <w:rPr>
          <w:szCs w:val="20"/>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szCs w:val="20"/>
        </w:rPr>
        <w:fldChar w:fldCharType="end"/>
      </w:r>
      <w:r w:rsidR="005B761D" w:rsidRPr="00F82E46">
        <w:rPr>
          <w:szCs w:val="20"/>
        </w:rPr>
        <w:t xml:space="preserve"> </w:t>
      </w:r>
      <w:r w:rsidRPr="00F82E46">
        <w:rPr>
          <w:szCs w:val="20"/>
        </w:rPr>
        <w:t>involvement and consideration in HTA</w:t>
      </w:r>
    </w:p>
    <w:p w14:paraId="6EAC1444" w14:textId="122ACC83" w:rsidR="002244C2" w:rsidRDefault="002244C2" w:rsidP="002244C2">
      <w:r>
        <w:t>The Reference Committee considered that whil</w:t>
      </w:r>
      <w:r w:rsidR="005B31DC">
        <w:t>e</w:t>
      </w:r>
      <w:r>
        <w:t xml:space="preserve"> there are some mechanisms to promote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in access to medicines for </w:t>
      </w:r>
      <w:r w:rsidRPr="0009703E">
        <w:t xml:space="preserve">First Nations </w:t>
      </w:r>
      <w:r w:rsidR="00F330AB">
        <w:t>people</w:t>
      </w:r>
      <w:r w:rsidR="008E6EB3">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t xml:space="preserve">, a lack of formal and routine involvement of a First Nations health representative and consideration of First Nations health outcomes is contributing to health inequity. Stakeholders purported that </w:t>
      </w:r>
      <w:r w:rsidR="00626B15">
        <w:t>several</w:t>
      </w:r>
      <w:r>
        <w:t xml:space="preserve"> medicines integral to the health and wellbeing of First Nation</w:t>
      </w:r>
      <w:r w:rsidR="004845AC">
        <w:t>s</w:t>
      </w:r>
      <w:r>
        <w:t xml:space="preserve"> </w:t>
      </w:r>
      <w:r w:rsidR="004845AC">
        <w:t>people</w:t>
      </w:r>
      <w:r w:rsidR="00916C47">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t xml:space="preserve"> </w:t>
      </w:r>
      <w:r w:rsidR="27CF95AC">
        <w:t>are not</w:t>
      </w:r>
      <w:r>
        <w:t xml:space="preserve"> listed on the PBS, and </w:t>
      </w:r>
      <w:r w:rsidR="00CB36E6" w:rsidRPr="00F82E46">
        <w:t xml:space="preserve">data </w:t>
      </w:r>
      <w:r>
        <w:t xml:space="preserve">revealed disparity in access to medicines for First Nations </w:t>
      </w:r>
      <w:r w:rsidR="005E5E8D">
        <w:t>p</w:t>
      </w:r>
      <w:r>
        <w:t>eople</w:t>
      </w:r>
      <w:r w:rsidR="005E5E8D">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t xml:space="preserve"> with significantly lower expenditure </w:t>
      </w:r>
      <w:r w:rsidR="00902495">
        <w:t xml:space="preserve">on medicines </w:t>
      </w:r>
      <w:r>
        <w:t>for this population.</w:t>
      </w:r>
    </w:p>
    <w:p w14:paraId="5A9260C0" w14:textId="4CCBF4F9" w:rsidR="002244C2" w:rsidRDefault="002244C2" w:rsidP="002244C2">
      <w:r>
        <w:lastRenderedPageBreak/>
        <w:t>The Reference Committee consider</w:t>
      </w:r>
      <w:r w:rsidR="004D792A">
        <w:t>s</w:t>
      </w:r>
      <w:r>
        <w:t xml:space="preserve"> that HTA advisory committees would benefit from more formal arrangements for ensuring consideration of impacts on </w:t>
      </w:r>
      <w:r w:rsidR="00986508" w:rsidRPr="00F82E46">
        <w:t xml:space="preserve">First Nations </w:t>
      </w:r>
      <w:r w:rsidRPr="00F82E46">
        <w:t>peoples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t xml:space="preserve"> in relation to all funding (listing and delisting) decisions, including a proactive approach to identifying unmet needs and potential therapies to meet these needs. </w:t>
      </w:r>
    </w:p>
    <w:p w14:paraId="3C967CE4" w14:textId="77777777" w:rsidR="002244C2" w:rsidRPr="00362AF9" w:rsidRDefault="002244C2" w:rsidP="00FC2618">
      <w:pPr>
        <w:pStyle w:val="Heading4"/>
        <w:rPr>
          <w:szCs w:val="20"/>
        </w:rPr>
      </w:pPr>
      <w:r w:rsidRPr="00362AF9">
        <w:t>State and territory governments</w:t>
      </w:r>
    </w:p>
    <w:p w14:paraId="74421A2E" w14:textId="1E1B334D" w:rsidR="002244C2" w:rsidRPr="00393722" w:rsidRDefault="002244C2" w:rsidP="002244C2">
      <w:r>
        <w:t>The Reference Committee consider</w:t>
      </w:r>
      <w:r w:rsidR="00B00E2E">
        <w:t>s</w:t>
      </w:r>
      <w:r>
        <w:t xml:space="preserve"> that </w:t>
      </w:r>
      <w:r w:rsidRPr="00A829B5">
        <w:t xml:space="preserve">there are significant opportunities to increase </w:t>
      </w:r>
      <w:r>
        <w:t>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t xml:space="preserve"> with</w:t>
      </w:r>
      <w:r w:rsidRPr="00A829B5">
        <w:t xml:space="preserve"> state and territor</w:t>
      </w:r>
      <w:r w:rsidR="00421550">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t xml:space="preserve"> </w:t>
      </w:r>
      <w:r w:rsidRPr="00A829B5">
        <w:t xml:space="preserve">in </w:t>
      </w:r>
      <w:r>
        <w:t>HTA processes associated with federally, and joint</w:t>
      </w:r>
      <w:r w:rsidR="006F089D">
        <w:t>ly</w:t>
      </w:r>
      <w:r>
        <w:t xml:space="preserve">-funded health technologies, including increased opportunities for </w:t>
      </w:r>
      <w:r w:rsidRPr="11DF80E4">
        <w:rPr>
          <w:rFonts w:eastAsia="Times New Roman" w:cs="Segoe UI"/>
          <w:color w:val="222A35"/>
          <w:lang w:eastAsia="en-AU"/>
        </w:rPr>
        <w:t>input, consultation and work sharing in relation to horizon scanning</w:t>
      </w:r>
      <w:r w:rsidR="00CF3213">
        <w:rPr>
          <w:rFonts w:eastAsia="Times New Roman" w:cs="Segoe UI"/>
          <w:color w:val="222A35"/>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lang w:eastAsia="en-AU"/>
        </w:rPr>
        <w:fldChar w:fldCharType="end"/>
      </w:r>
      <w:r w:rsidRPr="11DF80E4">
        <w:rPr>
          <w:rFonts w:eastAsia="Times New Roman" w:cs="Segoe UI"/>
          <w:color w:val="222A35"/>
          <w:lang w:eastAsia="en-AU"/>
        </w:rPr>
        <w:t xml:space="preserve">, HTA evaluations and data-sharing. </w:t>
      </w:r>
    </w:p>
    <w:p w14:paraId="26F3515F" w14:textId="77777777" w:rsidR="002244C2" w:rsidRPr="00393722" w:rsidRDefault="002244C2" w:rsidP="00E700AB">
      <w:pPr>
        <w:pStyle w:val="Heading3"/>
      </w:pPr>
      <w:bookmarkStart w:id="22" w:name="_Health_technology_funding"/>
      <w:bookmarkStart w:id="23" w:name="_Toc157029025"/>
      <w:bookmarkEnd w:id="22"/>
      <w:r w:rsidRPr="00393722">
        <w:t>Health technology funding and assessment pathways</w:t>
      </w:r>
      <w:bookmarkEnd w:id="23"/>
    </w:p>
    <w:p w14:paraId="1CCE53E9" w14:textId="39B8D62B" w:rsidR="00857618" w:rsidRDefault="002244C2" w:rsidP="002244C2">
      <w:r>
        <w:t>Currently</w:t>
      </w:r>
      <w:r w:rsidR="00FA3116">
        <w:t xml:space="preserve">, </w:t>
      </w:r>
      <w:r>
        <w:t xml:space="preserve">funding mechanisms </w:t>
      </w:r>
      <w:r w:rsidR="00FA3116">
        <w:t xml:space="preserve">in Australia </w:t>
      </w:r>
      <w:r>
        <w:t>for different health technologies are generally based on the type of health technology (</w:t>
      </w:r>
      <w:proofErr w:type="gramStart"/>
      <w:r w:rsidR="00067177">
        <w:t>e.g.</w:t>
      </w:r>
      <w:proofErr w:type="gramEnd"/>
      <w:r w:rsidR="00FA3116">
        <w:t xml:space="preserve"> </w:t>
      </w:r>
      <w:r>
        <w:t>medicines, diagnostic tests, blood products) and, in some cases, the setting where the health technology will be delivered (</w:t>
      </w:r>
      <w:r w:rsidR="00C07E36">
        <w:t>e.g.</w:t>
      </w:r>
      <w:r w:rsidR="00CB44FA">
        <w:t xml:space="preserve"> </w:t>
      </w:r>
      <w:r>
        <w:t xml:space="preserve">inpatient or outpatient setting). At present, the funding program for a health technology primarily determines the HTA pathway that will be used to evaluate that technology. The existing separation of pathways based on technology type is </w:t>
      </w:r>
      <w:r w:rsidR="00B00E2E">
        <w:t>historical</w:t>
      </w:r>
      <w:r>
        <w:t xml:space="preserve">, </w:t>
      </w:r>
      <w:r w:rsidR="00B00E2E">
        <w:t>and</w:t>
      </w:r>
      <w:r>
        <w:t xml:space="preserve"> becoming increasingly </w:t>
      </w:r>
      <w:r w:rsidR="7B0D60DD">
        <w:t xml:space="preserve">complex to navigate </w:t>
      </w:r>
      <w:r>
        <w:t xml:space="preserve">as new health technologies challenge the distinctions between different technology types. </w:t>
      </w:r>
    </w:p>
    <w:p w14:paraId="1F1E910D" w14:textId="2B44FAC6" w:rsidR="00B7652E" w:rsidRDefault="00857618" w:rsidP="002244C2">
      <w:r>
        <w:t>T</w:t>
      </w:r>
      <w:r w:rsidR="005845C2">
        <w:t>he Reference Committee does not consider that</w:t>
      </w:r>
      <w:r>
        <w:t xml:space="preserve"> development of</w:t>
      </w:r>
      <w:r w:rsidR="005845C2">
        <w:t xml:space="preserve"> further assessment pathways should be created</w:t>
      </w:r>
      <w:r w:rsidR="02A79F07">
        <w:t xml:space="preserve">. </w:t>
      </w:r>
      <w:r w:rsidR="00EE4AC5">
        <w:t>T</w:t>
      </w:r>
      <w:r w:rsidR="002244C2">
        <w:t xml:space="preserve">he </w:t>
      </w:r>
      <w:r w:rsidR="00EE4AC5">
        <w:t>c</w:t>
      </w:r>
      <w:r w:rsidR="002244C2">
        <w:t>ommittee consider</w:t>
      </w:r>
      <w:r w:rsidR="00B40C05">
        <w:t>s</w:t>
      </w:r>
      <w:r w:rsidR="002244C2">
        <w:t xml:space="preserve"> it beyond the scope of this review to recommend wholesale consolidation of health technology funding in Australia</w:t>
      </w:r>
      <w:r w:rsidR="00EE4AC5">
        <w:t>. However, i</w:t>
      </w:r>
      <w:r w:rsidR="00B04B8B">
        <w:t>t considers</w:t>
      </w:r>
      <w:r w:rsidR="002244C2">
        <w:t xml:space="preserve"> that the assessment functions could be consolidated, and that </w:t>
      </w:r>
      <w:r w:rsidR="00D56BA8">
        <w:t xml:space="preserve">through a staged approach, </w:t>
      </w:r>
      <w:r w:rsidR="00F53E95" w:rsidRPr="00613BDD">
        <w:t xml:space="preserve">a unified, national, HTA pathway for all health technology evaluation </w:t>
      </w:r>
      <w:r w:rsidR="00B524F0">
        <w:t>be developed</w:t>
      </w:r>
      <w:r w:rsidR="00EF4725">
        <w:t xml:space="preserve"> </w:t>
      </w:r>
      <w:r w:rsidR="000E7896">
        <w:t xml:space="preserve">over </w:t>
      </w:r>
      <w:r w:rsidR="00EF4725">
        <w:t>the medium</w:t>
      </w:r>
      <w:r w:rsidR="000673A4">
        <w:t xml:space="preserve"> to </w:t>
      </w:r>
      <w:r w:rsidR="00EF4725">
        <w:t>long term</w:t>
      </w:r>
      <w:r w:rsidR="0078555E">
        <w:t xml:space="preserve">. </w:t>
      </w:r>
      <w:r w:rsidR="00263498">
        <w:t>This could include</w:t>
      </w:r>
      <w:r w:rsidR="00EF4725">
        <w:t xml:space="preserve"> </w:t>
      </w:r>
      <w:r w:rsidR="002244C2">
        <w:t xml:space="preserve">a single HTA advisory committee </w:t>
      </w:r>
      <w:r w:rsidR="162395A1">
        <w:t>co</w:t>
      </w:r>
      <w:r w:rsidR="3A5039D7">
        <w:t>m</w:t>
      </w:r>
      <w:r w:rsidR="31600A60">
        <w:t>pri</w:t>
      </w:r>
      <w:r w:rsidR="0818C5AE">
        <w:t xml:space="preserve">sing </w:t>
      </w:r>
      <w:r w:rsidR="002244C2">
        <w:t>the necessary expertise to assess all applications</w:t>
      </w:r>
      <w:r w:rsidR="175FD348">
        <w:t xml:space="preserve"> seeking </w:t>
      </w:r>
      <w:r w:rsidR="00214EF4">
        <w:t>public</w:t>
      </w:r>
      <w:r w:rsidR="00613BDD">
        <w:t xml:space="preserve"> </w:t>
      </w:r>
      <w:r w:rsidR="002244C2">
        <w:t>funding</w:t>
      </w:r>
      <w:r w:rsidR="00613BDD">
        <w:t>.</w:t>
      </w:r>
    </w:p>
    <w:p w14:paraId="4EBE84B4" w14:textId="1698F6D5" w:rsidR="00B7652E" w:rsidRDefault="00D54367" w:rsidP="002244C2">
      <w:r>
        <w:t>O</w:t>
      </w:r>
      <w:r w:rsidR="00B7652E">
        <w:t>ptions to further streamli</w:t>
      </w:r>
      <w:r w:rsidR="00263726">
        <w:t>ne</w:t>
      </w:r>
      <w:r w:rsidR="00A6569F">
        <w:fldChar w:fldCharType="begin"/>
      </w:r>
      <w:r w:rsidR="00A6569F">
        <w:instrText xml:space="preserve"> XE "</w:instrText>
      </w:r>
      <w:r w:rsidR="00A6569F" w:rsidRPr="00A1229E">
        <w:rPr>
          <w:rFonts w:eastAsia="Times New Roman" w:cs="Segoe UI"/>
          <w:color w:val="222A35"/>
          <w:kern w:val="24"/>
          <w:lang w:eastAsia="en-AU"/>
        </w:rPr>
        <w:instrText>streamlining</w:instrText>
      </w:r>
      <w:r w:rsidR="00A6569F">
        <w:instrText xml:space="preserve">" \b </w:instrText>
      </w:r>
      <w:r w:rsidR="00A6569F">
        <w:fldChar w:fldCharType="end"/>
      </w:r>
      <w:r w:rsidR="00FC17B9">
        <w:t xml:space="preserve"> assessment processes </w:t>
      </w:r>
      <w:r w:rsidR="00FA395B">
        <w:t xml:space="preserve">include </w:t>
      </w:r>
      <w:r w:rsidR="008135B3">
        <w:t xml:space="preserve">pathways that </w:t>
      </w:r>
      <w:r w:rsidR="00AB5F8D">
        <w:t xml:space="preserve">calibrate the level of appraisal required for HTA submissions to the level of risk and the clinical need that the submission represents. </w:t>
      </w:r>
    </w:p>
    <w:p w14:paraId="5B454872" w14:textId="77777777" w:rsidR="002244C2" w:rsidRPr="00E700AB" w:rsidRDefault="002244C2" w:rsidP="00332C52">
      <w:pPr>
        <w:pStyle w:val="Heading3"/>
        <w:spacing w:after="0"/>
      </w:pPr>
      <w:bookmarkStart w:id="24" w:name="_Toc157029026"/>
      <w:r w:rsidRPr="00AF7007">
        <w:t>Method</w:t>
      </w:r>
      <w:r w:rsidRPr="00E700AB">
        <w:t>s for HTA for Australian Government Subsidy (technical methods)</w:t>
      </w:r>
      <w:bookmarkEnd w:id="24"/>
    </w:p>
    <w:p w14:paraId="0BF91D7A" w14:textId="12B51702" w:rsidR="002244C2" w:rsidRPr="005D010C" w:rsidRDefault="002244C2" w:rsidP="00FC2618">
      <w:pPr>
        <w:pStyle w:val="Heading4"/>
        <w:rPr>
          <w:szCs w:val="20"/>
        </w:rPr>
      </w:pPr>
      <w:r w:rsidRPr="005D010C">
        <w:lastRenderedPageBreak/>
        <w:t>Determination of PICO</w:t>
      </w:r>
      <w:r w:rsidR="0068258A">
        <w:rPr>
          <w:szCs w:val="20"/>
        </w:rPr>
        <w:fldChar w:fldCharType="begin"/>
      </w:r>
      <w:r w:rsidR="0068258A" w:rsidRPr="00362AF9">
        <w:rPr>
          <w:szCs w:val="20"/>
        </w:rPr>
        <w:instrText xml:space="preserve"> XE "PICO" \b </w:instrText>
      </w:r>
      <w:r w:rsidR="0068258A">
        <w:rPr>
          <w:szCs w:val="20"/>
        </w:rPr>
        <w:fldChar w:fldCharType="end"/>
      </w:r>
      <w:r w:rsidRPr="005D010C">
        <w:rPr>
          <w:szCs w:val="20"/>
        </w:rPr>
        <w:t>: pre-assessment processes for selection of comparator</w:t>
      </w:r>
      <w:r w:rsidR="0091571D">
        <w:rPr>
          <w:szCs w:val="20"/>
        </w:rPr>
        <w:fldChar w:fldCharType="begin"/>
      </w:r>
      <w:r w:rsidR="0091571D" w:rsidRPr="00362AF9">
        <w:rPr>
          <w:szCs w:val="20"/>
        </w:rPr>
        <w:instrText xml:space="preserve"> XE "selection of comparator" \b </w:instrText>
      </w:r>
      <w:r w:rsidR="0091571D">
        <w:rPr>
          <w:szCs w:val="20"/>
        </w:rPr>
        <w:fldChar w:fldCharType="end"/>
      </w:r>
      <w:r w:rsidRPr="005D010C">
        <w:rPr>
          <w:szCs w:val="20"/>
        </w:rPr>
        <w:t>(s), and identifying the treatment population and outcomes of interest</w:t>
      </w:r>
    </w:p>
    <w:p w14:paraId="6EEC7F8C" w14:textId="41326DDE" w:rsidR="002244C2" w:rsidRDefault="002244C2" w:rsidP="002244C2">
      <w:pPr>
        <w:pStyle w:val="paragraph"/>
        <w:spacing w:before="0" w:beforeAutospacing="0" w:after="160" w:afterAutospacing="0" w:line="259" w:lineRule="auto"/>
        <w:textAlignment w:val="baseline"/>
        <w:rPr>
          <w:rStyle w:val="normaltextrun"/>
          <w:rFonts w:ascii="Segoe UI" w:hAnsi="Segoe UI" w:cs="Segoe UI"/>
        </w:rPr>
      </w:pPr>
      <w:r w:rsidRPr="0012147B">
        <w:rPr>
          <w:rStyle w:val="normaltextrun"/>
          <w:rFonts w:ascii="Segoe UI" w:hAnsi="Segoe UI" w:cs="Segoe UI"/>
        </w:rPr>
        <w:t xml:space="preserve">The </w:t>
      </w:r>
      <w:r w:rsidR="00AA0D74" w:rsidRPr="00AA0D74">
        <w:rPr>
          <w:rStyle w:val="normaltextrun"/>
          <w:rFonts w:ascii="Segoe UI" w:hAnsi="Segoe UI" w:cs="Segoe UI"/>
        </w:rPr>
        <w:t>population, intervention, compar</w:t>
      </w:r>
      <w:r w:rsidR="006852B2">
        <w:rPr>
          <w:rStyle w:val="normaltextrun"/>
          <w:rFonts w:ascii="Segoe UI" w:hAnsi="Segoe UI" w:cs="Segoe UI"/>
        </w:rPr>
        <w:t>ator</w:t>
      </w:r>
      <w:r w:rsidR="00AA0D74" w:rsidRPr="00AA0D74">
        <w:rPr>
          <w:rStyle w:val="normaltextrun"/>
          <w:rFonts w:ascii="Segoe UI" w:hAnsi="Segoe UI" w:cs="Segoe UI"/>
        </w:rPr>
        <w:t xml:space="preserve"> and outcomes</w:t>
      </w:r>
      <w:r w:rsidR="00A51303">
        <w:rPr>
          <w:rStyle w:val="normaltextrun"/>
          <w:rFonts w:ascii="Segoe UI" w:hAnsi="Segoe UI" w:cs="Segoe UI"/>
        </w:rPr>
        <w:t xml:space="preserv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framework </w:t>
      </w:r>
      <w:r w:rsidRPr="0012147B">
        <w:rPr>
          <w:rStyle w:val="normaltextrun"/>
          <w:rFonts w:ascii="Segoe UI" w:hAnsi="Segoe UI" w:cs="Segoe UI"/>
        </w:rPr>
        <w:t xml:space="preserve">is commonly used in the Australian HTA context to formulate the </w:t>
      </w:r>
      <w:r w:rsidRPr="004E2FC2">
        <w:rPr>
          <w:rStyle w:val="normaltextrun"/>
          <w:rFonts w:ascii="Segoe UI" w:hAnsi="Segoe UI" w:cs="Segoe UI"/>
        </w:rPr>
        <w:t>research question that should be answered by the assessment</w:t>
      </w:r>
      <w:r w:rsidRPr="0012147B">
        <w:rPr>
          <w:rStyle w:val="normaltextrun"/>
          <w:rFonts w:ascii="Segoe UI" w:hAnsi="Segoe UI" w:cs="Segoe UI"/>
        </w:rPr>
        <w:t xml:space="preserve"> under </w:t>
      </w:r>
      <w:r w:rsidR="00FE4638">
        <w:rPr>
          <w:rStyle w:val="normaltextrun"/>
          <w:rFonts w:ascii="Segoe UI" w:hAnsi="Segoe UI" w:cs="Segoe UI"/>
        </w:rPr>
        <w:t>four</w:t>
      </w:r>
      <w:r w:rsidR="00FE4638" w:rsidRPr="004E2FC2">
        <w:rPr>
          <w:rStyle w:val="normaltextrun"/>
          <w:rFonts w:ascii="Segoe UI" w:hAnsi="Segoe UI" w:cs="Segoe UI"/>
        </w:rPr>
        <w:t xml:space="preserve"> </w:t>
      </w:r>
      <w:r w:rsidRPr="004E2FC2">
        <w:rPr>
          <w:rStyle w:val="normaltextrun"/>
          <w:rFonts w:ascii="Segoe UI" w:hAnsi="Segoe UI" w:cs="Segoe UI"/>
        </w:rPr>
        <w:t>components: population (the population being studied); the intervention</w:t>
      </w:r>
      <w:r w:rsidRPr="0012147B">
        <w:rPr>
          <w:rStyle w:val="normaltextrun"/>
          <w:rFonts w:ascii="Segoe UI" w:hAnsi="Segoe UI" w:cs="Segoe UI"/>
        </w:rPr>
        <w:t>(</w:t>
      </w:r>
      <w:r w:rsidRPr="004E2FC2">
        <w:rPr>
          <w:rStyle w:val="normaltextrun"/>
          <w:rFonts w:ascii="Segoe UI" w:hAnsi="Segoe UI" w:cs="Segoe UI"/>
        </w:rPr>
        <w:t>s</w:t>
      </w:r>
      <w:r w:rsidRPr="0012147B">
        <w:rPr>
          <w:rStyle w:val="normaltextrun"/>
          <w:rFonts w:ascii="Segoe UI" w:hAnsi="Segoe UI" w:cs="Segoe UI"/>
        </w:rPr>
        <w:t>)</w:t>
      </w:r>
      <w:r w:rsidRPr="004E2FC2">
        <w:rPr>
          <w:rStyle w:val="normaltextrun"/>
          <w:rFonts w:ascii="Segoe UI" w:hAnsi="Segoe UI" w:cs="Segoe UI"/>
        </w:rPr>
        <w:t xml:space="preserve"> (what is being done); the comparators (other main treatment options); and the outcomes (measures of how effective the interventions have been).</w:t>
      </w:r>
      <w:r>
        <w:rPr>
          <w:rStyle w:val="normaltextrun"/>
          <w:rFonts w:cs="Segoe UI"/>
        </w:rPr>
        <w:t xml:space="preserve"> </w:t>
      </w:r>
    </w:p>
    <w:p w14:paraId="748678B2" w14:textId="420D6F26" w:rsidR="002244C2" w:rsidRDefault="002244C2" w:rsidP="005B761D">
      <w:pPr>
        <w:pStyle w:val="paragraph"/>
        <w:spacing w:before="0" w:beforeAutospacing="0" w:after="160" w:afterAutospacing="0" w:line="259" w:lineRule="auto"/>
        <w:textAlignment w:val="baseline"/>
        <w:rPr>
          <w:rStyle w:val="normaltextrun"/>
          <w:rFonts w:ascii="Segoe UI" w:eastAsiaTheme="minorHAnsi" w:hAnsi="Segoe UI" w:cs="Segoe UI"/>
        </w:rPr>
      </w:pPr>
      <w:r>
        <w:rPr>
          <w:rStyle w:val="normaltextrun"/>
          <w:rFonts w:ascii="Segoe UI" w:hAnsi="Segoe UI" w:cs="Segoe UI"/>
        </w:rPr>
        <w:t>While the needs and benefits of defining PICO</w:t>
      </w:r>
      <w:r w:rsidR="0068258A">
        <w:rPr>
          <w:rStyle w:val="normaltextrun"/>
          <w:rFonts w:ascii="Segoe UI" w:hAnsi="Segoe UI" w:cs="Segoe UI"/>
        </w:rPr>
        <w:fldChar w:fldCharType="begin"/>
      </w:r>
      <w:r w:rsidR="0068258A" w:rsidRPr="000A29D8">
        <w:rPr>
          <w:rStyle w:val="normaltextrun"/>
          <w:rFonts w:ascii="Segoe UI" w:hAnsi="Segoe UI" w:cs="Segoe UI"/>
        </w:rPr>
        <w:instrText xml:space="preserve"> XE "</w:instrText>
      </w:r>
      <w:r w:rsidR="0068258A" w:rsidRPr="000A29D8">
        <w:rPr>
          <w:rStyle w:val="normaltextrun"/>
          <w:rFonts w:ascii="Segoe UI" w:hAnsi="Segoe UI"/>
        </w:rPr>
        <w:instrText>PICO</w:instrText>
      </w:r>
      <w:r w:rsidR="0068258A" w:rsidRPr="000A29D8">
        <w:rPr>
          <w:rStyle w:val="normaltextrun"/>
          <w:rFonts w:ascii="Segoe UI" w:hAnsi="Segoe UI" w:cs="Segoe UI"/>
        </w:rPr>
        <w:instrText xml:space="preserve">" \b </w:instrText>
      </w:r>
      <w:r w:rsidR="0068258A">
        <w:rPr>
          <w:rStyle w:val="normaltextrun"/>
          <w:rFonts w:ascii="Segoe UI" w:hAnsi="Segoe UI" w:cs="Segoe UI"/>
        </w:rPr>
        <w:fldChar w:fldCharType="end"/>
      </w:r>
      <w:r>
        <w:rPr>
          <w:rStyle w:val="normaltextrun"/>
          <w:rFonts w:ascii="Segoe UI" w:hAnsi="Segoe UI" w:cs="Segoe UI"/>
        </w:rPr>
        <w:t xml:space="preserve"> is generally well accepted by stakeholders, there is some contention </w:t>
      </w:r>
      <w:r w:rsidRPr="002049A1">
        <w:rPr>
          <w:rStyle w:val="normaltextrun"/>
          <w:rFonts w:ascii="Segoe UI" w:hAnsi="Segoe UI" w:cs="Segoe UI"/>
        </w:rPr>
        <w:t>across stakeholder groups</w:t>
      </w:r>
      <w:r>
        <w:rPr>
          <w:rStyle w:val="normaltextrun"/>
          <w:rFonts w:ascii="Segoe UI" w:hAnsi="Segoe UI" w:cs="Segoe UI"/>
        </w:rPr>
        <w:t xml:space="preserve"> in relation to definition of elements, in particular the selection of comparator</w:t>
      </w:r>
      <w:r w:rsidR="00F61C0E">
        <w:rPr>
          <w:rStyle w:val="normaltextrun"/>
          <w:rFonts w:ascii="Segoe UI" w:hAnsi="Segoe UI" w:cs="Segoe UI"/>
        </w:rPr>
        <w:t>s</w:t>
      </w:r>
      <w:r w:rsidR="0091571D">
        <w:rPr>
          <w:rStyle w:val="normaltextrun"/>
          <w:rFonts w:ascii="Segoe UI" w:hAnsi="Segoe UI" w:cs="Segoe UI"/>
        </w:rPr>
        <w:fldChar w:fldCharType="begin"/>
      </w:r>
      <w:r w:rsidR="0091571D" w:rsidRPr="000A29D8">
        <w:rPr>
          <w:rStyle w:val="normaltextrun"/>
          <w:rFonts w:ascii="Segoe UI" w:hAnsi="Segoe UI" w:cs="Segoe UI"/>
        </w:rPr>
        <w:instrText xml:space="preserve"> XE "</w:instrText>
      </w:r>
      <w:r w:rsidR="0091571D" w:rsidRPr="000A29D8">
        <w:rPr>
          <w:rStyle w:val="normaltextrun"/>
          <w:rFonts w:ascii="Segoe UI" w:hAnsi="Segoe UI"/>
        </w:rPr>
        <w:instrText>selection of comparator</w:instrText>
      </w:r>
      <w:r w:rsidR="0091571D" w:rsidRPr="000A29D8">
        <w:rPr>
          <w:rStyle w:val="normaltextrun"/>
          <w:rFonts w:ascii="Segoe UI" w:hAnsi="Segoe UI" w:cs="Segoe UI"/>
        </w:rPr>
        <w:instrText xml:space="preserve">" \b </w:instrText>
      </w:r>
      <w:r w:rsidR="0091571D">
        <w:rPr>
          <w:rStyle w:val="normaltextrun"/>
          <w:rFonts w:ascii="Segoe UI" w:hAnsi="Segoe UI" w:cs="Segoe UI"/>
        </w:rPr>
        <w:fldChar w:fldCharType="end"/>
      </w:r>
      <w:r>
        <w:rPr>
          <w:rStyle w:val="normaltextrun"/>
          <w:rFonts w:ascii="Segoe UI" w:hAnsi="Segoe UI" w:cs="Segoe UI"/>
        </w:rPr>
        <w:t xml:space="preserve"> (discussed in the economic evaluation section) and outcomes of relevance to particular populations to ensure equity</w:t>
      </w:r>
      <w:r w:rsidRPr="4C9F9E21">
        <w:rPr>
          <w:rStyle w:val="normaltextrun"/>
          <w:rFonts w:ascii="Segoe UI" w:hAnsi="Segoe UI" w:cs="Segoe UI"/>
        </w:rPr>
        <w:fldChar w:fldCharType="begin"/>
      </w:r>
      <w:r w:rsidRPr="000A29D8">
        <w:rPr>
          <w:rStyle w:val="normaltextrun"/>
          <w:rFonts w:ascii="Segoe UI" w:hAnsi="Segoe UI" w:cs="Segoe UI"/>
        </w:rPr>
        <w:instrText xml:space="preserve"> XE "</w:instrText>
      </w:r>
      <w:r w:rsidRPr="000A29D8">
        <w:rPr>
          <w:rStyle w:val="normaltextrun"/>
          <w:rFonts w:ascii="Segoe UI" w:hAnsi="Segoe UI"/>
        </w:rPr>
        <w:instrText>equity</w:instrText>
      </w:r>
      <w:r w:rsidRPr="000A29D8">
        <w:rPr>
          <w:rStyle w:val="normaltextrun"/>
          <w:rFonts w:ascii="Segoe UI" w:hAnsi="Segoe UI" w:cs="Segoe UI"/>
        </w:rPr>
        <w:instrText xml:space="preserve">" </w:instrText>
      </w:r>
      <w:r w:rsidRPr="4C9F9E21">
        <w:rPr>
          <w:rStyle w:val="normaltextrun"/>
          <w:rFonts w:ascii="Segoe UI" w:hAnsi="Segoe UI" w:cs="Segoe UI"/>
        </w:rPr>
        <w:fldChar w:fldCharType="end"/>
      </w:r>
      <w:r w:rsidR="7A0335CC" w:rsidRPr="4C9F9E21">
        <w:rPr>
          <w:rStyle w:val="normaltextrun"/>
          <w:rFonts w:ascii="Segoe UI" w:hAnsi="Segoe UI" w:cs="Segoe UI"/>
        </w:rPr>
        <w:t>.</w:t>
      </w:r>
    </w:p>
    <w:p w14:paraId="65D14564" w14:textId="028199E7" w:rsidR="002244C2" w:rsidRDefault="00186931" w:rsidP="00BB4AD9">
      <w:pPr>
        <w:pStyle w:val="paragraph"/>
        <w:spacing w:before="0" w:beforeAutospacing="0" w:after="160" w:afterAutospacing="0" w:line="259" w:lineRule="auto"/>
        <w:textAlignment w:val="baseline"/>
        <w:rPr>
          <w:rStyle w:val="normaltextrun"/>
          <w:rFonts w:ascii="Segoe UI" w:hAnsi="Segoe UI" w:cs="Segoe UI"/>
        </w:rPr>
      </w:pPr>
      <w:r>
        <w:rPr>
          <w:rStyle w:val="normaltextrun"/>
          <w:rFonts w:ascii="Segoe UI" w:hAnsi="Segoe UI" w:cs="Segoe UI"/>
        </w:rPr>
        <w:t>The Reference Committee has</w:t>
      </w:r>
      <w:r w:rsidR="002244C2">
        <w:rPr>
          <w:rStyle w:val="normaltextrun"/>
          <w:rFonts w:ascii="Segoe UI" w:hAnsi="Segoe UI" w:cs="Segoe UI"/>
        </w:rPr>
        <w:t xml:space="preserve"> therefore proposed options to improve clarity, </w:t>
      </w:r>
      <w:r w:rsidR="008F11B1">
        <w:rPr>
          <w:rStyle w:val="normaltextrun"/>
          <w:rFonts w:ascii="Segoe UI" w:hAnsi="Segoe UI" w:cs="Segoe UI"/>
        </w:rPr>
        <w:t xml:space="preserve">and </w:t>
      </w:r>
      <w:r w:rsidR="39F39DCD" w:rsidRPr="4C9F9E21">
        <w:rPr>
          <w:rStyle w:val="normaltextrun"/>
          <w:rFonts w:ascii="Segoe UI" w:hAnsi="Segoe UI" w:cs="Segoe UI"/>
        </w:rPr>
        <w:t xml:space="preserve">stakeholder </w:t>
      </w:r>
      <w:r w:rsidR="002244C2">
        <w:rPr>
          <w:rStyle w:val="normaltextrun"/>
          <w:rFonts w:ascii="Segoe UI" w:hAnsi="Segoe UI" w:cs="Segoe UI"/>
        </w:rPr>
        <w:t>input into PICO</w:t>
      </w:r>
      <w:r w:rsidR="0068258A">
        <w:rPr>
          <w:rStyle w:val="normaltextrun"/>
          <w:rFonts w:ascii="Segoe UI" w:hAnsi="Segoe UI" w:cs="Segoe UI"/>
        </w:rPr>
        <w:fldChar w:fldCharType="begin"/>
      </w:r>
      <w:r w:rsidR="0068258A" w:rsidRPr="00FB4F55">
        <w:rPr>
          <w:rStyle w:val="normaltextrun"/>
          <w:rFonts w:ascii="Segoe UI" w:hAnsi="Segoe UI" w:cs="Segoe UI"/>
        </w:rPr>
        <w:instrText xml:space="preserve"> XE "PICO" \b </w:instrText>
      </w:r>
      <w:r w:rsidR="0068258A">
        <w:rPr>
          <w:rStyle w:val="normaltextrun"/>
          <w:rFonts w:ascii="Segoe UI" w:hAnsi="Segoe UI" w:cs="Segoe UI"/>
        </w:rPr>
        <w:fldChar w:fldCharType="end"/>
      </w:r>
      <w:r w:rsidR="008F11B1">
        <w:rPr>
          <w:rStyle w:val="normaltextrun"/>
          <w:rFonts w:ascii="Segoe UI" w:hAnsi="Segoe UI" w:cs="Segoe UI"/>
        </w:rPr>
        <w:t xml:space="preserve">. </w:t>
      </w:r>
      <w:r w:rsidR="00BB4AD9">
        <w:rPr>
          <w:rStyle w:val="normaltextrun"/>
          <w:rFonts w:ascii="Segoe UI" w:hAnsi="Segoe UI" w:cs="Segoe UI"/>
        </w:rPr>
        <w:t xml:space="preserve">Refer to the Economic Evaluation section for options relating to the selection of the comparator. </w:t>
      </w:r>
    </w:p>
    <w:p w14:paraId="05FFC296" w14:textId="77777777" w:rsidR="002244C2" w:rsidRPr="009C7839" w:rsidRDefault="002244C2" w:rsidP="00FC2618">
      <w:pPr>
        <w:pStyle w:val="Heading4"/>
        <w:rPr>
          <w:szCs w:val="20"/>
        </w:rPr>
      </w:pPr>
      <w:r w:rsidRPr="00362AF9">
        <w:t>Clinical evaluatio</w:t>
      </w:r>
      <w:r w:rsidRPr="00362AF9">
        <w:rPr>
          <w:szCs w:val="20"/>
        </w:rPr>
        <w:t>n</w:t>
      </w:r>
      <w:r w:rsidRPr="009C7839">
        <w:rPr>
          <w:szCs w:val="20"/>
        </w:rPr>
        <w:t xml:space="preserve"> </w:t>
      </w:r>
    </w:p>
    <w:p w14:paraId="3FD89BAE" w14:textId="70381281" w:rsidR="002244C2" w:rsidRDefault="002244C2" w:rsidP="002244C2">
      <w:pPr>
        <w:rPr>
          <w:rFonts w:eastAsia="Arial" w:cs="Arial"/>
          <w:color w:val="000000" w:themeColor="text1"/>
        </w:rPr>
      </w:pPr>
      <w:r>
        <w:t xml:space="preserve">The clinical evaluation component of a HTA considers the safety and effectiveness of the proposed health technology in the population of interest relative to the comparator, based on appraisal of the best available clinical evidence. </w:t>
      </w:r>
      <w:r>
        <w:rPr>
          <w:rFonts w:eastAsia="Arial" w:cs="Arial"/>
          <w:color w:val="000000" w:themeColor="text1"/>
        </w:rPr>
        <w:t xml:space="preserve">The report commissioned for the Review on </w:t>
      </w:r>
      <w:hyperlink r:id="rId79" w:history="1">
        <w:r w:rsidRPr="008448DA">
          <w:rPr>
            <w:rStyle w:val="Hyperlink"/>
            <w:rFonts w:eastAsia="Arial" w:cs="Arial"/>
          </w:rPr>
          <w:t>Clinical Evaluation Methods in HTA</w:t>
        </w:r>
      </w:hyperlink>
      <w:r>
        <w:rPr>
          <w:rStyle w:val="Hyperlink"/>
          <w:rFonts w:eastAsia="Arial" w:cs="Arial"/>
        </w:rPr>
        <w:t xml:space="preserve"> </w:t>
      </w:r>
      <w:r w:rsidR="00385DDC">
        <w:rPr>
          <w:rStyle w:val="Hyperlink"/>
          <w:rFonts w:eastAsia="Arial" w:cs="Arial"/>
        </w:rPr>
        <w:t xml:space="preserve">(Paper </w:t>
      </w:r>
      <w:r w:rsidR="00CB18D5">
        <w:rPr>
          <w:rStyle w:val="Hyperlink"/>
          <w:rFonts w:eastAsia="Arial" w:cs="Arial"/>
        </w:rPr>
        <w:t>4)</w:t>
      </w:r>
      <w:r>
        <w:rPr>
          <w:rFonts w:eastAsia="Arial" w:cs="Arial"/>
          <w:color w:val="000000" w:themeColor="text1"/>
        </w:rPr>
        <w:t xml:space="preserve"> found that Australia’s approaches were</w:t>
      </w:r>
      <w:r w:rsidRPr="37CE1DF2">
        <w:rPr>
          <w:rFonts w:eastAsia="Arial" w:cs="Arial"/>
          <w:color w:val="000000" w:themeColor="text1"/>
        </w:rPr>
        <w:t xml:space="preserve"> similar to th</w:t>
      </w:r>
      <w:r>
        <w:rPr>
          <w:rFonts w:eastAsia="Arial" w:cs="Arial"/>
          <w:color w:val="000000" w:themeColor="text1"/>
        </w:rPr>
        <w:t>ose</w:t>
      </w:r>
      <w:r w:rsidRPr="37CE1DF2">
        <w:rPr>
          <w:rFonts w:eastAsia="Arial" w:cs="Arial"/>
          <w:color w:val="000000" w:themeColor="text1"/>
        </w:rPr>
        <w:t xml:space="preserve"> of </w:t>
      </w:r>
      <w:r>
        <w:rPr>
          <w:rFonts w:eastAsia="Arial" w:cs="Arial"/>
          <w:color w:val="000000" w:themeColor="text1"/>
        </w:rPr>
        <w:t xml:space="preserve">other </w:t>
      </w:r>
      <w:r w:rsidRPr="37CE1DF2">
        <w:rPr>
          <w:rFonts w:eastAsia="Arial" w:cs="Arial"/>
          <w:color w:val="000000" w:themeColor="text1"/>
        </w:rPr>
        <w:t xml:space="preserve">comparable </w:t>
      </w:r>
      <w:r>
        <w:rPr>
          <w:rFonts w:eastAsia="Arial" w:cs="Arial"/>
          <w:color w:val="000000" w:themeColor="text1"/>
        </w:rPr>
        <w:t xml:space="preserve">countries </w:t>
      </w:r>
      <w:r w:rsidRPr="37CE1DF2">
        <w:rPr>
          <w:rFonts w:eastAsia="Arial" w:cs="Arial"/>
          <w:color w:val="000000" w:themeColor="text1"/>
        </w:rPr>
        <w:t>and consistent with best practice.</w:t>
      </w:r>
    </w:p>
    <w:p w14:paraId="73D93BF9" w14:textId="03976B20" w:rsidR="002244C2" w:rsidRDefault="002244C2" w:rsidP="002244C2">
      <w:pPr>
        <w:spacing w:after="120"/>
        <w:rPr>
          <w:rFonts w:eastAsia="Arial"/>
          <w:color w:val="000000" w:themeColor="text1"/>
        </w:rPr>
      </w:pPr>
      <w:r>
        <w:rPr>
          <w:rFonts w:eastAsia="Arial"/>
          <w:color w:val="000000" w:themeColor="text1"/>
        </w:rPr>
        <w:t xml:space="preserve">Many stakeholders expressed </w:t>
      </w:r>
      <w:r w:rsidR="00E654CF">
        <w:rPr>
          <w:rFonts w:eastAsia="Arial"/>
          <w:color w:val="000000" w:themeColor="text1"/>
        </w:rPr>
        <w:t>the view</w:t>
      </w:r>
      <w:r>
        <w:rPr>
          <w:rFonts w:eastAsia="Arial"/>
          <w:color w:val="000000" w:themeColor="text1"/>
        </w:rPr>
        <w:t xml:space="preserve"> that </w:t>
      </w:r>
      <w:r w:rsidRPr="00D81311">
        <w:rPr>
          <w:rFonts w:eastAsia="Arial"/>
          <w:color w:val="000000" w:themeColor="text1"/>
        </w:rPr>
        <w:t xml:space="preserve">HTA assessments should allow more flexibility in the evidence base, </w:t>
      </w:r>
      <w:r w:rsidR="002339A4">
        <w:rPr>
          <w:rFonts w:eastAsia="Arial"/>
          <w:color w:val="000000" w:themeColor="text1"/>
        </w:rPr>
        <w:t xml:space="preserve">including </w:t>
      </w:r>
      <w:r w:rsidRPr="00D81311">
        <w:rPr>
          <w:rFonts w:eastAsia="Arial"/>
          <w:color w:val="000000" w:themeColor="text1"/>
        </w:rPr>
        <w:t>greater acceptance of non</w:t>
      </w:r>
      <w:r>
        <w:rPr>
          <w:rFonts w:eastAsia="Arial"/>
          <w:color w:val="000000" w:themeColor="text1"/>
        </w:rPr>
        <w:t>-</w:t>
      </w:r>
      <w:r w:rsidRPr="00D81311">
        <w:rPr>
          <w:rFonts w:eastAsia="Arial"/>
          <w:color w:val="000000" w:themeColor="text1"/>
        </w:rPr>
        <w:t>randomised evidence</w:t>
      </w:r>
      <w:r w:rsidR="002339A4">
        <w:rPr>
          <w:rFonts w:eastAsia="Arial"/>
          <w:color w:val="000000" w:themeColor="text1"/>
        </w:rPr>
        <w:t xml:space="preserve"> and</w:t>
      </w:r>
      <w:r w:rsidR="002D3D79">
        <w:rPr>
          <w:rFonts w:eastAsia="Arial"/>
          <w:color w:val="000000" w:themeColor="text1"/>
        </w:rPr>
        <w:t xml:space="preserve"> </w:t>
      </w:r>
      <w:r w:rsidRPr="00D81311">
        <w:rPr>
          <w:rFonts w:eastAsia="Arial"/>
          <w:color w:val="000000" w:themeColor="text1"/>
        </w:rPr>
        <w:t xml:space="preserve">the role of </w:t>
      </w:r>
      <w:r w:rsidRPr="7D9A6CF5">
        <w:rPr>
          <w:rFonts w:eastAsia="Arial"/>
          <w:color w:val="000000" w:themeColor="text1"/>
        </w:rPr>
        <w:t>RWD</w:t>
      </w:r>
      <w:r w:rsidR="00D75B9E">
        <w:rPr>
          <w:rFonts w:eastAsia="Arial"/>
          <w:color w:val="000000" w:themeColor="text1"/>
        </w:rPr>
        <w:t xml:space="preserve">. </w:t>
      </w:r>
      <w:r w:rsidR="00250552">
        <w:rPr>
          <w:rFonts w:eastAsia="Arial"/>
          <w:color w:val="000000" w:themeColor="text1"/>
        </w:rPr>
        <w:t>Many</w:t>
      </w:r>
      <w:r>
        <w:rPr>
          <w:rFonts w:eastAsia="Arial"/>
          <w:color w:val="000000" w:themeColor="text1"/>
        </w:rPr>
        <w:t xml:space="preserve"> stakeholders felt there was a lack of information about how elements (beyond clinical effectiveness, cost effectiveness and financial impact</w:t>
      </w:r>
      <w:r w:rsidR="00711027">
        <w:rPr>
          <w:rFonts w:eastAsia="Arial"/>
          <w:color w:val="000000" w:themeColor="text1"/>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Arial"/>
          <w:color w:val="000000" w:themeColor="text1"/>
        </w:rPr>
        <w:fldChar w:fldCharType="end"/>
      </w:r>
      <w:r>
        <w:rPr>
          <w:rFonts w:eastAsia="Arial"/>
          <w:color w:val="000000" w:themeColor="text1"/>
        </w:rPr>
        <w:t xml:space="preserve">) such as patient and consumer input were being </w:t>
      </w:r>
      <w:r w:rsidR="0087761D">
        <w:rPr>
          <w:rFonts w:eastAsia="Arial"/>
          <w:color w:val="000000" w:themeColor="text1"/>
        </w:rPr>
        <w:t>considered in HTA decision making</w:t>
      </w:r>
      <w:r>
        <w:rPr>
          <w:rFonts w:eastAsia="Arial"/>
          <w:color w:val="000000" w:themeColor="text1"/>
        </w:rPr>
        <w:t xml:space="preserve">. </w:t>
      </w:r>
    </w:p>
    <w:p w14:paraId="4EB22325" w14:textId="22A98ABC" w:rsidR="00597B7E" w:rsidRPr="008B2808" w:rsidRDefault="002244C2" w:rsidP="002244C2">
      <w:pPr>
        <w:spacing w:after="120"/>
        <w:rPr>
          <w:rFonts w:eastAsia="Arial"/>
          <w:color w:val="000000" w:themeColor="text1"/>
        </w:rPr>
      </w:pPr>
      <w:r>
        <w:rPr>
          <w:rFonts w:eastAsia="Arial"/>
          <w:color w:val="000000" w:themeColor="text1"/>
        </w:rPr>
        <w:t xml:space="preserve">The Reference Committee has </w:t>
      </w:r>
      <w:r>
        <w:t xml:space="preserve">observed that a lack of explanation of the clinical evaluation </w:t>
      </w:r>
      <w:r w:rsidRPr="008B2808">
        <w:rPr>
          <w:rFonts w:eastAsia="Arial"/>
          <w:color w:val="000000" w:themeColor="text1"/>
        </w:rPr>
        <w:t xml:space="preserve">methodologies preferred by decision-makers has contributed to </w:t>
      </w:r>
      <w:r w:rsidR="00D177F7">
        <w:rPr>
          <w:rFonts w:eastAsia="Arial"/>
          <w:color w:val="000000" w:themeColor="text1"/>
        </w:rPr>
        <w:t>the</w:t>
      </w:r>
      <w:r w:rsidRPr="008B2808">
        <w:rPr>
          <w:rFonts w:eastAsia="Arial"/>
          <w:color w:val="000000" w:themeColor="text1"/>
        </w:rPr>
        <w:t xml:space="preserve"> lack of transparency</w:t>
      </w:r>
      <w:r w:rsidR="002A0D74">
        <w:rPr>
          <w:rFonts w:eastAsia="Arial"/>
          <w:color w:val="000000" w:themeColor="text1"/>
        </w:rPr>
        <w:fldChar w:fldCharType="begin"/>
      </w:r>
      <w:r w:rsidR="002A0D74">
        <w:instrText xml:space="preserve"> XE "</w:instrText>
      </w:r>
      <w:r w:rsidR="002A0D74" w:rsidRPr="005B2802">
        <w:instrText>transparency</w:instrText>
      </w:r>
      <w:r w:rsidR="002A0D74">
        <w:instrText xml:space="preserve">" </w:instrText>
      </w:r>
      <w:r w:rsidR="002A0D74">
        <w:rPr>
          <w:rFonts w:eastAsia="Arial"/>
          <w:color w:val="000000" w:themeColor="text1"/>
        </w:rPr>
        <w:fldChar w:fldCharType="end"/>
      </w:r>
      <w:r w:rsidRPr="008B2808">
        <w:rPr>
          <w:rFonts w:eastAsia="Arial"/>
          <w:color w:val="000000" w:themeColor="text1"/>
        </w:rPr>
        <w:t xml:space="preserve"> in clinical evaluation, and </w:t>
      </w:r>
      <w:r w:rsidR="004C529B">
        <w:rPr>
          <w:rFonts w:eastAsia="Arial"/>
          <w:color w:val="000000" w:themeColor="text1"/>
        </w:rPr>
        <w:t xml:space="preserve">proposes options </w:t>
      </w:r>
      <w:r w:rsidR="00C65898">
        <w:rPr>
          <w:rFonts w:eastAsia="Arial"/>
          <w:color w:val="000000" w:themeColor="text1"/>
        </w:rPr>
        <w:t xml:space="preserve">to improve </w:t>
      </w:r>
      <w:r w:rsidR="006F2F8E">
        <w:rPr>
          <w:rFonts w:eastAsia="Arial"/>
          <w:color w:val="000000" w:themeColor="text1"/>
        </w:rPr>
        <w:t>transparency, clarity</w:t>
      </w:r>
      <w:r w:rsidR="0087761D">
        <w:rPr>
          <w:rFonts w:eastAsia="Arial"/>
          <w:color w:val="000000" w:themeColor="text1"/>
        </w:rPr>
        <w:t>,</w:t>
      </w:r>
      <w:r w:rsidR="006F2F8E">
        <w:rPr>
          <w:rFonts w:eastAsia="Arial"/>
          <w:color w:val="000000" w:themeColor="text1"/>
        </w:rPr>
        <w:t xml:space="preserve"> and certainty. </w:t>
      </w:r>
      <w:r w:rsidR="00305F2A">
        <w:rPr>
          <w:rFonts w:eastAsia="Arial"/>
          <w:color w:val="000000" w:themeColor="text1"/>
        </w:rPr>
        <w:t xml:space="preserve">This includes </w:t>
      </w:r>
      <w:r w:rsidR="00597B7E">
        <w:rPr>
          <w:rFonts w:eastAsia="Arial"/>
          <w:color w:val="000000" w:themeColor="text1"/>
        </w:rPr>
        <w:t xml:space="preserve">an explicit, qualitative </w:t>
      </w:r>
      <w:r w:rsidR="00F761A1">
        <w:rPr>
          <w:rFonts w:eastAsia="Arial"/>
          <w:color w:val="000000" w:themeColor="text1"/>
        </w:rPr>
        <w:t xml:space="preserve">value framework </w:t>
      </w:r>
      <w:r w:rsidR="00C92FAB">
        <w:rPr>
          <w:rFonts w:eastAsia="Arial"/>
          <w:color w:val="000000" w:themeColor="text1"/>
        </w:rPr>
        <w:t xml:space="preserve">be developed by the HTA committee in consultation with stakeholders to </w:t>
      </w:r>
      <w:r w:rsidR="00E26130">
        <w:rPr>
          <w:rFonts w:eastAsia="Arial"/>
          <w:color w:val="000000" w:themeColor="text1"/>
        </w:rPr>
        <w:t xml:space="preserve">improve clarity around elements </w:t>
      </w:r>
      <w:r w:rsidR="00A23377">
        <w:rPr>
          <w:rFonts w:eastAsia="Arial"/>
          <w:color w:val="000000" w:themeColor="text1"/>
        </w:rPr>
        <w:t>(</w:t>
      </w:r>
      <w:r w:rsidR="00CA27C3" w:rsidRPr="00CA27C3">
        <w:rPr>
          <w:rFonts w:eastAsia="Arial"/>
          <w:color w:val="000000" w:themeColor="text1"/>
        </w:rPr>
        <w:t>beyond clinical effectiveness, cost-effectiveness, and financial impact</w:t>
      </w:r>
      <w:r w:rsidR="00711027">
        <w:rPr>
          <w:rFonts w:eastAsia="Arial"/>
          <w:color w:val="000000" w:themeColor="text1"/>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Arial"/>
          <w:color w:val="000000" w:themeColor="text1"/>
        </w:rPr>
        <w:fldChar w:fldCharType="end"/>
      </w:r>
      <w:r w:rsidR="00A23377">
        <w:rPr>
          <w:rFonts w:eastAsia="Arial"/>
          <w:color w:val="000000" w:themeColor="text1"/>
        </w:rPr>
        <w:t>)</w:t>
      </w:r>
      <w:r w:rsidR="00CA27C3" w:rsidRPr="00CA27C3">
        <w:rPr>
          <w:rFonts w:eastAsia="Arial"/>
          <w:color w:val="000000" w:themeColor="text1"/>
        </w:rPr>
        <w:t xml:space="preserve"> that the </w:t>
      </w:r>
      <w:r w:rsidR="003037A4">
        <w:rPr>
          <w:rFonts w:eastAsia="Arial"/>
          <w:color w:val="000000" w:themeColor="text1"/>
        </w:rPr>
        <w:t xml:space="preserve">HTA </w:t>
      </w:r>
      <w:r w:rsidR="00CA27C3" w:rsidRPr="00CA27C3">
        <w:rPr>
          <w:rFonts w:eastAsia="Arial"/>
          <w:color w:val="000000" w:themeColor="text1"/>
        </w:rPr>
        <w:t xml:space="preserve">committee </w:t>
      </w:r>
      <w:r w:rsidR="00A23377">
        <w:rPr>
          <w:rFonts w:eastAsia="Arial"/>
          <w:color w:val="000000" w:themeColor="text1"/>
        </w:rPr>
        <w:t xml:space="preserve">considers and how </w:t>
      </w:r>
      <w:r w:rsidR="000442FC">
        <w:rPr>
          <w:rFonts w:eastAsia="Arial"/>
          <w:color w:val="000000" w:themeColor="text1"/>
        </w:rPr>
        <w:t xml:space="preserve">they are </w:t>
      </w:r>
      <w:r w:rsidR="007E1B91">
        <w:rPr>
          <w:rFonts w:eastAsia="Arial"/>
          <w:color w:val="000000" w:themeColor="text1"/>
        </w:rPr>
        <w:t>considered.</w:t>
      </w:r>
    </w:p>
    <w:p w14:paraId="4D26E244" w14:textId="76C30A07" w:rsidR="002244C2" w:rsidRDefault="00021190" w:rsidP="002244C2">
      <w:pPr>
        <w:spacing w:after="120"/>
        <w:rPr>
          <w:rFonts w:eastAsia="Arial"/>
          <w:color w:val="000000" w:themeColor="text1"/>
        </w:rPr>
      </w:pPr>
      <w:r>
        <w:rPr>
          <w:rFonts w:eastAsia="Arial"/>
          <w:color w:val="000000" w:themeColor="text1"/>
        </w:rPr>
        <w:lastRenderedPageBreak/>
        <w:t>O</w:t>
      </w:r>
      <w:r w:rsidRPr="73F65B65">
        <w:rPr>
          <w:rFonts w:eastAsia="Arial"/>
          <w:color w:val="000000" w:themeColor="text1"/>
        </w:rPr>
        <w:t>ptions</w:t>
      </w:r>
      <w:r>
        <w:rPr>
          <w:rFonts w:eastAsia="Arial"/>
          <w:color w:val="000000" w:themeColor="text1"/>
        </w:rPr>
        <w:t xml:space="preserve"> have been included relating to</w:t>
      </w:r>
      <w:r w:rsidR="002244C2" w:rsidRPr="73F65B65">
        <w:rPr>
          <w:rFonts w:eastAsia="Arial"/>
          <w:color w:val="000000" w:themeColor="text1"/>
        </w:rPr>
        <w:t xml:space="preserve"> updated guidance on the use of non</w:t>
      </w:r>
      <w:r w:rsidR="0049204B" w:rsidRPr="73F65B65">
        <w:rPr>
          <w:rFonts w:eastAsia="Arial"/>
          <w:color w:val="000000" w:themeColor="text1"/>
        </w:rPr>
        <w:t>-</w:t>
      </w:r>
      <w:r w:rsidR="002244C2" w:rsidRPr="73F65B65">
        <w:rPr>
          <w:rFonts w:eastAsia="Arial"/>
          <w:color w:val="000000" w:themeColor="text1"/>
        </w:rPr>
        <w:t xml:space="preserve">randomised and observational evidence (including indirect comparisons and the use of </w:t>
      </w:r>
      <w:r w:rsidR="00673D34">
        <w:rPr>
          <w:rFonts w:eastAsia="Arial"/>
          <w:color w:val="000000" w:themeColor="text1"/>
        </w:rPr>
        <w:t>‘Real-World Data’ (</w:t>
      </w:r>
      <w:r w:rsidR="002244C2" w:rsidRPr="73F65B65">
        <w:rPr>
          <w:rFonts w:eastAsia="Arial"/>
          <w:color w:val="000000" w:themeColor="text1"/>
        </w:rPr>
        <w:t>RWD</w:t>
      </w:r>
      <w:r w:rsidR="00673D34">
        <w:rPr>
          <w:rFonts w:eastAsia="Arial"/>
          <w:color w:val="000000" w:themeColor="text1"/>
        </w:rPr>
        <w:t>)</w:t>
      </w:r>
      <w:r w:rsidR="002244C2" w:rsidRPr="73F65B65">
        <w:rPr>
          <w:rFonts w:eastAsia="Arial"/>
          <w:color w:val="000000" w:themeColor="text1"/>
        </w:rPr>
        <w:t xml:space="preserve"> and </w:t>
      </w:r>
      <w:r w:rsidR="00FE6553">
        <w:rPr>
          <w:rFonts w:eastAsia="Arial"/>
          <w:color w:val="000000" w:themeColor="text1"/>
        </w:rPr>
        <w:t>‘</w:t>
      </w:r>
      <w:r w:rsidR="00242F59">
        <w:rPr>
          <w:rFonts w:eastAsia="Arial"/>
          <w:color w:val="000000" w:themeColor="text1"/>
        </w:rPr>
        <w:t>Real</w:t>
      </w:r>
      <w:r w:rsidR="001E095A">
        <w:rPr>
          <w:rFonts w:eastAsia="Arial"/>
          <w:color w:val="000000" w:themeColor="text1"/>
        </w:rPr>
        <w:t>-</w:t>
      </w:r>
      <w:r w:rsidR="00242F59">
        <w:rPr>
          <w:rFonts w:eastAsia="Arial"/>
          <w:color w:val="000000" w:themeColor="text1"/>
        </w:rPr>
        <w:t>World Evidence</w:t>
      </w:r>
      <w:r w:rsidR="00FE6553">
        <w:rPr>
          <w:rFonts w:eastAsia="Arial"/>
          <w:color w:val="000000" w:themeColor="text1"/>
        </w:rPr>
        <w:t>’</w:t>
      </w:r>
      <w:r w:rsidR="00242F59">
        <w:rPr>
          <w:rFonts w:eastAsia="Arial"/>
          <w:color w:val="000000" w:themeColor="text1"/>
        </w:rPr>
        <w:t xml:space="preserve"> (</w:t>
      </w:r>
      <w:r w:rsidR="002244C2" w:rsidRPr="73F65B65">
        <w:rPr>
          <w:rFonts w:eastAsia="Arial"/>
          <w:color w:val="000000" w:themeColor="text1"/>
        </w:rPr>
        <w:t>RWE</w:t>
      </w:r>
      <w:r w:rsidR="00242F59">
        <w:rPr>
          <w:rFonts w:eastAsia="Arial"/>
          <w:color w:val="000000" w:themeColor="text1"/>
        </w:rPr>
        <w:t>)</w:t>
      </w:r>
      <w:r w:rsidR="002244C2" w:rsidRPr="73F65B65">
        <w:rPr>
          <w:rFonts w:eastAsia="Arial"/>
          <w:color w:val="000000" w:themeColor="text1"/>
        </w:rPr>
        <w:fldChar w:fldCharType="begin"/>
      </w:r>
      <w:r w:rsidR="002244C2">
        <w:instrText xml:space="preserve"> XE "</w:instrText>
      </w:r>
      <w:r w:rsidR="002244C2" w:rsidRPr="73F65B65">
        <w:rPr>
          <w:rFonts w:eastAsia="Arial"/>
          <w:color w:val="000000" w:themeColor="text1"/>
        </w:rPr>
        <w:instrText xml:space="preserve">real-world </w:instrText>
      </w:r>
      <w:proofErr w:type="spellStart"/>
      <w:r w:rsidR="002244C2" w:rsidRPr="73F65B65">
        <w:rPr>
          <w:rFonts w:eastAsia="Arial"/>
          <w:color w:val="000000" w:themeColor="text1"/>
        </w:rPr>
        <w:instrText>evidence:</w:instrText>
      </w:r>
      <w:r w:rsidR="002244C2">
        <w:instrText>RWE</w:instrText>
      </w:r>
      <w:proofErr w:type="spellEnd"/>
      <w:r w:rsidR="002244C2">
        <w:instrText xml:space="preserve">" \b </w:instrText>
      </w:r>
      <w:r w:rsidR="002244C2" w:rsidRPr="73F65B65">
        <w:rPr>
          <w:rFonts w:eastAsia="Arial"/>
          <w:color w:val="000000" w:themeColor="text1"/>
        </w:rPr>
        <w:fldChar w:fldCharType="end"/>
      </w:r>
      <w:r w:rsidR="002244C2" w:rsidRPr="73F65B65">
        <w:rPr>
          <w:rFonts w:eastAsia="Arial"/>
          <w:color w:val="000000" w:themeColor="text1"/>
        </w:rPr>
        <w:t>), other non-traditional evidence, and on the use of surrogate outcomes. We have also proposed options for the development of a curated list of methodologies for clinical evaluation</w:t>
      </w:r>
      <w:r w:rsidR="00024D87">
        <w:rPr>
          <w:rFonts w:eastAsia="Arial"/>
          <w:color w:val="000000" w:themeColor="text1"/>
        </w:rPr>
        <w:t>.</w:t>
      </w:r>
      <w:r w:rsidR="002244C2" w:rsidRPr="73F65B65">
        <w:rPr>
          <w:rFonts w:eastAsia="Arial"/>
          <w:color w:val="000000" w:themeColor="text1"/>
        </w:rPr>
        <w:t xml:space="preserve"> </w:t>
      </w:r>
    </w:p>
    <w:p w14:paraId="67C31F98" w14:textId="77777777" w:rsidR="002244C2" w:rsidRPr="00D22DF0" w:rsidRDefault="002244C2" w:rsidP="00F4660E">
      <w:pPr>
        <w:pStyle w:val="Heading4"/>
      </w:pPr>
      <w:r w:rsidRPr="00362AF9">
        <w:t xml:space="preserve">Approaches for therapies that target </w:t>
      </w:r>
      <w:proofErr w:type="gramStart"/>
      <w:r w:rsidRPr="00362AF9">
        <w:t>biomarkers</w:t>
      </w:r>
      <w:proofErr w:type="gramEnd"/>
    </w:p>
    <w:p w14:paraId="43A002B4" w14:textId="57CAA4EF" w:rsidR="002244C2" w:rsidRDefault="002244C2" w:rsidP="00F4660E">
      <w:r>
        <w:t xml:space="preserve">We noted that there are a number of challenges relating to </w:t>
      </w:r>
      <w:r w:rsidR="590C622B" w:rsidRPr="4C9F9E21">
        <w:t xml:space="preserve">biomarkers and </w:t>
      </w:r>
      <w:r>
        <w:t>genomic profiling under the existing framework for assessing codependent technologies</w:t>
      </w:r>
      <w:r w:rsidR="00D64E29">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fldChar w:fldCharType="end"/>
      </w:r>
      <w:r>
        <w:t xml:space="preserve">, as well as HTA challenges in relation to the assessment of tumour agnostic cancer therapies resulting in uncertainties, so have proposed options around the development of specific guidance in this area. </w:t>
      </w:r>
    </w:p>
    <w:p w14:paraId="5ADA5B70" w14:textId="77777777" w:rsidR="000D6061" w:rsidRPr="00D22DF0" w:rsidRDefault="000D6061" w:rsidP="00FC2618">
      <w:pPr>
        <w:pStyle w:val="Heading4"/>
        <w:rPr>
          <w:szCs w:val="20"/>
        </w:rPr>
      </w:pPr>
      <w:r w:rsidRPr="00362AF9">
        <w:t xml:space="preserve">Economic evaluation </w:t>
      </w:r>
    </w:p>
    <w:p w14:paraId="05F2BF78" w14:textId="4FF7DD99" w:rsidR="000D6061" w:rsidRPr="009F4E28" w:rsidRDefault="000D6061" w:rsidP="000D6061">
      <w:r w:rsidRPr="009F4E28">
        <w:t>Economic evaluations are a common feature of government priority setting, globally, including in HTA. In Australia</w:t>
      </w:r>
      <w:r w:rsidR="008A2E57">
        <w:t>,</w:t>
      </w:r>
      <w:r w:rsidRPr="009F4E28">
        <w:t xml:space="preserve"> </w:t>
      </w:r>
      <w:r w:rsidR="007D4CCD">
        <w:t>applicants</w:t>
      </w:r>
      <w:r w:rsidRPr="009F4E28">
        <w:t xml:space="preserve"> are generally instructed to present either a full cost-effectiveness analysis</w:t>
      </w:r>
      <w:r w:rsidR="003A0169">
        <w:fldChar w:fldCharType="begin"/>
      </w:r>
      <w:r w:rsidR="003A0169">
        <w:instrText xml:space="preserve"> XE "</w:instrText>
      </w:r>
      <w:r w:rsidR="003A0169" w:rsidRPr="007F69FE">
        <w:instrText>cost-effectiveness analysis</w:instrText>
      </w:r>
      <w:r w:rsidR="003A0169">
        <w:instrText xml:space="preserve">" </w:instrText>
      </w:r>
      <w:r w:rsidR="003A0169">
        <w:fldChar w:fldCharType="end"/>
      </w:r>
      <w:r w:rsidRPr="009F4E28">
        <w:t xml:space="preserve"> </w:t>
      </w:r>
      <w:r>
        <w:t>or cost-utility analysis</w:t>
      </w:r>
      <w:r w:rsidR="00E54B6A">
        <w:fldChar w:fldCharType="begin"/>
      </w:r>
      <w:r w:rsidR="00E54B6A">
        <w:instrText xml:space="preserve"> XE "</w:instrText>
      </w:r>
      <w:r w:rsidR="00E54B6A" w:rsidRPr="00E57812">
        <w:rPr>
          <w:rFonts w:eastAsia="Times New Roman" w:cs="Segoe UI"/>
          <w:lang w:eastAsia="en-AU"/>
        </w:rPr>
        <w:instrText>cost-utility analysis</w:instrText>
      </w:r>
      <w:r w:rsidR="00E54B6A">
        <w:instrText xml:space="preserve">" </w:instrText>
      </w:r>
      <w:r w:rsidR="00E54B6A">
        <w:fldChar w:fldCharType="end"/>
      </w:r>
      <w:r>
        <w:t>,</w:t>
      </w:r>
      <w:r w:rsidRPr="009F4E28">
        <w:t xml:space="preserve"> or a cost</w:t>
      </w:r>
      <w:r w:rsidR="00133D53">
        <w:t>-</w:t>
      </w:r>
      <w:r w:rsidRPr="009F4E28">
        <w:t>minimisation</w:t>
      </w:r>
      <w:r w:rsidR="007A17DF">
        <w:fldChar w:fldCharType="begin"/>
      </w:r>
      <w:r w:rsidR="007A17DF">
        <w:instrText xml:space="preserve"> XE "</w:instrText>
      </w:r>
      <w:r w:rsidR="007A17DF" w:rsidRPr="00B423D2">
        <w:rPr>
          <w:lang w:eastAsia="en-AU"/>
        </w:rPr>
        <w:instrText>cost-minimisation</w:instrText>
      </w:r>
      <w:r w:rsidR="007A17DF">
        <w:instrText xml:space="preserve">" \b </w:instrText>
      </w:r>
      <w:r w:rsidR="007A17DF">
        <w:fldChar w:fldCharType="end"/>
      </w:r>
      <w:r w:rsidRPr="009F4E28">
        <w:t xml:space="preserve"> analysis</w:t>
      </w:r>
      <w:r>
        <w:t>, depending on the outcome of the clinical evaluation</w:t>
      </w:r>
      <w:r w:rsidRPr="009F4E28">
        <w:t>.</w:t>
      </w:r>
    </w:p>
    <w:p w14:paraId="4CA8100C" w14:textId="6FDBF3CE" w:rsidR="000D6061" w:rsidRDefault="000D6061" w:rsidP="000D6061">
      <w:r>
        <w:t>The main concerns expressed by stakeholders about economic evaluation methods relate to how particular elements influence the final estimated value for money of a health technology. Many stakeholders believe the full value of health technologies is not being recognised due to the impacts of elements of economic evaluations such as comparator selection, base-case perspective of evaluation,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approaches to uncertainty, consideration of societal and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principles and distributional impacts. </w:t>
      </w:r>
    </w:p>
    <w:p w14:paraId="667C71B3" w14:textId="005B93B6" w:rsidR="000D6061" w:rsidRDefault="000D6061" w:rsidP="000D6061">
      <w:r>
        <w:t xml:space="preserve">The Reference Committee proposes options to make clearer which comparator should be selected when there are multiple potential comparators and distinguish between submissions claiming superiority and non-inferiority. The committee proposes modelling be developed to determine the aggregate impact of </w:t>
      </w:r>
      <w:r w:rsidR="006A36BE">
        <w:t xml:space="preserve">the final </w:t>
      </w:r>
      <w:r>
        <w:t xml:space="preserve">HTA Review recommendations </w:t>
      </w:r>
      <w:r w:rsidR="00D467E1">
        <w:t xml:space="preserve">that </w:t>
      </w:r>
      <w:r>
        <w:t>include</w:t>
      </w:r>
      <w:r w:rsidR="00D467E1">
        <w:t>s</w:t>
      </w:r>
      <w:r>
        <w:t xml:space="preserve"> different scenarios </w:t>
      </w:r>
      <w:r w:rsidR="00C419A9">
        <w:t xml:space="preserve">that </w:t>
      </w:r>
      <w:r>
        <w:t>vary the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for different types of technologies. It also proposes to </w:t>
      </w:r>
      <w:r w:rsidR="001943B8">
        <w:t xml:space="preserve">consult </w:t>
      </w:r>
      <w:r w:rsidR="00270DD5">
        <w:t xml:space="preserve">to </w:t>
      </w:r>
      <w:r w:rsidR="00C963CC">
        <w:t xml:space="preserve">understand the broader </w:t>
      </w:r>
      <w:r w:rsidR="007D4487">
        <w:t>Australian public</w:t>
      </w:r>
      <w:r w:rsidR="003C0263">
        <w:t xml:space="preserve"> views on </w:t>
      </w:r>
      <w:r>
        <w:t xml:space="preserve">the circumstances where it </w:t>
      </w:r>
      <w:r w:rsidR="00D00695">
        <w:t xml:space="preserve">may </w:t>
      </w:r>
      <w:r>
        <w:t xml:space="preserve">be appropriate to accept higher prices for health technologies. </w:t>
      </w:r>
    </w:p>
    <w:p w14:paraId="4F22DBF5" w14:textId="1D07E451" w:rsidR="000D6061" w:rsidRDefault="000D6061" w:rsidP="000D6061">
      <w:pPr>
        <w:pStyle w:val="Heading3"/>
      </w:pPr>
      <w:bookmarkStart w:id="25" w:name="_Toc157029027"/>
      <w:r w:rsidRPr="007E2B47">
        <w:t xml:space="preserve">Health </w:t>
      </w:r>
      <w:r w:rsidR="000D1332">
        <w:t>t</w:t>
      </w:r>
      <w:r w:rsidRPr="007E2B47">
        <w:t xml:space="preserve">echnology </w:t>
      </w:r>
      <w:r w:rsidR="000D1332">
        <w:t>f</w:t>
      </w:r>
      <w:r w:rsidRPr="007E2B47">
        <w:t>unding</w:t>
      </w:r>
      <w:r w:rsidR="000D1332">
        <w:t xml:space="preserve">, </w:t>
      </w:r>
      <w:r w:rsidRPr="007E2B47">
        <w:t>purchasing approaches and managing uncertainty</w:t>
      </w:r>
      <w:bookmarkEnd w:id="25"/>
      <w:r w:rsidR="0077493C">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fldChar w:fldCharType="end"/>
      </w:r>
    </w:p>
    <w:p w14:paraId="075D307B" w14:textId="15DABB7E" w:rsidR="000D6061" w:rsidRPr="00D22DF0" w:rsidRDefault="000D6061" w:rsidP="00FC2618">
      <w:pPr>
        <w:pStyle w:val="Heading4"/>
        <w:rPr>
          <w:szCs w:val="20"/>
        </w:rPr>
      </w:pPr>
      <w:bookmarkStart w:id="26" w:name="_Approaches_to_funding"/>
      <w:bookmarkEnd w:id="26"/>
      <w:r w:rsidRPr="00362AF9">
        <w:lastRenderedPageBreak/>
        <w:t xml:space="preserve">Approaches to funding or </w:t>
      </w:r>
      <w:r w:rsidRPr="00362AF9">
        <w:rPr>
          <w:szCs w:val="20"/>
        </w:rPr>
        <w:t>purchasing new health technologies and managing uncertainty</w:t>
      </w:r>
      <w:r w:rsidR="0077493C" w:rsidRPr="00362AF9">
        <w:rPr>
          <w:szCs w:val="20"/>
        </w:rPr>
        <w:fldChar w:fldCharType="begin"/>
      </w:r>
      <w:r w:rsidR="0077493C" w:rsidRPr="00362AF9">
        <w:rPr>
          <w:szCs w:val="20"/>
        </w:rPr>
        <w:instrText xml:space="preserve"> XE "managing uncertainty" \b </w:instrText>
      </w:r>
      <w:r w:rsidR="0077493C" w:rsidRPr="00362AF9">
        <w:rPr>
          <w:szCs w:val="20"/>
        </w:rPr>
        <w:fldChar w:fldCharType="end"/>
      </w:r>
    </w:p>
    <w:p w14:paraId="1D19966F" w14:textId="562FD6F4" w:rsidR="000D6061" w:rsidRDefault="000D6061" w:rsidP="000D6061">
      <w:r>
        <w:t>Approaches to funding and purchasing health technologies and managing uncertainty</w:t>
      </w:r>
      <w:r w:rsidR="0077493C">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fldChar w:fldCharType="end"/>
      </w:r>
      <w:r>
        <w:t xml:space="preserve"> were found to vary widely among different countries. However</w:t>
      </w:r>
      <w:r w:rsidR="00CC7384">
        <w:t>,</w:t>
      </w:r>
      <w:r>
        <w:t xml:space="preserve"> it was also found that there was nothing appreciably different about approaches used in Australia. </w:t>
      </w:r>
    </w:p>
    <w:p w14:paraId="79ACD931" w14:textId="564E9410" w:rsidR="000D6061" w:rsidRDefault="000D6061" w:rsidP="000D6061">
      <w:pPr>
        <w:rPr>
          <w:lang w:val="en-US"/>
        </w:rPr>
      </w:pPr>
      <w:r>
        <w:t xml:space="preserve">A key </w:t>
      </w:r>
      <w:r w:rsidR="008B51BE">
        <w:t>issue</w:t>
      </w:r>
      <w:r>
        <w:t xml:space="preserve"> for stakeholders was </w:t>
      </w:r>
      <w:r w:rsidRPr="008422A0">
        <w:rPr>
          <w:lang w:val="en-US"/>
        </w:rPr>
        <w:t>how best to manage uncertainty with respect to clinical outcomes, value for money (cost-effectiveness) and the overall financial impact</w:t>
      </w:r>
      <w:r w:rsidR="00711027">
        <w:rPr>
          <w:lang w:val="en-US"/>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lang w:val="en-US"/>
        </w:rPr>
        <w:fldChar w:fldCharType="end"/>
      </w:r>
      <w:r w:rsidRPr="008422A0">
        <w:rPr>
          <w:lang w:val="en-US"/>
        </w:rPr>
        <w:t xml:space="preserve"> (</w:t>
      </w:r>
      <w:r w:rsidR="00817991">
        <w:rPr>
          <w:lang w:val="en-US"/>
        </w:rPr>
        <w:t>i.e.</w:t>
      </w:r>
      <w:r w:rsidRPr="008422A0">
        <w:rPr>
          <w:lang w:val="en-US"/>
        </w:rPr>
        <w:t xml:space="preserve"> cost to patients</w:t>
      </w:r>
      <w:r>
        <w:rPr>
          <w:lang w:val="en-US"/>
        </w:rPr>
        <w:t>, the Commonwealth, and state and territory governments</w:t>
      </w:r>
      <w:r w:rsidR="00CA32F1">
        <w:rPr>
          <w:lang w:val="en-US"/>
        </w:rPr>
        <w:fldChar w:fldCharType="begin"/>
      </w:r>
      <w:r w:rsidR="00CA32F1">
        <w:instrText xml:space="preserve"> XE "</w:instrText>
      </w:r>
      <w:r w:rsidR="00CA32F1" w:rsidRPr="002E4A7A">
        <w:instrText>state and territory governments</w:instrText>
      </w:r>
      <w:r w:rsidR="00CA32F1">
        <w:instrText xml:space="preserve">" </w:instrText>
      </w:r>
      <w:r w:rsidR="00CA32F1">
        <w:rPr>
          <w:lang w:val="en-US"/>
        </w:rPr>
        <w:fldChar w:fldCharType="end"/>
      </w:r>
      <w:r w:rsidRPr="008422A0">
        <w:rPr>
          <w:lang w:val="en-US"/>
        </w:rPr>
        <w:t>) associated with healthcare technologies. </w:t>
      </w:r>
    </w:p>
    <w:p w14:paraId="771527D4" w14:textId="105640A5" w:rsidR="000D6061" w:rsidRPr="008E6B2C" w:rsidRDefault="00ED200E" w:rsidP="000D6061">
      <w:r>
        <w:rPr>
          <w:lang w:val="en-US"/>
        </w:rPr>
        <w:t>This paper presents options</w:t>
      </w:r>
      <w:r w:rsidR="00AD4A3F">
        <w:rPr>
          <w:lang w:val="en-US"/>
        </w:rPr>
        <w:t xml:space="preserve"> </w:t>
      </w:r>
      <w:r w:rsidR="000D6061">
        <w:rPr>
          <w:lang w:val="en-US"/>
        </w:rPr>
        <w:t>to improve processes for decision making and improve how uncertainty is managed. This includes identification of alternative instruments and financing tools to address budget impact</w:t>
      </w:r>
      <w:r w:rsidR="007A506F">
        <w:rPr>
          <w:lang w:val="en-US"/>
        </w:rPr>
        <w:fldChar w:fldCharType="begin"/>
      </w:r>
      <w:r w:rsidR="007A506F">
        <w:instrText xml:space="preserve"> XE "</w:instrText>
      </w:r>
      <w:r w:rsidR="007A506F" w:rsidRPr="00C256AB">
        <w:rPr>
          <w:rFonts w:eastAsia="Times New Roman" w:cs="Segoe UI"/>
          <w:kern w:val="24"/>
          <w:lang w:eastAsia="en-AU"/>
        </w:rPr>
        <w:instrText>budget impact</w:instrText>
      </w:r>
      <w:r w:rsidR="007A506F">
        <w:instrText xml:space="preserve">" \b </w:instrText>
      </w:r>
      <w:r w:rsidR="007A506F">
        <w:rPr>
          <w:lang w:val="en-US"/>
        </w:rPr>
        <w:fldChar w:fldCharType="end"/>
      </w:r>
      <w:r w:rsidR="000D6061">
        <w:rPr>
          <w:lang w:val="en-US"/>
        </w:rPr>
        <w:t xml:space="preserve">, </w:t>
      </w:r>
      <w:r w:rsidR="000D6061" w:rsidRPr="005B761D">
        <w:t>recogni</w:t>
      </w:r>
      <w:r w:rsidR="00487CCC" w:rsidRPr="005B761D">
        <w:t>s</w:t>
      </w:r>
      <w:r w:rsidR="000D6061" w:rsidRPr="005B761D">
        <w:t>ing</w:t>
      </w:r>
      <w:r w:rsidR="000D6061">
        <w:rPr>
          <w:lang w:val="en-US"/>
        </w:rPr>
        <w:t xml:space="preserve"> competition between health technologies that deliver similar outcomes, time</w:t>
      </w:r>
      <w:r w:rsidR="00FE6592">
        <w:rPr>
          <w:lang w:val="en-US"/>
        </w:rPr>
        <w:t>-</w:t>
      </w:r>
      <w:r w:rsidR="000D6061">
        <w:rPr>
          <w:lang w:val="en-US"/>
        </w:rPr>
        <w:t xml:space="preserve">limited funding for therapies that may address </w:t>
      </w:r>
      <w:r w:rsidR="00110DA9">
        <w:rPr>
          <w:lang w:val="en-US"/>
        </w:rPr>
        <w:t xml:space="preserve">areas of </w:t>
      </w:r>
      <w:r w:rsidR="000D6061">
        <w:rPr>
          <w:lang w:val="en-US"/>
        </w:rPr>
        <w:t>high unmet clinical need</w:t>
      </w:r>
      <w:r w:rsidR="0052694D">
        <w:rPr>
          <w:lang w:val="en-US"/>
        </w:rPr>
        <w:fldChar w:fldCharType="begin"/>
      </w:r>
      <w:r w:rsidR="0052694D">
        <w:instrText xml:space="preserve"> XE "</w:instrText>
      </w:r>
      <w:r w:rsidR="0052694D" w:rsidRPr="00EC2B92">
        <w:rPr>
          <w:lang w:val="en-US"/>
        </w:rPr>
        <w:instrText>high unmet clinical need</w:instrText>
      </w:r>
      <w:r w:rsidR="0052694D">
        <w:instrText xml:space="preserve">" </w:instrText>
      </w:r>
      <w:r w:rsidR="0052694D">
        <w:rPr>
          <w:lang w:val="en-US"/>
        </w:rPr>
        <w:fldChar w:fldCharType="end"/>
      </w:r>
      <w:r w:rsidR="000D6061">
        <w:rPr>
          <w:lang w:val="en-US"/>
        </w:rPr>
        <w:t xml:space="preserve"> </w:t>
      </w:r>
      <w:r w:rsidR="00E55E3C">
        <w:rPr>
          <w:lang w:val="en-US"/>
        </w:rPr>
        <w:t>(HUCN</w:t>
      </w:r>
      <w:r w:rsidR="00D027D9">
        <w:rPr>
          <w:lang w:val="en-US"/>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lang w:val="en-US"/>
        </w:rPr>
        <w:fldChar w:fldCharType="end"/>
      </w:r>
      <w:r w:rsidR="00E55E3C">
        <w:rPr>
          <w:lang w:val="en-US"/>
        </w:rPr>
        <w:t>)</w:t>
      </w:r>
      <w:r w:rsidR="000D6061">
        <w:rPr>
          <w:lang w:val="en-US"/>
        </w:rPr>
        <w:t xml:space="preserve"> where there is significant clinical, economic and financial uncertainty, and post-listing reassessment</w:t>
      </w:r>
      <w:r w:rsidR="001624D2">
        <w:rPr>
          <w:lang w:val="en-US"/>
        </w:rPr>
        <w:fldChar w:fldCharType="begin"/>
      </w:r>
      <w:r w:rsidR="001624D2">
        <w:instrText xml:space="preserve"> XE "</w:instrText>
      </w:r>
      <w:r w:rsidR="001624D2" w:rsidRPr="001974D0">
        <w:rPr>
          <w:rFonts w:eastAsia="Times New Roman" w:cs="Segoe UI"/>
          <w:kern w:val="24"/>
          <w:sz w:val="20"/>
          <w:szCs w:val="20"/>
          <w:lang w:eastAsia="en-AU"/>
        </w:rPr>
        <w:instrText>re-assessment</w:instrText>
      </w:r>
      <w:r w:rsidR="001624D2">
        <w:instrText xml:space="preserve">" \b </w:instrText>
      </w:r>
      <w:r w:rsidR="001624D2">
        <w:rPr>
          <w:lang w:val="en-US"/>
        </w:rPr>
        <w:fldChar w:fldCharType="end"/>
      </w:r>
      <w:r w:rsidR="000D6061">
        <w:rPr>
          <w:lang w:val="en-US"/>
        </w:rPr>
        <w:t xml:space="preserve"> of health technologies. </w:t>
      </w:r>
    </w:p>
    <w:p w14:paraId="01A5FA1D" w14:textId="2BD22031" w:rsidR="000D6061" w:rsidRPr="00D22DF0" w:rsidRDefault="000D6061" w:rsidP="00FC2618">
      <w:pPr>
        <w:pStyle w:val="Heading4"/>
        <w:rPr>
          <w:szCs w:val="20"/>
        </w:rPr>
      </w:pPr>
      <w:r w:rsidRPr="00362AF9">
        <w:t>Health technologies that address antimicrobial resistance</w:t>
      </w:r>
      <w:r w:rsidR="0005673F" w:rsidRPr="00362AF9">
        <w:rPr>
          <w:szCs w:val="20"/>
        </w:rPr>
        <w:t xml:space="preserve"> (AMR)</w:t>
      </w:r>
      <w:r w:rsidR="00B21E69" w:rsidRPr="00362AF9">
        <w:rPr>
          <w:szCs w:val="20"/>
        </w:rPr>
        <w:fldChar w:fldCharType="begin"/>
      </w:r>
      <w:r w:rsidR="00B21E69" w:rsidRPr="00362AF9">
        <w:rPr>
          <w:szCs w:val="20"/>
        </w:rPr>
        <w:instrText xml:space="preserve"> XE "antimicrobial resistance" \b </w:instrText>
      </w:r>
      <w:r w:rsidR="00B21E69" w:rsidRPr="00362AF9">
        <w:rPr>
          <w:szCs w:val="20"/>
        </w:rPr>
        <w:fldChar w:fldCharType="end"/>
      </w:r>
    </w:p>
    <w:p w14:paraId="5778D505" w14:textId="00BE4792" w:rsidR="000D6061" w:rsidRPr="007E2B47" w:rsidRDefault="000D6061" w:rsidP="000D6061">
      <w:r>
        <w:t xml:space="preserve">There is a significant lack of incentive for the development of products that address </w:t>
      </w:r>
      <w:r w:rsidR="0005673F">
        <w:t>AMR</w:t>
      </w:r>
      <w:r w:rsidR="00B21E69">
        <w:fldChar w:fldCharType="begin"/>
      </w:r>
      <w:r w:rsidR="00B21E69">
        <w:instrText xml:space="preserve"> XE "</w:instrText>
      </w:r>
      <w:r w:rsidR="00B21E69" w:rsidRPr="002D7ECA">
        <w:instrText>antimicrobial resistance</w:instrText>
      </w:r>
      <w:r w:rsidR="00B21E69">
        <w:instrText xml:space="preserve">" \b </w:instrText>
      </w:r>
      <w:r w:rsidR="00B21E69">
        <w:fldChar w:fldCharType="end"/>
      </w:r>
      <w:r>
        <w:t>. Several reasons for this were raised in stakeholder submissions. The Reference Committee presents options to reduce disincentives to seeking funding for antimicrobials and investigat</w:t>
      </w:r>
      <w:r w:rsidR="004D5E2F">
        <w:t>es</w:t>
      </w:r>
      <w:r>
        <w:t xml:space="preserve"> what changes could be made to HTA and funding arrangements to incentivise their marketing. </w:t>
      </w:r>
    </w:p>
    <w:p w14:paraId="5190FA48" w14:textId="77777777" w:rsidR="000D6061" w:rsidRPr="00D22DF0" w:rsidRDefault="000D6061" w:rsidP="00FC2618">
      <w:pPr>
        <w:pStyle w:val="Heading4"/>
        <w:rPr>
          <w:szCs w:val="20"/>
        </w:rPr>
      </w:pPr>
      <w:r w:rsidRPr="00362AF9">
        <w:t>Understanding the performance of health technologies in the Australian setting</w:t>
      </w:r>
    </w:p>
    <w:p w14:paraId="41DE7CD0" w14:textId="40EBE215" w:rsidR="000D6061" w:rsidRDefault="000D6061" w:rsidP="000D6061">
      <w:r>
        <w:t xml:space="preserve">The Reference Committee has found that existing approaches for assessing the performance of health technologies require significant further development before they can routinely and reliably be used to assess the performance of health technologies. </w:t>
      </w:r>
      <w:proofErr w:type="gramStart"/>
      <w:r>
        <w:t>In particular</w:t>
      </w:r>
      <w:r w:rsidR="00580A96">
        <w:t>,</w:t>
      </w:r>
      <w:r>
        <w:t xml:space="preserve"> systems</w:t>
      </w:r>
      <w:proofErr w:type="gramEnd"/>
      <w:r>
        <w:t xml:space="preserve"> </w:t>
      </w:r>
      <w:r w:rsidR="00F27616">
        <w:t>are inadequate</w:t>
      </w:r>
      <w:r>
        <w:t xml:space="preserve"> for collecting and integrating the health outcomes data in the real</w:t>
      </w:r>
      <w:r w:rsidR="00DE0409">
        <w:t>-</w:t>
      </w:r>
      <w:r>
        <w:t xml:space="preserve">world setting needed to assess performance. </w:t>
      </w:r>
    </w:p>
    <w:p w14:paraId="0F671D8B" w14:textId="2A828C8B" w:rsidR="000D6061" w:rsidRDefault="000D6061" w:rsidP="000D6061">
      <w:pPr>
        <w:keepNext/>
        <w:keepLines/>
        <w:spacing w:after="200"/>
      </w:pPr>
      <w:r>
        <w:t xml:space="preserve">The </w:t>
      </w:r>
      <w:r w:rsidR="00F82ADF">
        <w:t>Reference Committee</w:t>
      </w:r>
      <w:r>
        <w:t xml:space="preserve"> believes there are significant opportunities to </w:t>
      </w:r>
      <w:r w:rsidRPr="00CA5079">
        <w:t>maximise the value of RWD and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Pr="00CA5079">
        <w:t xml:space="preserve"> for HTA in Australia</w:t>
      </w:r>
      <w:r>
        <w:t xml:space="preserve">. It presents </w:t>
      </w:r>
      <w:proofErr w:type="gramStart"/>
      <w:r>
        <w:t>a number of</w:t>
      </w:r>
      <w:proofErr w:type="gramEnd"/>
      <w:r>
        <w:t xml:space="preserve"> options based on the roadmap developed by </w:t>
      </w:r>
      <w:r w:rsidR="00084275">
        <w:t>the</w:t>
      </w:r>
      <w:r>
        <w:t xml:space="preserve"> MI-CRE in paper 7. </w:t>
      </w:r>
    </w:p>
    <w:p w14:paraId="01E51925" w14:textId="77777777" w:rsidR="000D6061" w:rsidRPr="007E2B47" w:rsidRDefault="000D6061" w:rsidP="000D6061">
      <w:pPr>
        <w:pStyle w:val="Heading3"/>
      </w:pPr>
      <w:bookmarkStart w:id="27" w:name="_Toc157029028"/>
      <w:r w:rsidRPr="007E2B47">
        <w:t>Futureproofing our systems and processes</w:t>
      </w:r>
      <w:bookmarkEnd w:id="27"/>
    </w:p>
    <w:p w14:paraId="4D024408" w14:textId="24C82BCD" w:rsidR="000D6061" w:rsidRPr="00D22DF0" w:rsidRDefault="000D6061" w:rsidP="00FC2618">
      <w:pPr>
        <w:pStyle w:val="Heading4"/>
        <w:rPr>
          <w:szCs w:val="20"/>
        </w:rPr>
      </w:pPr>
      <w:bookmarkStart w:id="28" w:name="_Ref156893849"/>
      <w:r w:rsidRPr="00362AF9">
        <w:lastRenderedPageBreak/>
        <w:t>Proactively addressing areas of unmet clinical need</w:t>
      </w:r>
      <w:r w:rsidR="002401F9" w:rsidRPr="00362AF9">
        <w:rPr>
          <w:szCs w:val="20"/>
        </w:rPr>
        <w:fldChar w:fldCharType="begin"/>
      </w:r>
      <w:r w:rsidR="002401F9" w:rsidRPr="00362AF9">
        <w:rPr>
          <w:szCs w:val="20"/>
        </w:rPr>
        <w:instrText xml:space="preserve"> XE "unmet clinical need" \b </w:instrText>
      </w:r>
      <w:r w:rsidR="002401F9" w:rsidRPr="00362AF9">
        <w:rPr>
          <w:szCs w:val="20"/>
        </w:rPr>
        <w:fldChar w:fldCharType="end"/>
      </w:r>
      <w:r w:rsidRPr="00362AF9">
        <w:rPr>
          <w:szCs w:val="20"/>
        </w:rPr>
        <w:t xml:space="preserve"> and gaps in funded access</w:t>
      </w:r>
      <w:bookmarkEnd w:id="28"/>
      <w:r w:rsidR="00CF3213" w:rsidRPr="00362AF9">
        <w:rPr>
          <w:szCs w:val="20"/>
        </w:rPr>
        <w:fldChar w:fldCharType="begin"/>
      </w:r>
      <w:r w:rsidR="00CF3213" w:rsidRPr="00362AF9">
        <w:rPr>
          <w:szCs w:val="20"/>
        </w:rPr>
        <w:instrText xml:space="preserve"> XE "horizon scanning" \b </w:instrText>
      </w:r>
      <w:r w:rsidR="00CF3213" w:rsidRPr="00362AF9">
        <w:rPr>
          <w:szCs w:val="20"/>
        </w:rPr>
        <w:fldChar w:fldCharType="end"/>
      </w:r>
    </w:p>
    <w:p w14:paraId="6AF8CB76" w14:textId="6BBD8593" w:rsidR="000D6061" w:rsidRDefault="000D6061" w:rsidP="000D6061">
      <w:r>
        <w:t>HTA in Australia is reactive. It relies on health technology companies making applications for funding. Australia does not proactively assess unmet clinical need</w:t>
      </w:r>
      <w:r w:rsidR="002401F9">
        <w:fldChar w:fldCharType="begin"/>
      </w:r>
      <w:r w:rsidR="002401F9">
        <w:instrText xml:space="preserve"> XE "</w:instrText>
      </w:r>
      <w:r w:rsidR="002401F9" w:rsidRPr="002456C6">
        <w:instrText>unmet clinical need</w:instrText>
      </w:r>
      <w:r w:rsidR="002401F9">
        <w:instrText xml:space="preserve">" \b </w:instrText>
      </w:r>
      <w:r w:rsidR="002401F9">
        <w:fldChar w:fldCharType="end"/>
      </w:r>
      <w:r>
        <w:t xml:space="preserve"> and gaps in funded access or identify whether there are health technologies used elsewhere in the world that could address those needs. Stakeholders supported a more proactive approach to identifying and addressing unmet needs. </w:t>
      </w:r>
    </w:p>
    <w:p w14:paraId="65A25591" w14:textId="301A323B" w:rsidR="000D6061" w:rsidRPr="007E2B47" w:rsidRDefault="000D6061" w:rsidP="000D6061">
      <w:r>
        <w:t xml:space="preserve">The Reference Committee presents </w:t>
      </w:r>
      <w:proofErr w:type="gramStart"/>
      <w:r>
        <w:t>a number of</w:t>
      </w:r>
      <w:proofErr w:type="gramEnd"/>
      <w:r>
        <w:t xml:space="preserve"> options proposed to address these issues</w:t>
      </w:r>
      <w:r w:rsidR="00A76FEA">
        <w:t>,</w:t>
      </w:r>
      <w:r>
        <w:t xml:space="preserve"> including the development of a priority list of patient indications and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to meet that priority list. </w:t>
      </w:r>
    </w:p>
    <w:p w14:paraId="5E928784" w14:textId="77777777" w:rsidR="00902B09" w:rsidRPr="00F05F8B" w:rsidRDefault="00902B09" w:rsidP="00902B09">
      <w:pPr>
        <w:pStyle w:val="Heading4"/>
      </w:pPr>
      <w:r>
        <w:t>Horizon scanning</w:t>
      </w:r>
    </w:p>
    <w:p w14:paraId="3665CD29" w14:textId="59DCC010" w:rsidR="00902B09" w:rsidRPr="00E700AB" w:rsidRDefault="00902B09" w:rsidP="00902B09">
      <w:r>
        <w:t>It was identified through interactions with a broad range of stakeholders as well as through the papers commissioned for the HTA Review that having mechanisms for horizon scanning</w:t>
      </w:r>
      <w:r w:rsidR="00953783">
        <w:fldChar w:fldCharType="begin"/>
      </w:r>
      <w:r w:rsidR="00953783">
        <w:instrText xml:space="preserve"> XE "</w:instrText>
      </w:r>
      <w:r w:rsidR="00953783" w:rsidRPr="00E51D8C">
        <w:instrText>horizon scanning</w:instrText>
      </w:r>
      <w:r w:rsidR="00953783">
        <w:instrText xml:space="preserve">" </w:instrText>
      </w:r>
      <w:r w:rsidR="00953783">
        <w:fldChar w:fldCharType="end"/>
      </w:r>
      <w:r>
        <w:t xml:space="preserve"> of new therapies prior to their submission would assist with system preparedness, and implementation timelines and result in faster access to patients. However, any program for horizon scanning needs to have a defined purpose for the scanning activity to understand what information is being sought and how it will be used. The committee has proposed a range of options relating to horizon scanning to meet specific informational needs within the health system. </w:t>
      </w:r>
    </w:p>
    <w:p w14:paraId="1FB98481" w14:textId="77777777" w:rsidR="000D6061" w:rsidRPr="00CD050D" w:rsidRDefault="000D6061" w:rsidP="000D6061">
      <w:pPr>
        <w:pStyle w:val="Heading4"/>
      </w:pPr>
      <w:r w:rsidRPr="00CD050D">
        <w:t xml:space="preserve">Environmental considerations in HTA </w:t>
      </w:r>
    </w:p>
    <w:p w14:paraId="2B1D00C3" w14:textId="647B64C8" w:rsidR="000D6061" w:rsidRDefault="000D6061" w:rsidP="000D6061">
      <w:r w:rsidRPr="008910C3">
        <w:t>Globally, healthcare currently contributes 5% of all greenhouse gas emissions</w:t>
      </w:r>
      <w:r w:rsidR="00A723E8">
        <w:t>,</w:t>
      </w:r>
      <w:r w:rsidRPr="008910C3">
        <w:t xml:space="preserve"> and decarbonisation is urgently needed. In Australia and other high-income countries, manufacturers of health technology products are making commitments to decarbonise their production processes as part of national efforts to achieve net zero emissions</w:t>
      </w:r>
      <w:r w:rsidR="00F30CF6">
        <w:t>.</w:t>
      </w:r>
    </w:p>
    <w:p w14:paraId="12B2FFA6" w14:textId="4712C84A" w:rsidR="000D6061" w:rsidRPr="00EA5120" w:rsidRDefault="000D6061" w:rsidP="000D6061">
      <w:r>
        <w:t xml:space="preserve">In </w:t>
      </w:r>
      <w:r w:rsidR="00473235">
        <w:t>the</w:t>
      </w:r>
      <w:r>
        <w:t xml:space="preserve"> </w:t>
      </w:r>
      <w:r w:rsidR="00473235">
        <w:t>United Kingdom</w:t>
      </w:r>
      <w:r>
        <w:t xml:space="preserve">, the National Institute for </w:t>
      </w:r>
      <w:proofErr w:type="gramStart"/>
      <w:r>
        <w:t>Health</w:t>
      </w:r>
      <w:proofErr w:type="gramEnd"/>
      <w:r>
        <w:t xml:space="preserve"> and Care Excellence </w:t>
      </w:r>
      <w:r w:rsidR="0064384A">
        <w:t xml:space="preserve">(NICE) </w:t>
      </w:r>
      <w:r>
        <w:t xml:space="preserve">is working with the British Standards Institution and industry to develop new international standards for carbon </w:t>
      </w:r>
      <w:proofErr w:type="spellStart"/>
      <w:r>
        <w:t>footprinting</w:t>
      </w:r>
      <w:proofErr w:type="spellEnd"/>
      <w:r>
        <w:t xml:space="preserve"> of </w:t>
      </w:r>
      <w:r w:rsidR="00740357">
        <w:t>pharmaceuticals and</w:t>
      </w:r>
      <w:r>
        <w:t xml:space="preserve"> has committed to developing an approach for considering environmental impacts as part of approval decisions by 2023–24. Canada’s Drug and Health Technology Agency </w:t>
      </w:r>
      <w:r w:rsidR="0064384A">
        <w:t xml:space="preserve">(CADTH) </w:t>
      </w:r>
      <w:r>
        <w:t xml:space="preserve">has </w:t>
      </w:r>
      <w:r w:rsidRPr="003229BF">
        <w:t xml:space="preserve">committed to adapt methodologies and analyses to assess </w:t>
      </w:r>
      <w:r>
        <w:t xml:space="preserve">the environmental footprint of technologies as part of its </w:t>
      </w:r>
      <w:hyperlink r:id="rId80" w:history="1">
        <w:r w:rsidRPr="009D2AC5">
          <w:rPr>
            <w:rStyle w:val="Hyperlink"/>
          </w:rPr>
          <w:t>2022–2025 strategic plan</w:t>
        </w:r>
      </w:hyperlink>
      <w:r>
        <w:t>.</w:t>
      </w:r>
    </w:p>
    <w:p w14:paraId="78064FBA" w14:textId="77777777" w:rsidR="000D6061" w:rsidRDefault="000D6061" w:rsidP="000D6061">
      <w:r>
        <w:t xml:space="preserve">The Reference Committee therefore considers that: Australia should actively involve itself in efforts to establish new international standards for assessing the environmental impacts of health technology products, that it </w:t>
      </w:r>
      <w:proofErr w:type="gramStart"/>
      <w:r>
        <w:t>consider</w:t>
      </w:r>
      <w:proofErr w:type="gramEnd"/>
      <w:r>
        <w:t xml:space="preserve"> requiring manufacturers to measure and publicly report emissions of products, and that this </w:t>
      </w:r>
      <w:r>
        <w:lastRenderedPageBreak/>
        <w:t>information is incorporated into approval and reimbursement decisions in alignment with international best practice and developments in comparable countries.</w:t>
      </w:r>
    </w:p>
    <w:p w14:paraId="252D9D44" w14:textId="77777777" w:rsidR="000D6061" w:rsidRDefault="000D6061" w:rsidP="000D6061">
      <w:pPr>
        <w:pStyle w:val="Heading4"/>
      </w:pPr>
      <w:r w:rsidRPr="00F05F8B">
        <w:t>Mechanisms for continuous review and improvement</w:t>
      </w:r>
    </w:p>
    <w:p w14:paraId="61F6F592" w14:textId="0812BBAA" w:rsidR="000D6061" w:rsidRPr="007E2B47" w:rsidRDefault="000D6061" w:rsidP="000D6061">
      <w:r>
        <w:t xml:space="preserve">The Reference Committee notes there has been several updates and other reform processes to HTA since it was introduced in Australia in 1993. </w:t>
      </w:r>
      <w:r w:rsidR="002D6D88">
        <w:t xml:space="preserve">Currently there is no </w:t>
      </w:r>
      <w:r w:rsidR="002C113C">
        <w:t>scheduled, formal</w:t>
      </w:r>
      <w:r w:rsidR="00265AA2">
        <w:t xml:space="preserve"> review mechanism </w:t>
      </w:r>
      <w:r w:rsidR="00984B00">
        <w:t xml:space="preserve">for elements and features of the HTA System. </w:t>
      </w:r>
      <w:r w:rsidR="007905AB">
        <w:t>To ensure the</w:t>
      </w:r>
      <w:r w:rsidR="0035767E">
        <w:t xml:space="preserve"> </w:t>
      </w:r>
      <w:r w:rsidR="00992272">
        <w:t xml:space="preserve">HTA </w:t>
      </w:r>
      <w:r w:rsidR="00D734C5">
        <w:t xml:space="preserve">processes and </w:t>
      </w:r>
      <w:r w:rsidR="002340D5">
        <w:t xml:space="preserve">methods are kept </w:t>
      </w:r>
      <w:proofErr w:type="gramStart"/>
      <w:r w:rsidR="002340D5">
        <w:t>up-to-date</w:t>
      </w:r>
      <w:proofErr w:type="gramEnd"/>
      <w:r w:rsidR="0000202E">
        <w:t xml:space="preserve"> </w:t>
      </w:r>
      <w:r w:rsidR="00992272">
        <w:t xml:space="preserve">and that the system is </w:t>
      </w:r>
      <w:r w:rsidR="00E65818">
        <w:t xml:space="preserve">agile and continues to meet the need of Australians, </w:t>
      </w:r>
      <w:r w:rsidR="006B3727">
        <w:t xml:space="preserve">a process for </w:t>
      </w:r>
      <w:r w:rsidR="00991EFF">
        <w:t>continuous</w:t>
      </w:r>
      <w:r w:rsidR="006B3727">
        <w:t xml:space="preserve">, rolling review and </w:t>
      </w:r>
      <w:r w:rsidR="00991EFF">
        <w:t xml:space="preserve">improvement has been proposed. </w:t>
      </w:r>
    </w:p>
    <w:p w14:paraId="5A37C0E6" w14:textId="77777777" w:rsidR="000D6061" w:rsidRPr="00F05F8B" w:rsidRDefault="000D6061" w:rsidP="000D6061">
      <w:pPr>
        <w:pStyle w:val="Heading4"/>
      </w:pPr>
      <w:r w:rsidRPr="00F05F8B">
        <w:t>Capacity and capability in the HTA systems</w:t>
      </w:r>
    </w:p>
    <w:p w14:paraId="77A5374D" w14:textId="14CB308B" w:rsidR="00C16863" w:rsidRDefault="000D6061" w:rsidP="00E700AB">
      <w:r>
        <w:t>The Reference Committee notes there are many factors that are creating pressure on the HTA workforce across the healthcare sector. It recognises that work-sharing</w:t>
      </w:r>
      <w:r w:rsidR="00B3123C">
        <w:fldChar w:fldCharType="begin"/>
      </w:r>
      <w:r w:rsidR="00B3123C">
        <w:instrText xml:space="preserve"> XE "</w:instrText>
      </w:r>
      <w:r w:rsidR="00B3123C" w:rsidRPr="00130E1F">
        <w:instrText>work-sharing</w:instrText>
      </w:r>
      <w:r w:rsidR="00B3123C">
        <w:instrText xml:space="preserve">" \b </w:instrText>
      </w:r>
      <w:r w:rsidR="00B3123C">
        <w:fldChar w:fldCharType="end"/>
      </w:r>
      <w:r>
        <w:t xml:space="preserve"> locally and internationally are important strategies to </w:t>
      </w:r>
      <w:r w:rsidR="007273C9">
        <w:t xml:space="preserve">manage </w:t>
      </w:r>
      <w:r>
        <w:t>these pressures. This paper presents options to improve capability and capacity of the HTA workforce through internships and strengthen local and international partnerships and work sharing.</w:t>
      </w:r>
    </w:p>
    <w:p w14:paraId="78A9E90F" w14:textId="77777777" w:rsidR="003857E9" w:rsidRDefault="003857E9" w:rsidP="00770D6F"/>
    <w:p w14:paraId="1F7B438B" w14:textId="13DC99FE" w:rsidR="008E57F1" w:rsidRPr="00687095" w:rsidRDefault="008E57F1" w:rsidP="008C10BB">
      <w:pPr>
        <w:keepNext/>
        <w:spacing w:before="240" w:after="60"/>
        <w:ind w:left="709" w:hanging="709"/>
        <w:outlineLvl w:val="0"/>
        <w:rPr>
          <w:rFonts w:eastAsia="Times New Roman" w:cs="Segoe UI"/>
          <w:color w:val="11427A"/>
          <w:kern w:val="28"/>
          <w:sz w:val="44"/>
          <w:szCs w:val="36"/>
        </w:rPr>
        <w:sectPr w:rsidR="008E57F1" w:rsidRPr="00687095" w:rsidSect="0071132E">
          <w:headerReference w:type="default" r:id="rId81"/>
          <w:type w:val="continuous"/>
          <w:pgSz w:w="11906" w:h="16838"/>
          <w:pgMar w:top="1440" w:right="1440" w:bottom="1135" w:left="1440" w:header="708" w:footer="708" w:gutter="0"/>
          <w:cols w:space="708"/>
          <w:docGrid w:linePitch="360"/>
        </w:sectPr>
      </w:pPr>
    </w:p>
    <w:p w14:paraId="732BAAFD" w14:textId="68162142" w:rsidR="00A05178" w:rsidRPr="006647C5" w:rsidRDefault="00A05178" w:rsidP="008C10BB">
      <w:pPr>
        <w:pStyle w:val="Heading1"/>
        <w:numPr>
          <w:ilvl w:val="0"/>
          <w:numId w:val="0"/>
        </w:numPr>
        <w:spacing w:line="259" w:lineRule="auto"/>
        <w:ind w:left="-709"/>
      </w:pPr>
      <w:bookmarkStart w:id="29" w:name="_Toc157029029"/>
      <w:bookmarkStart w:id="30" w:name="_Toc157029475"/>
      <w:bookmarkStart w:id="31" w:name="_Toc157030167"/>
      <w:bookmarkStart w:id="32" w:name="_Hlk154176184"/>
      <w:r w:rsidRPr="00A05178">
        <w:lastRenderedPageBreak/>
        <w:t xml:space="preserve">Overview of </w:t>
      </w:r>
      <w:r w:rsidR="000E1DBD" w:rsidRPr="006647C5">
        <w:t xml:space="preserve">the key </w:t>
      </w:r>
      <w:r w:rsidR="007B5F9E">
        <w:t>selected</w:t>
      </w:r>
      <w:r w:rsidR="000E1DBD" w:rsidRPr="006647C5">
        <w:t xml:space="preserve"> </w:t>
      </w:r>
      <w:r w:rsidRPr="00A05178">
        <w:t xml:space="preserve">options </w:t>
      </w:r>
      <w:r>
        <w:t xml:space="preserve">for </w:t>
      </w:r>
      <w:bookmarkEnd w:id="17"/>
      <w:r w:rsidR="007B5F9E">
        <w:t>consultation</w:t>
      </w:r>
      <w:bookmarkEnd w:id="29"/>
      <w:bookmarkEnd w:id="30"/>
      <w:bookmarkEnd w:id="31"/>
    </w:p>
    <w:p w14:paraId="6A1DE67E" w14:textId="378C040F" w:rsidR="000A410D" w:rsidRPr="00687095" w:rsidRDefault="6F79F3FB" w:rsidP="00687095">
      <w:pPr>
        <w:ind w:left="-709"/>
        <w:rPr>
          <w:sz w:val="20"/>
          <w:szCs w:val="20"/>
          <w:shd w:val="clear" w:color="auto" w:fill="FFFFFF"/>
        </w:rPr>
      </w:pPr>
      <w:r w:rsidRPr="00687095">
        <w:rPr>
          <w:sz w:val="20"/>
          <w:szCs w:val="20"/>
        </w:rPr>
        <w:t>The Reference Committee</w:t>
      </w:r>
      <w:r w:rsidR="00D50448" w:rsidRPr="00687095">
        <w:rPr>
          <w:sz w:val="20"/>
          <w:szCs w:val="20"/>
          <w:shd w:val="clear" w:color="auto" w:fill="FFFFFF"/>
        </w:rPr>
        <w:t xml:space="preserve"> ha</w:t>
      </w:r>
      <w:r w:rsidR="0922A120" w:rsidRPr="00687095">
        <w:rPr>
          <w:sz w:val="20"/>
          <w:szCs w:val="20"/>
        </w:rPr>
        <w:t>s</w:t>
      </w:r>
      <w:r w:rsidR="00F23D16" w:rsidRPr="00687095">
        <w:rPr>
          <w:sz w:val="20"/>
          <w:szCs w:val="20"/>
          <w:shd w:val="clear" w:color="auto" w:fill="FFFFFF"/>
        </w:rPr>
        <w:t xml:space="preserve"> comprehensively reviewed the HTA </w:t>
      </w:r>
      <w:r w:rsidR="00B605EB" w:rsidRPr="00687095">
        <w:rPr>
          <w:sz w:val="20"/>
          <w:szCs w:val="20"/>
          <w:shd w:val="clear" w:color="auto" w:fill="FFFFFF"/>
        </w:rPr>
        <w:t>policies</w:t>
      </w:r>
      <w:r w:rsidR="00F23D16" w:rsidRPr="00687095">
        <w:rPr>
          <w:sz w:val="20"/>
          <w:szCs w:val="20"/>
          <w:shd w:val="clear" w:color="auto" w:fill="FFFFFF"/>
        </w:rPr>
        <w:t xml:space="preserve"> and </w:t>
      </w:r>
      <w:r w:rsidR="00B605EB" w:rsidRPr="00687095">
        <w:rPr>
          <w:sz w:val="20"/>
          <w:szCs w:val="20"/>
          <w:shd w:val="clear" w:color="auto" w:fill="FFFFFF"/>
        </w:rPr>
        <w:t>methods</w:t>
      </w:r>
      <w:r w:rsidR="00F23D16" w:rsidRPr="00687095">
        <w:rPr>
          <w:sz w:val="20"/>
          <w:szCs w:val="20"/>
          <w:shd w:val="clear" w:color="auto" w:fill="FFFFFF"/>
        </w:rPr>
        <w:t xml:space="preserve"> in Australia, </w:t>
      </w:r>
      <w:r w:rsidR="007D39CD" w:rsidRPr="00687095">
        <w:rPr>
          <w:sz w:val="20"/>
          <w:szCs w:val="20"/>
          <w:shd w:val="clear" w:color="auto" w:fill="FFFFFF"/>
        </w:rPr>
        <w:t>considering</w:t>
      </w:r>
      <w:r w:rsidR="00F23D16" w:rsidRPr="00687095">
        <w:rPr>
          <w:sz w:val="20"/>
          <w:szCs w:val="20"/>
          <w:shd w:val="clear" w:color="auto" w:fill="FFFFFF"/>
        </w:rPr>
        <w:t xml:space="preserve"> stakeholders' experiences, expert input, and extensive research. </w:t>
      </w:r>
      <w:r w:rsidR="00C822B6" w:rsidRPr="00687095">
        <w:rPr>
          <w:sz w:val="20"/>
          <w:szCs w:val="20"/>
          <w:shd w:val="clear" w:color="auto" w:fill="FFFFFF"/>
        </w:rPr>
        <w:t xml:space="preserve">The table below sets out options </w:t>
      </w:r>
      <w:r w:rsidR="00FA3C2A" w:rsidRPr="00687095">
        <w:rPr>
          <w:sz w:val="20"/>
          <w:szCs w:val="20"/>
          <w:shd w:val="clear" w:color="auto" w:fill="FFFFFF"/>
        </w:rPr>
        <w:t>that</w:t>
      </w:r>
      <w:r w:rsidR="00E90DF8" w:rsidRPr="00687095">
        <w:rPr>
          <w:sz w:val="20"/>
          <w:szCs w:val="20"/>
          <w:shd w:val="clear" w:color="auto" w:fill="FFFFFF"/>
        </w:rPr>
        <w:t xml:space="preserve"> reflect </w:t>
      </w:r>
      <w:r w:rsidR="00D1637F" w:rsidRPr="00687095">
        <w:rPr>
          <w:sz w:val="20"/>
          <w:szCs w:val="20"/>
          <w:shd w:val="clear" w:color="auto" w:fill="FFFFFF"/>
        </w:rPr>
        <w:t xml:space="preserve">key </w:t>
      </w:r>
      <w:r w:rsidR="00E90DF8" w:rsidRPr="00687095">
        <w:rPr>
          <w:sz w:val="20"/>
          <w:szCs w:val="20"/>
          <w:shd w:val="clear" w:color="auto" w:fill="FFFFFF"/>
        </w:rPr>
        <w:t>proposals made by participants in</w:t>
      </w:r>
      <w:r w:rsidR="007026F0" w:rsidRPr="00687095">
        <w:rPr>
          <w:sz w:val="20"/>
          <w:szCs w:val="20"/>
          <w:shd w:val="clear" w:color="auto" w:fill="FFFFFF"/>
        </w:rPr>
        <w:t xml:space="preserve"> consultations and</w:t>
      </w:r>
      <w:r w:rsidR="001D074D" w:rsidRPr="00687095">
        <w:rPr>
          <w:sz w:val="20"/>
          <w:szCs w:val="20"/>
          <w:shd w:val="clear" w:color="auto" w:fill="FFFFFF"/>
        </w:rPr>
        <w:t xml:space="preserve"> </w:t>
      </w:r>
      <w:r w:rsidR="00F62B2D" w:rsidRPr="00687095">
        <w:rPr>
          <w:sz w:val="20"/>
          <w:szCs w:val="20"/>
          <w:shd w:val="clear" w:color="auto" w:fill="FFFFFF"/>
        </w:rPr>
        <w:t>the Reference Committe</w:t>
      </w:r>
      <w:r w:rsidR="007026F0" w:rsidRPr="00687095">
        <w:rPr>
          <w:sz w:val="20"/>
          <w:szCs w:val="20"/>
          <w:shd w:val="clear" w:color="auto" w:fill="FFFFFF"/>
        </w:rPr>
        <w:t>e’s</w:t>
      </w:r>
      <w:r w:rsidR="00F62B2D" w:rsidRPr="00687095">
        <w:rPr>
          <w:sz w:val="20"/>
          <w:szCs w:val="20"/>
          <w:shd w:val="clear" w:color="auto" w:fill="FFFFFF"/>
        </w:rPr>
        <w:t xml:space="preserve"> consideration of </w:t>
      </w:r>
      <w:proofErr w:type="gramStart"/>
      <w:r w:rsidR="00E90DF8" w:rsidRPr="00687095">
        <w:rPr>
          <w:sz w:val="20"/>
          <w:szCs w:val="20"/>
          <w:shd w:val="clear" w:color="auto" w:fill="FFFFFF"/>
        </w:rPr>
        <w:t>all of</w:t>
      </w:r>
      <w:proofErr w:type="gramEnd"/>
      <w:r w:rsidR="00E90DF8" w:rsidRPr="00687095">
        <w:rPr>
          <w:sz w:val="20"/>
          <w:szCs w:val="20"/>
          <w:shd w:val="clear" w:color="auto" w:fill="FFFFFF"/>
        </w:rPr>
        <w:t xml:space="preserve"> </w:t>
      </w:r>
      <w:r w:rsidR="00F62B2D" w:rsidRPr="00687095">
        <w:rPr>
          <w:sz w:val="20"/>
          <w:szCs w:val="20"/>
          <w:shd w:val="clear" w:color="auto" w:fill="FFFFFF"/>
        </w:rPr>
        <w:t>the evidence</w:t>
      </w:r>
      <w:r w:rsidR="007026F0" w:rsidRPr="00687095">
        <w:rPr>
          <w:sz w:val="20"/>
          <w:szCs w:val="20"/>
          <w:shd w:val="clear" w:color="auto" w:fill="FFFFFF"/>
        </w:rPr>
        <w:t xml:space="preserve"> it has </w:t>
      </w:r>
      <w:r w:rsidR="00C71459" w:rsidRPr="00687095">
        <w:rPr>
          <w:sz w:val="20"/>
          <w:szCs w:val="20"/>
          <w:shd w:val="clear" w:color="auto" w:fill="FFFFFF"/>
        </w:rPr>
        <w:t>received</w:t>
      </w:r>
      <w:r w:rsidR="007B035D" w:rsidRPr="00687095">
        <w:rPr>
          <w:sz w:val="20"/>
          <w:szCs w:val="20"/>
          <w:shd w:val="clear" w:color="auto" w:fill="FFFFFF"/>
        </w:rPr>
        <w:t xml:space="preserve"> in </w:t>
      </w:r>
      <w:r w:rsidR="0007098A" w:rsidRPr="00687095">
        <w:rPr>
          <w:sz w:val="20"/>
          <w:szCs w:val="20"/>
          <w:shd w:val="clear" w:color="auto" w:fill="FFFFFF"/>
        </w:rPr>
        <w:t xml:space="preserve">the </w:t>
      </w:r>
      <w:r w:rsidR="145AC2DE" w:rsidRPr="00687095">
        <w:rPr>
          <w:sz w:val="20"/>
          <w:szCs w:val="20"/>
          <w:shd w:val="clear" w:color="auto" w:fill="FFFFFF"/>
        </w:rPr>
        <w:t xml:space="preserve">HTA </w:t>
      </w:r>
      <w:r w:rsidR="007B035D" w:rsidRPr="00687095">
        <w:rPr>
          <w:sz w:val="20"/>
          <w:szCs w:val="20"/>
          <w:shd w:val="clear" w:color="auto" w:fill="FFFFFF"/>
        </w:rPr>
        <w:t>Review</w:t>
      </w:r>
      <w:r w:rsidR="001D074D" w:rsidRPr="00687095">
        <w:rPr>
          <w:sz w:val="20"/>
          <w:szCs w:val="20"/>
          <w:shd w:val="clear" w:color="auto" w:fill="FFFFFF"/>
        </w:rPr>
        <w:t xml:space="preserve">. </w:t>
      </w:r>
      <w:r w:rsidR="00270D0D" w:rsidRPr="00687095">
        <w:rPr>
          <w:sz w:val="20"/>
          <w:szCs w:val="20"/>
          <w:shd w:val="clear" w:color="auto" w:fill="FFFFFF"/>
        </w:rPr>
        <w:t xml:space="preserve">The Reference Committee </w:t>
      </w:r>
      <w:r w:rsidR="0A96F5DE" w:rsidRPr="00687095">
        <w:rPr>
          <w:sz w:val="20"/>
          <w:szCs w:val="20"/>
        </w:rPr>
        <w:t>will</w:t>
      </w:r>
      <w:r w:rsidR="00547A79" w:rsidRPr="00687095">
        <w:rPr>
          <w:sz w:val="20"/>
          <w:szCs w:val="20"/>
          <w:shd w:val="clear" w:color="auto" w:fill="FFFFFF"/>
        </w:rPr>
        <w:t xml:space="preserve"> workshop</w:t>
      </w:r>
      <w:r w:rsidR="009321C9" w:rsidRPr="00687095">
        <w:rPr>
          <w:sz w:val="20"/>
          <w:szCs w:val="20"/>
          <w:shd w:val="clear" w:color="auto" w:fill="FFFFFF"/>
        </w:rPr>
        <w:t xml:space="preserve"> the</w:t>
      </w:r>
      <w:r w:rsidR="00547A79" w:rsidRPr="00687095">
        <w:rPr>
          <w:sz w:val="20"/>
          <w:szCs w:val="20"/>
          <w:shd w:val="clear" w:color="auto" w:fill="FFFFFF"/>
        </w:rPr>
        <w:t xml:space="preserve">se options with individuals and organisations with an interest in HTA </w:t>
      </w:r>
      <w:r w:rsidR="00723418" w:rsidRPr="00687095">
        <w:rPr>
          <w:sz w:val="20"/>
          <w:szCs w:val="20"/>
          <w:shd w:val="clear" w:color="auto" w:fill="FFFFFF"/>
        </w:rPr>
        <w:t xml:space="preserve">and </w:t>
      </w:r>
      <w:r w:rsidR="00EE0E86" w:rsidRPr="00687095">
        <w:rPr>
          <w:sz w:val="20"/>
          <w:szCs w:val="20"/>
          <w:shd w:val="clear" w:color="auto" w:fill="FFFFFF"/>
        </w:rPr>
        <w:t xml:space="preserve">any alternative ideas for achieving the same outcomes. </w:t>
      </w:r>
    </w:p>
    <w:p w14:paraId="309FD212" w14:textId="089EA1BC" w:rsidR="003F21B9" w:rsidRPr="00687095" w:rsidRDefault="003F21B9" w:rsidP="00687095">
      <w:pPr>
        <w:ind w:left="-709"/>
        <w:rPr>
          <w:rFonts w:eastAsia="Times New Roman"/>
          <w:i/>
          <w:color w:val="767171" w:themeColor="background2" w:themeShade="80"/>
          <w:sz w:val="20"/>
          <w:szCs w:val="20"/>
        </w:rPr>
      </w:pPr>
      <w:r w:rsidRPr="00687095">
        <w:rPr>
          <w:i/>
          <w:color w:val="767171" w:themeColor="background2" w:themeShade="80"/>
          <w:sz w:val="20"/>
          <w:szCs w:val="20"/>
          <w:shd w:val="clear" w:color="auto" w:fill="FFFFFF"/>
        </w:rPr>
        <w:t xml:space="preserve">NOTE: The table contains links to the relevant sections further in the paper. For further information or explanation on concepts, terms or content in the table refer to the main body by clicking the headings. </w:t>
      </w:r>
    </w:p>
    <w:tbl>
      <w:tblPr>
        <w:tblW w:w="15735" w:type="dxa"/>
        <w:tblInd w:w="-861" w:type="dxa"/>
        <w:tblLayout w:type="fixed"/>
        <w:tblCellMar>
          <w:left w:w="0" w:type="dxa"/>
          <w:right w:w="0" w:type="dxa"/>
        </w:tblCellMar>
        <w:tblLook w:val="0420" w:firstRow="1" w:lastRow="0" w:firstColumn="0" w:lastColumn="0" w:noHBand="0" w:noVBand="1"/>
      </w:tblPr>
      <w:tblGrid>
        <w:gridCol w:w="1055"/>
        <w:gridCol w:w="1879"/>
        <w:gridCol w:w="22"/>
        <w:gridCol w:w="11340"/>
        <w:gridCol w:w="1439"/>
      </w:tblGrid>
      <w:tr w:rsidR="00EA7E0F" w:rsidRPr="006647C5" w14:paraId="4E73CCE4" w14:textId="247B44C4" w:rsidTr="00534579">
        <w:trPr>
          <w:trHeight w:val="113"/>
        </w:trPr>
        <w:tc>
          <w:tcPr>
            <w:tcW w:w="2956" w:type="dxa"/>
            <w:gridSpan w:val="3"/>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72B1F34D" w14:textId="77DA6B4F" w:rsidR="00EA7E0F" w:rsidRPr="005F065C" w:rsidRDefault="00EA7E0F" w:rsidP="008C10BB">
            <w:pPr>
              <w:spacing w:after="0"/>
              <w:jc w:val="center"/>
              <w:rPr>
                <w:rFonts w:eastAsia="Times New Roman" w:cs="Segoe UI"/>
                <w:sz w:val="36"/>
                <w:szCs w:val="36"/>
                <w:lang w:eastAsia="en-AU"/>
              </w:rPr>
            </w:pPr>
            <w:r w:rsidRPr="005F065C">
              <w:rPr>
                <w:rFonts w:eastAsia="Times New Roman" w:cs="Segoe UI"/>
                <w:b/>
                <w:color w:val="FFFFFF"/>
                <w:kern w:val="24"/>
                <w:lang w:eastAsia="en-AU"/>
              </w:rPr>
              <w:t>Subject</w:t>
            </w:r>
          </w:p>
        </w:tc>
        <w:tc>
          <w:tcPr>
            <w:tcW w:w="12779" w:type="dxa"/>
            <w:gridSpan w:val="2"/>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2FCFB587" w14:textId="37C42587" w:rsidR="00EA7E0F" w:rsidRPr="005F065C" w:rsidRDefault="00EA7E0F" w:rsidP="008C10BB">
            <w:pPr>
              <w:spacing w:after="0"/>
              <w:jc w:val="center"/>
              <w:rPr>
                <w:rFonts w:eastAsia="Times New Roman" w:cs="Segoe UI"/>
                <w:sz w:val="36"/>
                <w:szCs w:val="36"/>
                <w:lang w:eastAsia="en-AU"/>
              </w:rPr>
            </w:pPr>
            <w:r w:rsidRPr="006647C5">
              <w:rPr>
                <w:rFonts w:eastAsia="Times New Roman" w:cs="Segoe UI"/>
                <w:b/>
                <w:color w:val="FFFFFF"/>
                <w:kern w:val="24"/>
                <w:lang w:eastAsia="en-AU"/>
              </w:rPr>
              <w:t>Key</w:t>
            </w:r>
            <w:r w:rsidRPr="005F065C">
              <w:rPr>
                <w:rFonts w:eastAsia="Times New Roman" w:cs="Segoe UI"/>
                <w:b/>
                <w:color w:val="FFFFFF"/>
                <w:kern w:val="24"/>
                <w:lang w:eastAsia="en-AU"/>
              </w:rPr>
              <w:t xml:space="preserve"> option/s</w:t>
            </w:r>
          </w:p>
        </w:tc>
      </w:tr>
      <w:tr w:rsidR="00EA7E0F" w:rsidRPr="006647C5" w14:paraId="49A3861B" w14:textId="77777777" w:rsidTr="00C93D28">
        <w:trPr>
          <w:trHeight w:val="306"/>
        </w:trPr>
        <w:tc>
          <w:tcPr>
            <w:tcW w:w="15735" w:type="dxa"/>
            <w:gridSpan w:val="5"/>
            <w:tcBorders>
              <w:bottom w:val="single" w:sz="2" w:space="0" w:color="E7E6E6" w:themeColor="background2"/>
            </w:tcBorders>
            <w:shd w:val="clear" w:color="auto" w:fill="FFFFFF" w:themeFill="background1"/>
            <w:tcMar>
              <w:top w:w="72" w:type="dxa"/>
              <w:left w:w="144" w:type="dxa"/>
              <w:bottom w:w="72" w:type="dxa"/>
              <w:right w:w="144" w:type="dxa"/>
            </w:tcMar>
          </w:tcPr>
          <w:p w14:paraId="575AD0A1" w14:textId="443F8C17" w:rsidR="00EA7E0F" w:rsidRPr="0071614A" w:rsidRDefault="0071614A" w:rsidP="0071614A">
            <w:pPr>
              <w:pStyle w:val="ListParagraph"/>
              <w:numPr>
                <w:ilvl w:val="0"/>
                <w:numId w:val="35"/>
              </w:numPr>
              <w:spacing w:after="0"/>
              <w:ind w:left="215" w:hanging="357"/>
              <w:rPr>
                <w:color w:val="008A96" w:themeColor="accent3"/>
              </w:rPr>
            </w:pPr>
            <w:r w:rsidRPr="0071614A">
              <w:rPr>
                <w:color w:val="008A96" w:themeColor="accent3"/>
              </w:rPr>
              <w:t>Transparency, communication, and stakeholder involvement in HTA</w:t>
            </w:r>
          </w:p>
        </w:tc>
      </w:tr>
      <w:tr w:rsidR="002A2CF7" w:rsidRPr="006647C5" w14:paraId="1DE7B291" w14:textId="77777777" w:rsidTr="00C93D28">
        <w:trPr>
          <w:trHeight w:val="271"/>
        </w:trPr>
        <w:tc>
          <w:tcPr>
            <w:tcW w:w="15735" w:type="dxa"/>
            <w:gridSpan w:val="5"/>
            <w:tcBorders>
              <w:top w:val="single" w:sz="2" w:space="0" w:color="E7E6E6" w:themeColor="background2"/>
            </w:tcBorders>
            <w:shd w:val="clear" w:color="auto" w:fill="FFFFFF" w:themeFill="background1"/>
            <w:tcMar>
              <w:top w:w="72" w:type="dxa"/>
              <w:left w:w="144" w:type="dxa"/>
              <w:bottom w:w="72" w:type="dxa"/>
              <w:right w:w="144" w:type="dxa"/>
            </w:tcMar>
          </w:tcPr>
          <w:p w14:paraId="6E0A583B" w14:textId="0D8405FE" w:rsidR="00A868A5" w:rsidRPr="00C26BFF" w:rsidRDefault="00A868A5" w:rsidP="008505D7">
            <w:pPr>
              <w:pStyle w:val="Heading6"/>
              <w:numPr>
                <w:ilvl w:val="1"/>
                <w:numId w:val="35"/>
              </w:numPr>
              <w:rPr>
                <w:rFonts w:eastAsia="Times New Roman" w:cs="Segoe UI"/>
                <w:color w:val="008A96" w:themeColor="accent3"/>
                <w:kern w:val="24"/>
              </w:rPr>
            </w:pPr>
            <w:r w:rsidRPr="006153EA">
              <w:rPr>
                <w:color w:val="1D437F" w:themeColor="accent1"/>
              </w:rPr>
              <w:t>Transparency and communication</w:t>
            </w:r>
            <w:r w:rsidR="00570001">
              <w:rPr>
                <w:color w:val="auto"/>
              </w:rPr>
              <w:fldChar w:fldCharType="begin"/>
            </w:r>
            <w:r w:rsidR="00570001">
              <w:instrText xml:space="preserve"> XE "</w:instrText>
            </w:r>
            <w:r w:rsidR="00570001" w:rsidRPr="00E61E42">
              <w:rPr>
                <w:color w:val="auto"/>
              </w:rPr>
              <w:instrText>communication</w:instrText>
            </w:r>
            <w:r w:rsidR="00570001">
              <w:instrText xml:space="preserve">" \b </w:instrText>
            </w:r>
            <w:r w:rsidR="00570001">
              <w:rPr>
                <w:color w:val="auto"/>
              </w:rPr>
              <w:fldChar w:fldCharType="end"/>
            </w:r>
            <w:r w:rsidRPr="006153EA">
              <w:rPr>
                <w:color w:val="1D437F" w:themeColor="accent1"/>
              </w:rPr>
              <w:t xml:space="preserve"> of HTA pathways, </w:t>
            </w:r>
            <w:proofErr w:type="gramStart"/>
            <w:r w:rsidRPr="006153EA">
              <w:rPr>
                <w:color w:val="1D437F" w:themeColor="accent1"/>
              </w:rPr>
              <w:t>processes</w:t>
            </w:r>
            <w:proofErr w:type="gramEnd"/>
            <w:r w:rsidRPr="006153EA">
              <w:rPr>
                <w:color w:val="1D437F" w:themeColor="accent1"/>
              </w:rPr>
              <w:t xml:space="preserve"> and decisions</w:t>
            </w:r>
          </w:p>
        </w:tc>
      </w:tr>
      <w:tr w:rsidR="00BC67A0" w:rsidRPr="006647C5" w14:paraId="2577BBA0" w14:textId="77777777" w:rsidTr="00534579">
        <w:trPr>
          <w:trHeight w:val="996"/>
        </w:trPr>
        <w:tc>
          <w:tcPr>
            <w:tcW w:w="1055" w:type="dxa"/>
            <w:shd w:val="clear" w:color="auto" w:fill="FFFFFF" w:themeFill="background1"/>
            <w:tcMar>
              <w:top w:w="72" w:type="dxa"/>
              <w:left w:w="144" w:type="dxa"/>
              <w:bottom w:w="72" w:type="dxa"/>
              <w:right w:w="144" w:type="dxa"/>
            </w:tcMar>
          </w:tcPr>
          <w:p w14:paraId="1AA02FA9" w14:textId="7FAA6B0B" w:rsidR="00BC67A0" w:rsidRPr="00C26BFF" w:rsidRDefault="00BC67A0" w:rsidP="00C26BFF">
            <w:pPr>
              <w:pStyle w:val="Heading6"/>
              <w:rPr>
                <w:color w:val="1D437F" w:themeColor="accent1"/>
              </w:rPr>
            </w:pPr>
          </w:p>
        </w:tc>
        <w:tc>
          <w:tcPr>
            <w:tcW w:w="1901" w:type="dxa"/>
            <w:gridSpan w:val="2"/>
            <w:tcBorders>
              <w:top w:val="single" w:sz="2" w:space="0" w:color="E7E6E6" w:themeColor="background2"/>
              <w:bottom w:val="single" w:sz="4" w:space="0" w:color="E7E6E6" w:themeColor="background2"/>
            </w:tcBorders>
            <w:shd w:val="clear" w:color="auto" w:fill="FFFFFF" w:themeFill="background1"/>
          </w:tcPr>
          <w:p w14:paraId="1F1E3CB5" w14:textId="77777777" w:rsidR="00A868A5" w:rsidRDefault="00A868A5" w:rsidP="008C10BB">
            <w:pPr>
              <w:tabs>
                <w:tab w:val="left" w:pos="2835"/>
              </w:tabs>
              <w:spacing w:after="120"/>
              <w:ind w:left="-1" w:right="283" w:firstLine="1"/>
              <w:rPr>
                <w:rFonts w:eastAsia="Times New Roman" w:cs="Segoe UI"/>
                <w:color w:val="222A35"/>
                <w:kern w:val="24"/>
                <w:sz w:val="20"/>
                <w:szCs w:val="20"/>
                <w:lang w:eastAsia="en-AU"/>
              </w:rPr>
            </w:pPr>
            <w:r>
              <w:rPr>
                <w:rFonts w:eastAsia="Times New Roman" w:cs="Segoe UI"/>
                <w:color w:val="222A35"/>
                <w:kern w:val="24"/>
                <w:sz w:val="20"/>
                <w:szCs w:val="20"/>
                <w:lang w:eastAsia="en-AU"/>
              </w:rPr>
              <w:t>Publish</w:t>
            </w:r>
            <w:r w:rsidRPr="0075292E">
              <w:rPr>
                <w:rFonts w:eastAsia="Times New Roman" w:cs="Segoe UI"/>
                <w:color w:val="222A35"/>
                <w:kern w:val="24"/>
                <w:sz w:val="20"/>
                <w:szCs w:val="20"/>
                <w:lang w:eastAsia="en-AU"/>
              </w:rPr>
              <w:t xml:space="preserve"> plain language </w:t>
            </w:r>
            <w:proofErr w:type="gramStart"/>
            <w:r w:rsidRPr="0075292E">
              <w:rPr>
                <w:rFonts w:eastAsia="Times New Roman" w:cs="Segoe UI"/>
                <w:color w:val="222A35"/>
                <w:kern w:val="24"/>
                <w:sz w:val="20"/>
                <w:szCs w:val="20"/>
                <w:lang w:eastAsia="en-AU"/>
              </w:rPr>
              <w:t>summaries</w:t>
            </w:r>
            <w:proofErr w:type="gramEnd"/>
            <w:r w:rsidRPr="0075292E">
              <w:rPr>
                <w:rFonts w:eastAsia="Times New Roman" w:cs="Segoe UI"/>
                <w:color w:val="222A35"/>
                <w:kern w:val="24"/>
                <w:sz w:val="20"/>
                <w:szCs w:val="20"/>
                <w:lang w:eastAsia="en-AU"/>
              </w:rPr>
              <w:t xml:space="preserve"> </w:t>
            </w:r>
          </w:p>
          <w:p w14:paraId="77B2F7CF" w14:textId="55BCDEFE" w:rsidR="00BC67A0" w:rsidRPr="00C26BFF" w:rsidRDefault="00BC67A0" w:rsidP="00C26BFF">
            <w:pPr>
              <w:pStyle w:val="Heading6"/>
              <w:tabs>
                <w:tab w:val="left" w:pos="2835"/>
              </w:tabs>
              <w:rPr>
                <w:color w:val="1D437F" w:themeColor="accent1"/>
              </w:rPr>
            </w:pPr>
          </w:p>
        </w:tc>
        <w:tc>
          <w:tcPr>
            <w:tcW w:w="12779" w:type="dxa"/>
            <w:gridSpan w:val="2"/>
            <w:tcBorders>
              <w:top w:val="single" w:sz="2"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5F7787E" w14:textId="293A7CE5" w:rsidR="00085456" w:rsidRPr="009D14F6" w:rsidRDefault="00BC67A0" w:rsidP="008505D7">
            <w:pPr>
              <w:pStyle w:val="ListParagraph"/>
              <w:numPr>
                <w:ilvl w:val="0"/>
                <w:numId w:val="45"/>
              </w:numPr>
              <w:rPr>
                <w:sz w:val="20"/>
                <w:szCs w:val="20"/>
                <w:lang w:eastAsia="en-AU"/>
              </w:rPr>
            </w:pPr>
            <w:bookmarkStart w:id="33" w:name="_Hlk155500753"/>
            <w:r w:rsidRPr="009D14F6">
              <w:rPr>
                <w:sz w:val="20"/>
                <w:szCs w:val="20"/>
                <w:lang w:eastAsia="en-AU"/>
              </w:rPr>
              <w:t>Summaries of Pharmaceutical Benefits Advisory Committee (</w:t>
            </w:r>
            <w:r w:rsidRPr="003F2662">
              <w:rPr>
                <w:sz w:val="20"/>
                <w:szCs w:val="20"/>
                <w:lang w:eastAsia="en-AU"/>
              </w:rPr>
              <w:t>PBAC)</w:t>
            </w:r>
            <w:r w:rsidR="00D77DDD">
              <w:rPr>
                <w:sz w:val="20"/>
                <w:szCs w:val="20"/>
                <w:lang w:eastAsia="en-AU"/>
              </w:rPr>
              <w:t xml:space="preserve"> </w:t>
            </w:r>
            <w:r w:rsidRPr="009D14F6">
              <w:rPr>
                <w:sz w:val="20"/>
                <w:szCs w:val="20"/>
                <w:lang w:eastAsia="en-AU"/>
              </w:rPr>
              <w:t>submissions to be provided at the same time as the PBAC agenda is released to allow consumers (including patient communities and clinicians) to be better equipped to provide input to the HTA process and understand the expected benefit of the therapy and the proposed population without ambiguity</w:t>
            </w:r>
            <w:r w:rsidR="006E3CEC">
              <w:rPr>
                <w:sz w:val="20"/>
                <w:szCs w:val="20"/>
                <w:lang w:eastAsia="en-AU"/>
              </w:rPr>
              <w:t xml:space="preserve"> (</w:t>
            </w:r>
            <w:r w:rsidR="00B82999">
              <w:rPr>
                <w:sz w:val="20"/>
                <w:szCs w:val="20"/>
                <w:lang w:eastAsia="en-AU"/>
              </w:rPr>
              <w:t>Note</w:t>
            </w:r>
            <w:r w:rsidR="00EB6EE7">
              <w:rPr>
                <w:sz w:val="20"/>
                <w:szCs w:val="20"/>
                <w:lang w:eastAsia="en-AU"/>
              </w:rPr>
              <w:t>:</w:t>
            </w:r>
            <w:r w:rsidR="00B82999">
              <w:rPr>
                <w:sz w:val="20"/>
                <w:szCs w:val="20"/>
                <w:lang w:eastAsia="en-AU"/>
              </w:rPr>
              <w:t xml:space="preserve"> this options does not seek to limit any </w:t>
            </w:r>
            <w:r w:rsidR="00111E8D">
              <w:rPr>
                <w:sz w:val="20"/>
                <w:szCs w:val="20"/>
                <w:lang w:eastAsia="en-AU"/>
              </w:rPr>
              <w:t xml:space="preserve">outcome of </w:t>
            </w:r>
            <w:hyperlink r:id="rId82" w:history="1">
              <w:r w:rsidR="00111E8D" w:rsidRPr="0056568C">
                <w:rPr>
                  <w:rStyle w:val="Hyperlink"/>
                  <w:sz w:val="20"/>
                  <w:szCs w:val="20"/>
                  <w:lang w:eastAsia="en-AU"/>
                </w:rPr>
                <w:t xml:space="preserve">the </w:t>
              </w:r>
              <w:r w:rsidR="00B82999" w:rsidRPr="0056568C">
                <w:rPr>
                  <w:rStyle w:val="Hyperlink"/>
                  <w:sz w:val="20"/>
                  <w:szCs w:val="20"/>
                  <w:lang w:eastAsia="en-AU"/>
                </w:rPr>
                <w:t>co-design of an Enhanced Consumer Engagement Process</w:t>
              </w:r>
            </w:hyperlink>
            <w:r w:rsidR="0056568C">
              <w:rPr>
                <w:sz w:val="20"/>
                <w:szCs w:val="20"/>
                <w:lang w:eastAsia="en-AU"/>
              </w:rPr>
              <w:t xml:space="preserve"> currently underway</w:t>
            </w:r>
            <w:r w:rsidR="00B82999">
              <w:rPr>
                <w:sz w:val="20"/>
                <w:szCs w:val="20"/>
                <w:lang w:eastAsia="en-AU"/>
              </w:rPr>
              <w:t>)</w:t>
            </w:r>
          </w:p>
          <w:p w14:paraId="3AA12BCB" w14:textId="053DE6CA" w:rsidR="00CE58AC" w:rsidRPr="009D14F6" w:rsidRDefault="00BC67A0" w:rsidP="008505D7">
            <w:pPr>
              <w:pStyle w:val="ListParagraph"/>
              <w:numPr>
                <w:ilvl w:val="0"/>
                <w:numId w:val="45"/>
              </w:numPr>
              <w:rPr>
                <w:sz w:val="20"/>
                <w:szCs w:val="20"/>
                <w:lang w:eastAsia="en-AU"/>
              </w:rPr>
            </w:pPr>
            <w:r w:rsidRPr="009D14F6">
              <w:rPr>
                <w:sz w:val="20"/>
                <w:szCs w:val="20"/>
                <w:lang w:eastAsia="en-AU"/>
              </w:rPr>
              <w:t>Have clearer and more transparent description of the committee deliberations, including clear reasoning for recommendations / decisions made and what elements were included that is disseminated to broader stakeholder groups</w:t>
            </w:r>
            <w:r w:rsidR="00CE58AC" w:rsidRPr="009D14F6">
              <w:rPr>
                <w:sz w:val="20"/>
                <w:szCs w:val="20"/>
                <w:lang w:eastAsia="en-AU"/>
              </w:rPr>
              <w:t>.</w:t>
            </w:r>
          </w:p>
          <w:p w14:paraId="67D69FD1" w14:textId="26B26E72" w:rsidR="00BC67A0" w:rsidRPr="009D14F6" w:rsidRDefault="00BC67A0" w:rsidP="008505D7">
            <w:pPr>
              <w:pStyle w:val="ListParagraph"/>
              <w:numPr>
                <w:ilvl w:val="0"/>
                <w:numId w:val="45"/>
              </w:numPr>
              <w:rPr>
                <w:sz w:val="20"/>
                <w:szCs w:val="20"/>
                <w:lang w:eastAsia="en-AU"/>
              </w:rPr>
            </w:pPr>
            <w:r w:rsidRPr="009D14F6">
              <w:rPr>
                <w:sz w:val="20"/>
                <w:szCs w:val="20"/>
                <w:lang w:eastAsia="en-AU"/>
              </w:rPr>
              <w:t>Provide plain language explanation of the HTA pathways and PBAC guidelines</w:t>
            </w:r>
            <w:r w:rsidR="002E0547">
              <w:rPr>
                <w:sz w:val="20"/>
                <w:szCs w:val="20"/>
                <w:lang w:eastAsia="en-AU"/>
              </w:rPr>
              <w:t xml:space="preserve"> that</w:t>
            </w:r>
            <w:r w:rsidRPr="009D14F6">
              <w:rPr>
                <w:sz w:val="20"/>
                <w:szCs w:val="20"/>
                <w:lang w:eastAsia="en-AU"/>
              </w:rPr>
              <w:t xml:space="preserve"> allow both experts and non-experts to be able to navigate the system more easily (with the level of information and language suited for the relevant audience levels)</w:t>
            </w:r>
            <w:r w:rsidR="00CE58AC" w:rsidRPr="009D14F6">
              <w:rPr>
                <w:sz w:val="20"/>
                <w:szCs w:val="20"/>
                <w:lang w:eastAsia="en-AU"/>
              </w:rPr>
              <w:t>.</w:t>
            </w:r>
            <w:bookmarkEnd w:id="33"/>
          </w:p>
        </w:tc>
      </w:tr>
      <w:tr w:rsidR="005C4E85" w:rsidRPr="006647C5" w14:paraId="167827D8" w14:textId="77777777" w:rsidTr="00534579">
        <w:trPr>
          <w:trHeight w:val="996"/>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412A5871" w14:textId="77777777" w:rsidR="00A868A5" w:rsidRPr="00A868A5" w:rsidDel="00BC67A0" w:rsidRDefault="00A868A5" w:rsidP="00771560">
            <w:pPr>
              <w:pStyle w:val="Heading6"/>
              <w:rPr>
                <w:color w:val="1D437F" w:themeColor="accent1"/>
              </w:rPr>
            </w:pPr>
          </w:p>
        </w:tc>
        <w:tc>
          <w:tcPr>
            <w:tcW w:w="1901" w:type="dxa"/>
            <w:gridSpan w:val="2"/>
            <w:tcBorders>
              <w:bottom w:val="single" w:sz="2" w:space="0" w:color="1D437F" w:themeColor="accent1"/>
            </w:tcBorders>
            <w:shd w:val="clear" w:color="auto" w:fill="FFFFFF" w:themeFill="background1"/>
          </w:tcPr>
          <w:p w14:paraId="108FC5D7" w14:textId="4B1D70F5" w:rsidR="00A868A5" w:rsidRDefault="00AE02CD" w:rsidP="008C10BB">
            <w:pPr>
              <w:tabs>
                <w:tab w:val="left" w:pos="2835"/>
              </w:tabs>
              <w:spacing w:after="0"/>
              <w:ind w:right="141"/>
              <w:rPr>
                <w:rFonts w:eastAsia="Times New Roman" w:cs="Segoe UI"/>
                <w:color w:val="222A35"/>
                <w:kern w:val="24"/>
                <w:sz w:val="20"/>
                <w:szCs w:val="20"/>
                <w:lang w:eastAsia="en-AU"/>
              </w:rPr>
            </w:pPr>
            <w:r>
              <w:rPr>
                <w:rFonts w:eastAsia="Times New Roman" w:cs="Segoe UI"/>
                <w:color w:val="222A35"/>
                <w:kern w:val="24"/>
                <w:sz w:val="20"/>
                <w:szCs w:val="20"/>
                <w:lang w:eastAsia="en-AU"/>
              </w:rPr>
              <w:t>Improvements to the HTA webpage including d</w:t>
            </w:r>
            <w:r w:rsidR="00F50EE0">
              <w:rPr>
                <w:rFonts w:eastAsia="Times New Roman" w:cs="Segoe UI"/>
                <w:color w:val="222A35"/>
                <w:kern w:val="24"/>
                <w:sz w:val="20"/>
                <w:szCs w:val="20"/>
                <w:lang w:eastAsia="en-AU"/>
              </w:rPr>
              <w:t>evelop</w:t>
            </w:r>
            <w:r>
              <w:rPr>
                <w:rFonts w:eastAsia="Times New Roman" w:cs="Segoe UI"/>
                <w:color w:val="222A35"/>
                <w:kern w:val="24"/>
                <w:sz w:val="20"/>
                <w:szCs w:val="20"/>
                <w:lang w:eastAsia="en-AU"/>
              </w:rPr>
              <w:t xml:space="preserve">ment of </w:t>
            </w:r>
            <w:r w:rsidR="00F50EE0">
              <w:rPr>
                <w:rFonts w:eastAsia="Times New Roman" w:cs="Segoe UI"/>
                <w:color w:val="222A35"/>
                <w:kern w:val="24"/>
                <w:sz w:val="20"/>
                <w:szCs w:val="20"/>
                <w:lang w:eastAsia="en-AU"/>
              </w:rPr>
              <w:t>a</w:t>
            </w:r>
            <w:r w:rsidR="000F2323">
              <w:rPr>
                <w:rFonts w:eastAsia="Times New Roman" w:cs="Segoe UI"/>
                <w:color w:val="222A35"/>
                <w:kern w:val="24"/>
                <w:sz w:val="20"/>
                <w:szCs w:val="20"/>
                <w:lang w:eastAsia="en-AU"/>
              </w:rPr>
              <w:t xml:space="preserve"> dashboard </w:t>
            </w:r>
          </w:p>
        </w:tc>
        <w:tc>
          <w:tcPr>
            <w:tcW w:w="12779" w:type="dxa"/>
            <w:gridSpan w:val="2"/>
            <w:tcBorders>
              <w:bottom w:val="single" w:sz="2" w:space="0" w:color="1D437F" w:themeColor="accent1"/>
            </w:tcBorders>
            <w:shd w:val="clear" w:color="auto" w:fill="FFFFFF" w:themeFill="background1"/>
            <w:tcMar>
              <w:top w:w="72" w:type="dxa"/>
              <w:left w:w="144" w:type="dxa"/>
              <w:bottom w:w="72" w:type="dxa"/>
              <w:right w:w="144" w:type="dxa"/>
            </w:tcMar>
          </w:tcPr>
          <w:p w14:paraId="0693CAB0" w14:textId="6C69DC19" w:rsidR="00AE02CD" w:rsidRPr="009D14F6" w:rsidRDefault="00AE02CD" w:rsidP="008505D7">
            <w:pPr>
              <w:pStyle w:val="ListParagraph"/>
              <w:numPr>
                <w:ilvl w:val="0"/>
                <w:numId w:val="51"/>
              </w:numPr>
              <w:rPr>
                <w:sz w:val="20"/>
                <w:szCs w:val="20"/>
                <w:lang w:eastAsia="en-AU"/>
              </w:rPr>
            </w:pPr>
            <w:r w:rsidRPr="009D14F6">
              <w:rPr>
                <w:sz w:val="20"/>
                <w:szCs w:val="20"/>
                <w:lang w:eastAsia="en-AU"/>
              </w:rPr>
              <w:t>Have a visual dashboard including information to communicate the status of health technologies moving through the HTA system and HTA system performance statistics. Includ</w:t>
            </w:r>
            <w:r w:rsidR="00257067" w:rsidRPr="009D14F6">
              <w:rPr>
                <w:sz w:val="20"/>
                <w:szCs w:val="20"/>
                <w:lang w:eastAsia="en-AU"/>
              </w:rPr>
              <w:t>ing</w:t>
            </w:r>
            <w:r w:rsidRPr="009D14F6">
              <w:rPr>
                <w:sz w:val="20"/>
                <w:szCs w:val="20"/>
                <w:lang w:eastAsia="en-AU"/>
              </w:rPr>
              <w:t xml:space="preserve"> information about timing of sponsor applications to overseas regulators, Therapeutic Goods Administration (TGA) and parallel pathway applications, PBAC submission and </w:t>
            </w:r>
            <w:r w:rsidR="008970F6">
              <w:rPr>
                <w:sz w:val="20"/>
                <w:szCs w:val="20"/>
                <w:lang w:eastAsia="en-AU"/>
              </w:rPr>
              <w:t xml:space="preserve">activities supporting </w:t>
            </w:r>
            <w:r w:rsidRPr="009D14F6">
              <w:rPr>
                <w:sz w:val="20"/>
                <w:szCs w:val="20"/>
                <w:lang w:eastAsia="en-AU"/>
              </w:rPr>
              <w:t>PBS listing. This should be available at the aggregate and individual drug level and be informed by horizon scanning</w:t>
            </w:r>
            <w:r w:rsidR="00CF3213">
              <w:rPr>
                <w:sz w:val="20"/>
                <w:szCs w:val="20"/>
                <w:lang w:eastAsia="en-AU"/>
              </w:rPr>
              <w:fldChar w:fldCharType="begin"/>
            </w:r>
            <w:r w:rsidR="00CF3213" w:rsidRPr="00E61E42">
              <w:rPr>
                <w:sz w:val="20"/>
                <w:szCs w:val="20"/>
                <w:lang w:eastAsia="en-AU"/>
              </w:rPr>
              <w:instrText xml:space="preserve"> XE "horizon scanning" \b </w:instrText>
            </w:r>
            <w:r w:rsidR="00CF3213">
              <w:rPr>
                <w:sz w:val="20"/>
                <w:szCs w:val="20"/>
                <w:lang w:eastAsia="en-AU"/>
              </w:rPr>
              <w:fldChar w:fldCharType="end"/>
            </w:r>
            <w:r w:rsidRPr="009D14F6">
              <w:rPr>
                <w:sz w:val="20"/>
                <w:szCs w:val="20"/>
                <w:lang w:eastAsia="en-AU"/>
              </w:rPr>
              <w:t xml:space="preserve"> where possible.</w:t>
            </w:r>
          </w:p>
          <w:p w14:paraId="76A573F6" w14:textId="29B5FD13" w:rsidR="00A868A5" w:rsidRPr="009D14F6" w:rsidDel="00120C42" w:rsidRDefault="00AE02CD" w:rsidP="008505D7">
            <w:pPr>
              <w:pStyle w:val="ListParagraph"/>
              <w:numPr>
                <w:ilvl w:val="0"/>
                <w:numId w:val="51"/>
              </w:numPr>
              <w:rPr>
                <w:sz w:val="20"/>
                <w:szCs w:val="20"/>
                <w:lang w:eastAsia="en-AU"/>
              </w:rPr>
            </w:pPr>
            <w:r w:rsidRPr="009D14F6">
              <w:rPr>
                <w:sz w:val="20"/>
                <w:szCs w:val="20"/>
                <w:lang w:eastAsia="en-AU"/>
              </w:rPr>
              <w:t>Make HTA websites easier to navigate accounting for different levels of knowledge</w:t>
            </w:r>
            <w:r w:rsidR="00F120E1">
              <w:rPr>
                <w:sz w:val="20"/>
                <w:szCs w:val="20"/>
                <w:lang w:eastAsia="en-AU"/>
              </w:rPr>
              <w:t>.</w:t>
            </w:r>
          </w:p>
        </w:tc>
      </w:tr>
      <w:tr w:rsidR="007F78E2" w:rsidRPr="006647C5" w14:paraId="1612E21B" w14:textId="77777777" w:rsidTr="00C93D28">
        <w:trPr>
          <w:trHeight w:val="325"/>
        </w:trPr>
        <w:tc>
          <w:tcPr>
            <w:tcW w:w="15735" w:type="dxa"/>
            <w:gridSpan w:val="5"/>
            <w:tcBorders>
              <w:top w:val="single" w:sz="2" w:space="0" w:color="1D437F" w:themeColor="accent1"/>
              <w:bottom w:val="single" w:sz="4" w:space="0" w:color="E7E6E6" w:themeColor="background2"/>
            </w:tcBorders>
            <w:shd w:val="clear" w:color="auto" w:fill="FFFFFF" w:themeFill="background1"/>
            <w:tcMar>
              <w:top w:w="72" w:type="dxa"/>
              <w:left w:w="144" w:type="dxa"/>
              <w:bottom w:w="72" w:type="dxa"/>
              <w:right w:w="144" w:type="dxa"/>
            </w:tcMar>
          </w:tcPr>
          <w:p w14:paraId="20B48197" w14:textId="71905381" w:rsidR="00B54445" w:rsidRPr="0075292E" w:rsidRDefault="00B54445" w:rsidP="008505D7">
            <w:pPr>
              <w:pStyle w:val="Heading6"/>
              <w:numPr>
                <w:ilvl w:val="1"/>
                <w:numId w:val="35"/>
              </w:numPr>
              <w:rPr>
                <w:rFonts w:eastAsia="Times New Roman" w:cs="Segoe UI"/>
                <w:color w:val="222A35"/>
                <w:kern w:val="24"/>
              </w:rPr>
            </w:pPr>
            <w:r w:rsidRPr="00687095">
              <w:rPr>
                <w:color w:val="1D437F" w:themeColor="accent1"/>
              </w:rPr>
              <w:t>Consumer, clinician and other stakeholder engagement and consideration in HTA</w:t>
            </w:r>
          </w:p>
        </w:tc>
      </w:tr>
      <w:tr w:rsidR="008D79F9" w:rsidRPr="006647C5" w14:paraId="42F41203" w14:textId="77777777" w:rsidTr="00534579">
        <w:trPr>
          <w:trHeight w:val="405"/>
        </w:trPr>
        <w:tc>
          <w:tcPr>
            <w:tcW w:w="1055" w:type="dxa"/>
            <w:shd w:val="clear" w:color="auto" w:fill="FFFFFF" w:themeFill="background1"/>
            <w:tcMar>
              <w:top w:w="72" w:type="dxa"/>
              <w:left w:w="144" w:type="dxa"/>
              <w:bottom w:w="72" w:type="dxa"/>
              <w:right w:w="144" w:type="dxa"/>
            </w:tcMar>
          </w:tcPr>
          <w:p w14:paraId="37B7D4CE" w14:textId="7EEB66A7" w:rsidR="008D79F9" w:rsidRPr="00310F4F" w:rsidRDefault="008D79F9"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7C784181" w14:textId="65052F9E" w:rsidR="008D79F9" w:rsidRPr="00310F4F" w:rsidRDefault="008D79F9" w:rsidP="00687095">
            <w:pPr>
              <w:pStyle w:val="Heading7"/>
              <w:keepNext w:val="0"/>
              <w:keepLines w:val="0"/>
              <w:rPr>
                <w:lang w:eastAsia="en-AU"/>
              </w:rPr>
            </w:pPr>
            <w:r w:rsidRPr="00310F4F">
              <w:rPr>
                <w:lang w:eastAsia="en-AU"/>
              </w:rPr>
              <w:t>Develop an engagement framework</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E570ABA" w14:textId="77777777" w:rsidR="008D79F9" w:rsidRDefault="008D79F9"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Development of an engagement framework which:</w:t>
            </w:r>
          </w:p>
          <w:p w14:paraId="6FE6C535" w14:textId="6602D7F7" w:rsidR="008D79F9" w:rsidRPr="00E61E42" w:rsidRDefault="008A180F" w:rsidP="008505D7">
            <w:pPr>
              <w:pStyle w:val="ListParagraph"/>
              <w:numPr>
                <w:ilvl w:val="0"/>
                <w:numId w:val="53"/>
              </w:numPr>
              <w:rPr>
                <w:sz w:val="20"/>
                <w:szCs w:val="20"/>
                <w:lang w:eastAsia="en-AU"/>
              </w:rPr>
            </w:pPr>
            <w:r>
              <w:rPr>
                <w:sz w:val="20"/>
                <w:szCs w:val="20"/>
                <w:lang w:eastAsia="en-AU"/>
              </w:rPr>
              <w:t>e</w:t>
            </w:r>
            <w:r w:rsidR="008D79F9" w:rsidRPr="00E61E42">
              <w:rPr>
                <w:sz w:val="20"/>
                <w:szCs w:val="20"/>
                <w:lang w:eastAsia="en-AU"/>
              </w:rPr>
              <w:t>stablishes the inclusion of consumers, clinicians and other relevant stakeholders (such as ACCHO representatives) earlier and more consistently throughout the HTA processes including: horizon scanning</w:t>
            </w:r>
            <w:r w:rsidR="00CF3213" w:rsidRPr="00E61E42">
              <w:rPr>
                <w:sz w:val="20"/>
                <w:szCs w:val="20"/>
                <w:lang w:eastAsia="en-AU"/>
              </w:rPr>
              <w:fldChar w:fldCharType="begin"/>
            </w:r>
            <w:r w:rsidR="00CF3213" w:rsidRPr="00E61E42">
              <w:rPr>
                <w:sz w:val="20"/>
                <w:szCs w:val="20"/>
                <w:lang w:eastAsia="en-AU"/>
              </w:rPr>
              <w:instrText xml:space="preserve"> XE "horizon scanning" \b </w:instrText>
            </w:r>
            <w:r w:rsidR="00CF3213" w:rsidRPr="00E61E42">
              <w:rPr>
                <w:sz w:val="20"/>
                <w:szCs w:val="20"/>
                <w:lang w:eastAsia="en-AU"/>
              </w:rPr>
              <w:fldChar w:fldCharType="end"/>
            </w:r>
            <w:r w:rsidR="008D79F9" w:rsidRPr="00E61E42">
              <w:rPr>
                <w:sz w:val="20"/>
                <w:szCs w:val="20"/>
                <w:lang w:eastAsia="en-AU"/>
              </w:rPr>
              <w:t xml:space="preserve">, pipeline analysis, early assessment, </w:t>
            </w:r>
            <w:r w:rsidR="00D83712" w:rsidRPr="00D83712">
              <w:rPr>
                <w:sz w:val="20"/>
                <w:szCs w:val="20"/>
                <w:lang w:eastAsia="en-AU"/>
              </w:rPr>
              <w:lastRenderedPageBreak/>
              <w:t xml:space="preserve">Population, Intervention, Comparator, and Outcome </w:t>
            </w:r>
            <w:r w:rsidR="00D83712">
              <w:rPr>
                <w:sz w:val="20"/>
                <w:szCs w:val="20"/>
                <w:lang w:eastAsia="en-AU"/>
              </w:rPr>
              <w:t>(</w:t>
            </w:r>
            <w:r w:rsidR="008D79F9" w:rsidRPr="00E61E42">
              <w:rPr>
                <w:sz w:val="20"/>
                <w:szCs w:val="20"/>
                <w:lang w:eastAsia="en-AU"/>
              </w:rPr>
              <w:t>PICO</w:t>
            </w:r>
            <w:r w:rsidR="00D83712">
              <w:rPr>
                <w:sz w:val="20"/>
                <w:szCs w:val="20"/>
                <w:lang w:eastAsia="en-AU"/>
              </w:rPr>
              <w:t>)</w:t>
            </w:r>
            <w:r w:rsidR="0068258A" w:rsidRPr="00E61E42">
              <w:rPr>
                <w:sz w:val="20"/>
                <w:szCs w:val="20"/>
                <w:lang w:eastAsia="en-AU"/>
              </w:rPr>
              <w:fldChar w:fldCharType="begin"/>
            </w:r>
            <w:r w:rsidR="0068258A" w:rsidRPr="00E61E42">
              <w:rPr>
                <w:sz w:val="20"/>
                <w:szCs w:val="20"/>
                <w:lang w:eastAsia="en-AU"/>
              </w:rPr>
              <w:instrText xml:space="preserve"> XE "PICO" \b </w:instrText>
            </w:r>
            <w:r w:rsidR="0068258A" w:rsidRPr="00E61E42">
              <w:rPr>
                <w:sz w:val="20"/>
                <w:szCs w:val="20"/>
                <w:lang w:eastAsia="en-AU"/>
              </w:rPr>
              <w:fldChar w:fldCharType="end"/>
            </w:r>
            <w:r w:rsidR="008D79F9" w:rsidRPr="00E61E42">
              <w:rPr>
                <w:sz w:val="20"/>
                <w:szCs w:val="20"/>
                <w:lang w:eastAsia="en-AU"/>
              </w:rPr>
              <w:t xml:space="preserve"> scoping workshops or pre-submission meetings to ensure that the PICO and HTA is addressing and including issues outcomes and populations relevant to consumers (for selected therapies), evaluation, appraisal committee, post market reviews, and disinvestment.</w:t>
            </w:r>
          </w:p>
          <w:p w14:paraId="5DB89C28" w14:textId="575C0015" w:rsidR="008D79F9" w:rsidRPr="00E61E42" w:rsidRDefault="0067498B" w:rsidP="008505D7">
            <w:pPr>
              <w:pStyle w:val="ListParagraph"/>
              <w:numPr>
                <w:ilvl w:val="0"/>
                <w:numId w:val="53"/>
              </w:numPr>
              <w:rPr>
                <w:sz w:val="20"/>
                <w:szCs w:val="20"/>
                <w:lang w:eastAsia="en-AU"/>
              </w:rPr>
            </w:pPr>
            <w:r>
              <w:rPr>
                <w:sz w:val="20"/>
                <w:szCs w:val="20"/>
                <w:lang w:eastAsia="en-AU"/>
              </w:rPr>
              <w:t>d</w:t>
            </w:r>
            <w:r w:rsidR="008D79F9" w:rsidRPr="00E61E42">
              <w:rPr>
                <w:sz w:val="20"/>
                <w:szCs w:val="20"/>
                <w:lang w:eastAsia="en-AU"/>
              </w:rPr>
              <w:t>escribes how and why engagement with all stakeholders (with a particular focus on consumers) is used across all HTA processes and how engagement is used to co-design new processes and tools arising from the HTA review.</w:t>
            </w:r>
          </w:p>
          <w:p w14:paraId="49F71885" w14:textId="017DC103" w:rsidR="008D79F9" w:rsidRPr="008E3879" w:rsidRDefault="0067498B" w:rsidP="008505D7">
            <w:pPr>
              <w:pStyle w:val="ListParagraph"/>
              <w:numPr>
                <w:ilvl w:val="0"/>
                <w:numId w:val="53"/>
              </w:numPr>
              <w:spacing w:after="0"/>
              <w:rPr>
                <w:rFonts w:eastAsia="Times New Roman" w:cs="Segoe UI"/>
                <w:color w:val="222A35"/>
                <w:kern w:val="24"/>
                <w:sz w:val="20"/>
                <w:szCs w:val="20"/>
                <w:lang w:eastAsia="en-AU"/>
              </w:rPr>
            </w:pPr>
            <w:r>
              <w:rPr>
                <w:sz w:val="20"/>
                <w:szCs w:val="20"/>
                <w:lang w:eastAsia="en-AU"/>
              </w:rPr>
              <w:t>i</w:t>
            </w:r>
            <w:r w:rsidR="008D79F9" w:rsidRPr="00E61E42">
              <w:rPr>
                <w:sz w:val="20"/>
                <w:szCs w:val="20"/>
                <w:lang w:eastAsia="en-AU"/>
              </w:rPr>
              <w:t xml:space="preserve">ntegrates key </w:t>
            </w:r>
            <w:r>
              <w:rPr>
                <w:sz w:val="20"/>
                <w:szCs w:val="20"/>
                <w:lang w:eastAsia="en-AU"/>
              </w:rPr>
              <w:t>outcomes</w:t>
            </w:r>
            <w:r w:rsidRPr="00E61E42">
              <w:rPr>
                <w:sz w:val="20"/>
                <w:szCs w:val="20"/>
                <w:lang w:eastAsia="en-AU"/>
              </w:rPr>
              <w:t xml:space="preserve"> </w:t>
            </w:r>
            <w:r w:rsidR="008D79F9" w:rsidRPr="00E61E42">
              <w:rPr>
                <w:sz w:val="20"/>
                <w:szCs w:val="20"/>
                <w:lang w:eastAsia="en-AU"/>
              </w:rPr>
              <w:t xml:space="preserve">of the </w:t>
            </w:r>
            <w:r w:rsidR="00B40A6E" w:rsidRPr="00EC6549">
              <w:rPr>
                <w:i/>
                <w:iCs/>
                <w:sz w:val="20"/>
                <w:szCs w:val="20"/>
                <w:lang w:eastAsia="en-AU"/>
              </w:rPr>
              <w:t xml:space="preserve">New </w:t>
            </w:r>
            <w:r w:rsidR="008D79F9" w:rsidRPr="00EC6549">
              <w:rPr>
                <w:i/>
                <w:sz w:val="20"/>
                <w:szCs w:val="20"/>
                <w:lang w:eastAsia="en-AU"/>
              </w:rPr>
              <w:t>Frontier</w:t>
            </w:r>
            <w:r w:rsidR="008D79F9" w:rsidRPr="00E61E42">
              <w:rPr>
                <w:sz w:val="20"/>
                <w:szCs w:val="20"/>
                <w:lang w:eastAsia="en-AU"/>
              </w:rPr>
              <w:t xml:space="preserve"> </w:t>
            </w:r>
            <w:r w:rsidR="00B40A6E">
              <w:rPr>
                <w:sz w:val="20"/>
                <w:szCs w:val="20"/>
                <w:lang w:eastAsia="en-AU"/>
              </w:rPr>
              <w:t>Inquiry</w:t>
            </w:r>
            <w:r w:rsidR="008D79F9" w:rsidRPr="00E61E42">
              <w:rPr>
                <w:sz w:val="20"/>
                <w:szCs w:val="20"/>
                <w:lang w:eastAsia="en-AU"/>
              </w:rPr>
              <w:t xml:space="preserve"> Report, </w:t>
            </w:r>
            <w:r w:rsidR="008D79F9" w:rsidRPr="00EC6549">
              <w:rPr>
                <w:i/>
                <w:sz w:val="20"/>
                <w:szCs w:val="20"/>
                <w:lang w:eastAsia="en-AU"/>
              </w:rPr>
              <w:t>Conversations for Change</w:t>
            </w:r>
            <w:r w:rsidR="008D79F9" w:rsidRPr="00E61E42">
              <w:rPr>
                <w:sz w:val="20"/>
                <w:szCs w:val="20"/>
                <w:lang w:eastAsia="en-AU"/>
              </w:rPr>
              <w:t xml:space="preserve"> consultation and report, the Consumer co-design project,</w:t>
            </w:r>
            <w:r w:rsidR="008D79F9">
              <w:rPr>
                <w:rFonts w:eastAsia="Times New Roman" w:cs="Segoe UI"/>
                <w:color w:val="222A35"/>
                <w:kern w:val="24"/>
                <w:sz w:val="20"/>
                <w:szCs w:val="20"/>
                <w:lang w:eastAsia="en-AU"/>
              </w:rPr>
              <w:t xml:space="preserve"> </w:t>
            </w:r>
            <w:r w:rsidR="008D79F9" w:rsidRPr="008E3879">
              <w:rPr>
                <w:rFonts w:eastAsia="Times New Roman" w:cs="Segoe UI"/>
                <w:color w:val="222A35"/>
                <w:kern w:val="24"/>
                <w:sz w:val="20"/>
                <w:szCs w:val="20"/>
                <w:lang w:eastAsia="en-AU"/>
              </w:rPr>
              <w:t xml:space="preserve">and </w:t>
            </w:r>
            <w:r w:rsidR="008D79F9">
              <w:rPr>
                <w:rFonts w:eastAsia="Times New Roman" w:cs="Segoe UI"/>
                <w:color w:val="222A35"/>
                <w:kern w:val="24"/>
                <w:sz w:val="20"/>
                <w:szCs w:val="20"/>
                <w:lang w:eastAsia="en-AU"/>
              </w:rPr>
              <w:t xml:space="preserve">the </w:t>
            </w:r>
            <w:r w:rsidR="008D79F9" w:rsidRPr="008E3879">
              <w:rPr>
                <w:rFonts w:eastAsia="Times New Roman" w:cs="Segoe UI"/>
                <w:color w:val="222A35"/>
                <w:kern w:val="24"/>
                <w:sz w:val="20"/>
                <w:szCs w:val="20"/>
                <w:lang w:eastAsia="en-AU"/>
              </w:rPr>
              <w:t>HTA Review literature analysis and consultations</w:t>
            </w:r>
            <w:r>
              <w:rPr>
                <w:rFonts w:eastAsia="Times New Roman" w:cs="Segoe UI"/>
                <w:color w:val="222A35"/>
                <w:kern w:val="24"/>
                <w:sz w:val="20"/>
                <w:szCs w:val="20"/>
                <w:lang w:eastAsia="en-AU"/>
              </w:rPr>
              <w:t>. This would include the following:</w:t>
            </w:r>
          </w:p>
          <w:p w14:paraId="27747B49" w14:textId="6678EFD2"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D79F9" w:rsidRPr="008E3879">
              <w:rPr>
                <w:rFonts w:eastAsia="Times New Roman" w:cs="Segoe UI"/>
                <w:color w:val="222A35"/>
                <w:kern w:val="24"/>
                <w:sz w:val="20"/>
                <w:szCs w:val="20"/>
                <w:lang w:eastAsia="en-AU"/>
              </w:rPr>
              <w:t>romot</w:t>
            </w:r>
            <w:r>
              <w:rPr>
                <w:rFonts w:eastAsia="Times New Roman" w:cs="Segoe UI"/>
                <w:color w:val="222A35"/>
                <w:kern w:val="24"/>
                <w:sz w:val="20"/>
                <w:szCs w:val="20"/>
                <w:lang w:eastAsia="en-AU"/>
              </w:rPr>
              <w:t>ing</w:t>
            </w:r>
            <w:r w:rsidR="008D79F9" w:rsidRPr="008E3879">
              <w:rPr>
                <w:rFonts w:eastAsia="Times New Roman" w:cs="Segoe UI"/>
                <w:color w:val="222A35"/>
                <w:kern w:val="24"/>
                <w:sz w:val="20"/>
                <w:szCs w:val="20"/>
                <w:lang w:eastAsia="en-AU"/>
              </w:rPr>
              <w:t xml:space="preserve"> consumer input into clinical trials and reduce duplication by asking sponsors to report any patient input or use of patient experience data in the research and development of the </w:t>
            </w:r>
            <w:proofErr w:type="gramStart"/>
            <w:r w:rsidR="008D79F9" w:rsidRPr="008E3879">
              <w:rPr>
                <w:rFonts w:eastAsia="Times New Roman" w:cs="Segoe UI"/>
                <w:color w:val="222A35"/>
                <w:kern w:val="24"/>
                <w:sz w:val="20"/>
                <w:szCs w:val="20"/>
                <w:lang w:eastAsia="en-AU"/>
              </w:rPr>
              <w:t>product</w:t>
            </w:r>
            <w:proofErr w:type="gramEnd"/>
          </w:p>
          <w:p w14:paraId="3AAA789C" w14:textId="489527AD"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D79F9" w:rsidRPr="008E3879">
              <w:rPr>
                <w:rFonts w:eastAsia="Times New Roman" w:cs="Segoe UI"/>
                <w:color w:val="222A35"/>
                <w:kern w:val="24"/>
                <w:sz w:val="20"/>
                <w:szCs w:val="20"/>
                <w:lang w:eastAsia="en-AU"/>
              </w:rPr>
              <w:t>ublic and consumer participant summary materials evolving from earliest engagement to final outcomes (including information about applications to support more targeted engagement)</w:t>
            </w:r>
          </w:p>
          <w:p w14:paraId="38E1D163" w14:textId="21DAD83B"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c</w:t>
            </w:r>
            <w:r w:rsidR="008D79F9" w:rsidRPr="008E3879">
              <w:rPr>
                <w:rFonts w:eastAsia="Times New Roman" w:cs="Segoe UI"/>
                <w:color w:val="222A35"/>
                <w:kern w:val="24"/>
                <w:sz w:val="20"/>
                <w:szCs w:val="20"/>
                <w:lang w:eastAsia="en-AU"/>
              </w:rPr>
              <w:t xml:space="preserve">reating a patient/clinician HTA subcommittee to provide information to the HTA </w:t>
            </w:r>
            <w:proofErr w:type="gramStart"/>
            <w:r w:rsidR="008D79F9" w:rsidRPr="008E3879">
              <w:rPr>
                <w:rFonts w:eastAsia="Times New Roman" w:cs="Segoe UI"/>
                <w:color w:val="222A35"/>
                <w:kern w:val="24"/>
                <w:sz w:val="20"/>
                <w:szCs w:val="20"/>
                <w:lang w:eastAsia="en-AU"/>
              </w:rPr>
              <w:t>committee</w:t>
            </w:r>
            <w:proofErr w:type="gramEnd"/>
            <w:r w:rsidR="008D79F9" w:rsidRPr="008E3879">
              <w:rPr>
                <w:rFonts w:eastAsia="Times New Roman" w:cs="Segoe UI"/>
                <w:color w:val="222A35"/>
                <w:kern w:val="24"/>
                <w:sz w:val="20"/>
                <w:szCs w:val="20"/>
                <w:lang w:eastAsia="en-AU"/>
              </w:rPr>
              <w:t xml:space="preserve"> </w:t>
            </w:r>
          </w:p>
          <w:p w14:paraId="08C58190" w14:textId="6D512110" w:rsidR="008D79F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D79F9" w:rsidRPr="009F12BA">
              <w:rPr>
                <w:rFonts w:eastAsia="Times New Roman" w:cs="Segoe UI"/>
                <w:color w:val="222A35"/>
                <w:kern w:val="24"/>
                <w:sz w:val="20"/>
                <w:szCs w:val="20"/>
                <w:lang w:eastAsia="en-AU"/>
              </w:rPr>
              <w:t xml:space="preserve">rovide information, support, education and training to support more meaningful </w:t>
            </w:r>
            <w:proofErr w:type="gramStart"/>
            <w:r w:rsidR="008D79F9" w:rsidRPr="009F12BA">
              <w:rPr>
                <w:rFonts w:eastAsia="Times New Roman" w:cs="Segoe UI"/>
                <w:color w:val="222A35"/>
                <w:kern w:val="24"/>
                <w:sz w:val="20"/>
                <w:szCs w:val="20"/>
                <w:lang w:eastAsia="en-AU"/>
              </w:rPr>
              <w:t>input</w:t>
            </w:r>
            <w:proofErr w:type="gramEnd"/>
            <w:r w:rsidR="008D79F9" w:rsidRPr="009F12BA">
              <w:rPr>
                <w:rFonts w:eastAsia="Times New Roman" w:cs="Segoe UI"/>
                <w:color w:val="222A35"/>
                <w:kern w:val="24"/>
                <w:sz w:val="20"/>
                <w:szCs w:val="20"/>
                <w:lang w:eastAsia="en-AU"/>
              </w:rPr>
              <w:t xml:space="preserve"> </w:t>
            </w:r>
          </w:p>
          <w:p w14:paraId="602A585E" w14:textId="5C6E6423"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r</w:t>
            </w:r>
            <w:r w:rsidR="008D79F9" w:rsidRPr="008E3879">
              <w:rPr>
                <w:rFonts w:eastAsia="Times New Roman" w:cs="Segoe UI"/>
                <w:color w:val="222A35"/>
                <w:kern w:val="24"/>
                <w:sz w:val="20"/>
                <w:szCs w:val="20"/>
                <w:lang w:eastAsia="en-AU"/>
              </w:rPr>
              <w:t>eporting to groups about how their input has been used (such as through a values framework and briefings)</w:t>
            </w:r>
          </w:p>
          <w:p w14:paraId="538CFD1E" w14:textId="51BC331D"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i</w:t>
            </w:r>
            <w:r w:rsidR="008D79F9" w:rsidRPr="008E3879">
              <w:rPr>
                <w:rFonts w:eastAsia="Times New Roman" w:cs="Segoe UI"/>
                <w:color w:val="222A35"/>
                <w:kern w:val="24"/>
                <w:sz w:val="20"/>
                <w:szCs w:val="20"/>
                <w:lang w:eastAsia="en-AU"/>
              </w:rPr>
              <w:t>nvit</w:t>
            </w:r>
            <w:r>
              <w:rPr>
                <w:rFonts w:eastAsia="Times New Roman" w:cs="Segoe UI"/>
                <w:color w:val="222A35"/>
                <w:kern w:val="24"/>
                <w:sz w:val="20"/>
                <w:szCs w:val="20"/>
                <w:lang w:eastAsia="en-AU"/>
              </w:rPr>
              <w:t>ing</w:t>
            </w:r>
            <w:r w:rsidR="008D79F9" w:rsidRPr="008E3879">
              <w:rPr>
                <w:rFonts w:eastAsia="Times New Roman" w:cs="Segoe UI"/>
                <w:color w:val="222A35"/>
                <w:kern w:val="24"/>
                <w:sz w:val="20"/>
                <w:szCs w:val="20"/>
                <w:lang w:eastAsia="en-AU"/>
              </w:rPr>
              <w:t xml:space="preserve"> consumer inputs into how the technology is/will be used in the community (post-market reviews)</w:t>
            </w:r>
          </w:p>
          <w:p w14:paraId="62D7421C" w14:textId="193E46D9"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a</w:t>
            </w:r>
            <w:r w:rsidR="008D79F9" w:rsidRPr="008E3879">
              <w:rPr>
                <w:rFonts w:eastAsia="Times New Roman" w:cs="Segoe UI"/>
                <w:color w:val="222A35"/>
                <w:kern w:val="24"/>
                <w:sz w:val="20"/>
                <w:szCs w:val="20"/>
                <w:lang w:eastAsia="en-AU"/>
              </w:rPr>
              <w:t xml:space="preserve">dequate resourcing of proactive engagement: Address inequity of engagement by identifying consumer </w:t>
            </w:r>
            <w:r w:rsidR="00AA187F" w:rsidRPr="008E3879">
              <w:rPr>
                <w:rFonts w:eastAsia="Times New Roman" w:cs="Segoe UI"/>
                <w:color w:val="222A35"/>
                <w:kern w:val="24"/>
                <w:sz w:val="20"/>
                <w:szCs w:val="20"/>
                <w:lang w:eastAsia="en-AU"/>
              </w:rPr>
              <w:t>subgroups</w:t>
            </w:r>
            <w:r w:rsidR="008D79F9" w:rsidRPr="008E3879">
              <w:rPr>
                <w:rFonts w:eastAsia="Times New Roman" w:cs="Segoe UI"/>
                <w:color w:val="222A35"/>
                <w:kern w:val="24"/>
                <w:sz w:val="20"/>
                <w:szCs w:val="20"/>
                <w:lang w:eastAsia="en-AU"/>
              </w:rPr>
              <w:t xml:space="preserve"> that do not engage with online portal and work with them to co-design appropriate engagement </w:t>
            </w:r>
            <w:proofErr w:type="gramStart"/>
            <w:r w:rsidR="008D79F9" w:rsidRPr="008E3879">
              <w:rPr>
                <w:rFonts w:eastAsia="Times New Roman" w:cs="Segoe UI"/>
                <w:color w:val="222A35"/>
                <w:kern w:val="24"/>
                <w:sz w:val="20"/>
                <w:szCs w:val="20"/>
                <w:lang w:eastAsia="en-AU"/>
              </w:rPr>
              <w:t>approaches</w:t>
            </w:r>
            <w:proofErr w:type="gramEnd"/>
          </w:p>
          <w:p w14:paraId="771020AF" w14:textId="2CCEFFE8"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c</w:t>
            </w:r>
            <w:r w:rsidR="008D79F9" w:rsidRPr="008E3879">
              <w:rPr>
                <w:rFonts w:eastAsia="Times New Roman" w:cs="Segoe UI"/>
                <w:color w:val="222A35"/>
                <w:kern w:val="24"/>
                <w:sz w:val="20"/>
                <w:szCs w:val="20"/>
                <w:lang w:eastAsia="en-AU"/>
              </w:rPr>
              <w:t xml:space="preserve">lear and transparent guidance about how input should be prepared and is used by </w:t>
            </w:r>
            <w:proofErr w:type="gramStart"/>
            <w:r w:rsidR="008D79F9" w:rsidRPr="008E3879">
              <w:rPr>
                <w:rFonts w:eastAsia="Times New Roman" w:cs="Segoe UI"/>
                <w:color w:val="222A35"/>
                <w:kern w:val="24"/>
                <w:sz w:val="20"/>
                <w:szCs w:val="20"/>
                <w:lang w:eastAsia="en-AU"/>
              </w:rPr>
              <w:t>committees</w:t>
            </w:r>
            <w:proofErr w:type="gramEnd"/>
          </w:p>
          <w:p w14:paraId="40C2C4B9" w14:textId="1C3C2A0B"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a</w:t>
            </w:r>
            <w:r w:rsidR="008D79F9" w:rsidRPr="008E3879">
              <w:rPr>
                <w:rFonts w:eastAsia="Times New Roman" w:cs="Segoe UI"/>
                <w:color w:val="222A35"/>
                <w:kern w:val="24"/>
                <w:sz w:val="20"/>
                <w:szCs w:val="20"/>
                <w:lang w:eastAsia="en-AU"/>
              </w:rPr>
              <w:t>doption of a consumer navigator for selected topics</w:t>
            </w:r>
          </w:p>
          <w:p w14:paraId="0B01BD75" w14:textId="4B25BBC4"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c</w:t>
            </w:r>
            <w:r w:rsidR="008D79F9" w:rsidRPr="008E3879">
              <w:rPr>
                <w:rFonts w:eastAsia="Times New Roman" w:cs="Segoe UI"/>
                <w:color w:val="222A35"/>
                <w:kern w:val="24"/>
                <w:sz w:val="20"/>
                <w:szCs w:val="20"/>
                <w:lang w:eastAsia="en-AU"/>
              </w:rPr>
              <w:t>onsumer participation in HTA committee meetings</w:t>
            </w:r>
          </w:p>
          <w:p w14:paraId="5CCDF995" w14:textId="01A12AE5" w:rsidR="008D79F9" w:rsidRPr="008E3879"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D79F9" w:rsidRPr="008E3879">
              <w:rPr>
                <w:rFonts w:eastAsia="Times New Roman" w:cs="Segoe UI"/>
                <w:color w:val="222A35"/>
                <w:kern w:val="24"/>
                <w:sz w:val="20"/>
                <w:szCs w:val="20"/>
                <w:lang w:eastAsia="en-AU"/>
              </w:rPr>
              <w:t>rocess for continuous improvement and review</w:t>
            </w:r>
          </w:p>
          <w:p w14:paraId="2C75EC39" w14:textId="1EF73AC2" w:rsidR="008D79F9" w:rsidRPr="0075292E" w:rsidRDefault="00305C32" w:rsidP="008C10BB">
            <w:pPr>
              <w:numPr>
                <w:ilvl w:val="0"/>
                <w:numId w:val="3"/>
              </w:numPr>
              <w:spacing w:after="0"/>
              <w:ind w:left="737" w:hanging="340"/>
              <w:rPr>
                <w:rFonts w:eastAsia="Times New Roman" w:cs="Segoe UI"/>
                <w:color w:val="222A35"/>
                <w:kern w:val="24"/>
                <w:sz w:val="20"/>
                <w:szCs w:val="20"/>
                <w:lang w:eastAsia="en-AU"/>
              </w:rPr>
            </w:pPr>
            <w:r>
              <w:rPr>
                <w:rFonts w:eastAsia="Times New Roman" w:cs="Segoe UI"/>
                <w:color w:val="222A35"/>
                <w:kern w:val="24"/>
                <w:sz w:val="20"/>
                <w:szCs w:val="20"/>
                <w:lang w:eastAsia="en-AU"/>
              </w:rPr>
              <w:t>a</w:t>
            </w:r>
            <w:r w:rsidR="008D79F9" w:rsidRPr="008E3879">
              <w:rPr>
                <w:rFonts w:eastAsia="Times New Roman" w:cs="Segoe UI"/>
                <w:color w:val="222A35"/>
                <w:kern w:val="24"/>
                <w:sz w:val="20"/>
                <w:szCs w:val="20"/>
                <w:lang w:eastAsia="en-AU"/>
              </w:rPr>
              <w:t>pproaches for managing confidentiality and conflicts of</w:t>
            </w:r>
            <w:r w:rsidR="008D79F9">
              <w:rPr>
                <w:rFonts w:eastAsia="Times New Roman" w:cs="Segoe UI"/>
                <w:color w:val="222A35"/>
                <w:kern w:val="24"/>
                <w:sz w:val="20"/>
                <w:szCs w:val="20"/>
                <w:lang w:eastAsia="en-AU"/>
              </w:rPr>
              <w:t xml:space="preserve"> interest</w:t>
            </w:r>
          </w:p>
        </w:tc>
      </w:tr>
      <w:tr w:rsidR="00AF66B6" w:rsidRPr="006647C5" w14:paraId="15331969" w14:textId="77777777" w:rsidTr="00534579">
        <w:trPr>
          <w:trHeight w:val="996"/>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57206BF6" w14:textId="0814FB4E" w:rsidR="00AF66B6" w:rsidRPr="006647C5" w:rsidRDefault="00AF66B6" w:rsidP="008C10BB">
            <w:pPr>
              <w:spacing w:after="120"/>
              <w:ind w:left="-148"/>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41E74712" w14:textId="70C1C61E" w:rsidR="00AF66B6" w:rsidRPr="006647C5" w:rsidRDefault="00AF66B6" w:rsidP="00687095">
            <w:pPr>
              <w:pStyle w:val="Heading7"/>
              <w:keepNext w:val="0"/>
              <w:keepLines w:val="0"/>
              <w:rPr>
                <w:rFonts w:eastAsia="Times New Roman"/>
                <w:color w:val="222A35"/>
                <w:kern w:val="24"/>
                <w:lang w:eastAsia="en-AU"/>
              </w:rPr>
            </w:pPr>
            <w:r>
              <w:rPr>
                <w:rStyle w:val="cf01"/>
                <w:sz w:val="20"/>
                <w:szCs w:val="20"/>
              </w:rPr>
              <w:t>S</w:t>
            </w:r>
            <w:r w:rsidRPr="00F113DB">
              <w:rPr>
                <w:rStyle w:val="cf01"/>
                <w:sz w:val="20"/>
                <w:szCs w:val="20"/>
              </w:rPr>
              <w:t>trengthen consumer evidence</w:t>
            </w:r>
            <w:r w:rsidR="00B40903">
              <w:rPr>
                <w:rStyle w:val="cf01"/>
                <w:sz w:val="20"/>
                <w:szCs w:val="20"/>
              </w:rPr>
              <w:fldChar w:fldCharType="begin"/>
            </w:r>
            <w:r w:rsidR="00B40903">
              <w:instrText xml:space="preserve"> XE "</w:instrText>
            </w:r>
            <w:r w:rsidR="00B40903" w:rsidRPr="00E62860">
              <w:rPr>
                <w:rStyle w:val="cf01"/>
                <w:sz w:val="20"/>
                <w:szCs w:val="20"/>
              </w:rPr>
              <w:instrText>consumer evidence</w:instrText>
            </w:r>
            <w:r w:rsidR="00B40903">
              <w:instrText xml:space="preserve">" \b </w:instrText>
            </w:r>
            <w:r w:rsidR="00B40903">
              <w:rPr>
                <w:rStyle w:val="cf01"/>
                <w:sz w:val="20"/>
                <w:szCs w:val="20"/>
              </w:rPr>
              <w:fldChar w:fldCharType="end"/>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498A3C67" w14:textId="7C1DA164" w:rsidR="00AF66B6" w:rsidRPr="00F113DB" w:rsidRDefault="00AF66B6" w:rsidP="008505D7">
            <w:pPr>
              <w:pStyle w:val="ListParagraph"/>
              <w:numPr>
                <w:ilvl w:val="0"/>
                <w:numId w:val="57"/>
              </w:numPr>
              <w:spacing w:after="0"/>
              <w:rPr>
                <w:rFonts w:cs="Segoe UI"/>
                <w:sz w:val="20"/>
                <w:szCs w:val="20"/>
              </w:rPr>
            </w:pPr>
            <w:r w:rsidRPr="00F113DB">
              <w:rPr>
                <w:rStyle w:val="cf01"/>
                <w:sz w:val="20"/>
                <w:szCs w:val="20"/>
              </w:rPr>
              <w:t>In addition to a consumer engagement</w:t>
            </w:r>
            <w:r w:rsidR="001958F5">
              <w:rPr>
                <w:rStyle w:val="cf01"/>
                <w:sz w:val="20"/>
                <w:szCs w:val="20"/>
              </w:rPr>
              <w:fldChar w:fldCharType="begin"/>
            </w:r>
            <w:r w:rsidR="001958F5">
              <w:instrText xml:space="preserve"> XE "</w:instrText>
            </w:r>
            <w:r w:rsidR="001958F5" w:rsidRPr="002D7ECA">
              <w:rPr>
                <w:rStyle w:val="cf01"/>
                <w:sz w:val="20"/>
                <w:szCs w:val="20"/>
              </w:rPr>
              <w:instrText>consumer engagement</w:instrText>
            </w:r>
            <w:r w:rsidR="001958F5">
              <w:instrText xml:space="preserve">" \b </w:instrText>
            </w:r>
            <w:r w:rsidR="001958F5">
              <w:rPr>
                <w:rStyle w:val="cf01"/>
                <w:sz w:val="20"/>
                <w:szCs w:val="20"/>
              </w:rPr>
              <w:fldChar w:fldCharType="end"/>
            </w:r>
            <w:r w:rsidRPr="00F113DB">
              <w:rPr>
                <w:rStyle w:val="cf01"/>
                <w:sz w:val="20"/>
                <w:szCs w:val="20"/>
              </w:rPr>
              <w:t xml:space="preserve"> framework, strengthen consumer evidence</w:t>
            </w:r>
            <w:r w:rsidR="00342B27">
              <w:rPr>
                <w:rStyle w:val="cf01"/>
                <w:sz w:val="20"/>
                <w:szCs w:val="20"/>
              </w:rPr>
              <w:t xml:space="preserve"> collection and utilisation</w:t>
            </w:r>
            <w:r w:rsidR="00B40903">
              <w:rPr>
                <w:rStyle w:val="cf01"/>
                <w:sz w:val="20"/>
                <w:szCs w:val="20"/>
              </w:rPr>
              <w:fldChar w:fldCharType="begin"/>
            </w:r>
            <w:r w:rsidR="00B40903">
              <w:instrText xml:space="preserve"> XE "</w:instrText>
            </w:r>
            <w:r w:rsidR="00B40903" w:rsidRPr="00E62860">
              <w:rPr>
                <w:rStyle w:val="cf01"/>
                <w:sz w:val="20"/>
                <w:szCs w:val="20"/>
              </w:rPr>
              <w:instrText>consumer evidence</w:instrText>
            </w:r>
            <w:r w:rsidR="00B40903">
              <w:instrText xml:space="preserve">" \b </w:instrText>
            </w:r>
            <w:r w:rsidR="00B40903">
              <w:rPr>
                <w:rStyle w:val="cf01"/>
                <w:sz w:val="20"/>
                <w:szCs w:val="20"/>
              </w:rPr>
              <w:fldChar w:fldCharType="end"/>
            </w:r>
            <w:r w:rsidRPr="00F113DB">
              <w:rPr>
                <w:rStyle w:val="cf01"/>
                <w:sz w:val="20"/>
                <w:szCs w:val="20"/>
              </w:rPr>
              <w:t xml:space="preserve"> by:</w:t>
            </w:r>
          </w:p>
          <w:p w14:paraId="573C0F56" w14:textId="739851CF" w:rsidR="00AF66B6" w:rsidRPr="00C4291E" w:rsidRDefault="006C0C00" w:rsidP="008C10BB">
            <w:pPr>
              <w:pStyle w:val="ListParagraph"/>
              <w:numPr>
                <w:ilvl w:val="0"/>
                <w:numId w:val="4"/>
              </w:numPr>
              <w:spacing w:after="0"/>
              <w:ind w:left="782" w:hanging="425"/>
              <w:rPr>
                <w:rFonts w:eastAsia="Times New Roman" w:cs="Segoe UI"/>
                <w:color w:val="222A35"/>
                <w:kern w:val="24"/>
                <w:sz w:val="20"/>
                <w:szCs w:val="20"/>
                <w:lang w:eastAsia="en-AU"/>
              </w:rPr>
            </w:pPr>
            <w:r>
              <w:rPr>
                <w:rFonts w:eastAsia="Times New Roman" w:cs="Segoe UI"/>
                <w:color w:val="222A35"/>
                <w:kern w:val="24"/>
                <w:sz w:val="20"/>
                <w:szCs w:val="20"/>
                <w:lang w:eastAsia="en-AU"/>
              </w:rPr>
              <w:t>a</w:t>
            </w:r>
            <w:r w:rsidR="00AF66B6" w:rsidRPr="00DF0E85">
              <w:rPr>
                <w:rFonts w:eastAsia="Times New Roman" w:cs="Segoe UI"/>
                <w:color w:val="222A35"/>
                <w:kern w:val="24"/>
                <w:sz w:val="20"/>
                <w:szCs w:val="20"/>
                <w:lang w:eastAsia="en-AU"/>
              </w:rPr>
              <w:t xml:space="preserve">dding additional guidance to the PBAC guidelines on the preparation and use of </w:t>
            </w:r>
            <w:r w:rsidR="00E66B7C" w:rsidRPr="00EC6549">
              <w:rPr>
                <w:rFonts w:eastAsia="Times New Roman" w:cs="Segoe UI"/>
                <w:color w:val="222A35"/>
                <w:kern w:val="24"/>
                <w:sz w:val="20"/>
                <w:szCs w:val="20"/>
                <w:lang w:eastAsia="en-AU"/>
              </w:rPr>
              <w:t>R</w:t>
            </w:r>
            <w:r w:rsidR="00AF66B6" w:rsidRPr="00EC6549">
              <w:rPr>
                <w:rFonts w:eastAsia="Times New Roman" w:cs="Segoe UI"/>
                <w:color w:val="222A35"/>
                <w:kern w:val="24"/>
                <w:sz w:val="20"/>
                <w:szCs w:val="20"/>
                <w:lang w:eastAsia="en-AU"/>
              </w:rPr>
              <w:t>eal-</w:t>
            </w:r>
            <w:r w:rsidR="00E66B7C" w:rsidRPr="00EC6549">
              <w:rPr>
                <w:rFonts w:eastAsia="Times New Roman" w:cs="Segoe UI"/>
                <w:color w:val="222A35"/>
                <w:kern w:val="24"/>
                <w:sz w:val="20"/>
                <w:szCs w:val="20"/>
                <w:lang w:eastAsia="en-AU"/>
              </w:rPr>
              <w:t>W</w:t>
            </w:r>
            <w:r w:rsidR="00AF66B6" w:rsidRPr="00EC6549">
              <w:rPr>
                <w:rFonts w:eastAsia="Times New Roman" w:cs="Segoe UI"/>
                <w:color w:val="222A35"/>
                <w:kern w:val="24"/>
                <w:sz w:val="20"/>
                <w:szCs w:val="20"/>
                <w:lang w:eastAsia="en-AU"/>
              </w:rPr>
              <w:t xml:space="preserve">orld </w:t>
            </w:r>
            <w:r w:rsidR="00E66B7C" w:rsidRPr="00EC6549">
              <w:rPr>
                <w:rFonts w:eastAsia="Times New Roman" w:cs="Segoe UI"/>
                <w:color w:val="222A35"/>
                <w:kern w:val="24"/>
                <w:sz w:val="20"/>
                <w:szCs w:val="20"/>
                <w:lang w:eastAsia="en-AU"/>
              </w:rPr>
              <w:t>E</w:t>
            </w:r>
            <w:r w:rsidR="00AF66B6" w:rsidRPr="00EC6549">
              <w:rPr>
                <w:rFonts w:eastAsia="Times New Roman" w:cs="Segoe UI"/>
                <w:color w:val="222A35"/>
                <w:kern w:val="24"/>
                <w:sz w:val="20"/>
                <w:szCs w:val="20"/>
                <w:lang w:eastAsia="en-AU"/>
              </w:rPr>
              <w:t>vidence</w:t>
            </w:r>
            <w:r w:rsidR="006B6D57" w:rsidRPr="00C4291E">
              <w:rPr>
                <w:rFonts w:eastAsia="Times New Roman" w:cs="Segoe UI"/>
                <w:color w:val="222A35"/>
                <w:kern w:val="24"/>
                <w:sz w:val="20"/>
                <w:szCs w:val="20"/>
                <w:lang w:eastAsia="en-AU"/>
              </w:rPr>
              <w:t xml:space="preserve"> (RWE)</w:t>
            </w:r>
            <w:r w:rsidR="00B57BCC" w:rsidRPr="00C4291E">
              <w:rPr>
                <w:rFonts w:eastAsia="Times New Roman" w:cs="Segoe UI"/>
                <w:color w:val="222A35"/>
                <w:kern w:val="24"/>
                <w:sz w:val="20"/>
                <w:szCs w:val="20"/>
                <w:lang w:eastAsia="en-AU"/>
              </w:rPr>
              <w:fldChar w:fldCharType="begin"/>
            </w:r>
            <w:r w:rsidR="00B57BCC" w:rsidRPr="00C4291E">
              <w:rPr>
                <w:rFonts w:eastAsia="Times New Roman" w:cs="Segoe UI"/>
                <w:color w:val="222A35"/>
                <w:kern w:val="24"/>
                <w:sz w:val="20"/>
                <w:szCs w:val="20"/>
                <w:lang w:eastAsia="en-AU"/>
              </w:rPr>
              <w:instrText xml:space="preserve"> XE "real-world evidence" \b </w:instrText>
            </w:r>
            <w:r w:rsidR="00B57BCC" w:rsidRPr="00C4291E">
              <w:rPr>
                <w:rFonts w:eastAsia="Times New Roman" w:cs="Segoe UI"/>
                <w:color w:val="222A35"/>
                <w:kern w:val="24"/>
                <w:sz w:val="20"/>
                <w:szCs w:val="20"/>
                <w:lang w:eastAsia="en-AU"/>
              </w:rPr>
              <w:fldChar w:fldCharType="end"/>
            </w:r>
            <w:r w:rsidR="00AF66B6" w:rsidRPr="00C4291E">
              <w:rPr>
                <w:rFonts w:eastAsia="Times New Roman" w:cs="Segoe UI"/>
                <w:color w:val="222A35"/>
                <w:kern w:val="24"/>
                <w:sz w:val="20"/>
                <w:szCs w:val="20"/>
                <w:lang w:eastAsia="en-AU"/>
              </w:rPr>
              <w:t>, consumer evidence</w:t>
            </w:r>
            <w:r w:rsidR="00B40903" w:rsidRPr="00C4291E">
              <w:rPr>
                <w:rFonts w:eastAsia="Times New Roman" w:cs="Segoe UI"/>
                <w:color w:val="222A35"/>
                <w:kern w:val="24"/>
                <w:sz w:val="20"/>
                <w:szCs w:val="20"/>
                <w:lang w:eastAsia="en-AU"/>
              </w:rPr>
              <w:fldChar w:fldCharType="begin"/>
            </w:r>
            <w:r w:rsidR="00B40903" w:rsidRPr="00C4291E">
              <w:rPr>
                <w:rFonts w:eastAsia="Times New Roman" w:cs="Segoe UI"/>
                <w:color w:val="222A35"/>
                <w:kern w:val="24"/>
                <w:sz w:val="20"/>
                <w:szCs w:val="20"/>
                <w:lang w:eastAsia="en-AU"/>
              </w:rPr>
              <w:instrText xml:space="preserve"> XE "</w:instrText>
            </w:r>
            <w:r w:rsidR="00B40903" w:rsidRPr="00C4291E">
              <w:rPr>
                <w:rFonts w:eastAsia="Times New Roman"/>
                <w:color w:val="222A35"/>
                <w:kern w:val="24"/>
                <w:lang w:eastAsia="en-AU"/>
              </w:rPr>
              <w:instrText>consumer evidence</w:instrText>
            </w:r>
            <w:r w:rsidR="00B40903" w:rsidRPr="00C4291E">
              <w:rPr>
                <w:rFonts w:eastAsia="Times New Roman" w:cs="Segoe UI"/>
                <w:color w:val="222A35"/>
                <w:kern w:val="24"/>
                <w:sz w:val="20"/>
                <w:szCs w:val="20"/>
                <w:lang w:eastAsia="en-AU"/>
              </w:rPr>
              <w:instrText xml:space="preserve">" \b </w:instrText>
            </w:r>
            <w:r w:rsidR="00B40903" w:rsidRPr="00C4291E">
              <w:rPr>
                <w:rFonts w:eastAsia="Times New Roman" w:cs="Segoe UI"/>
                <w:color w:val="222A35"/>
                <w:kern w:val="24"/>
                <w:sz w:val="20"/>
                <w:szCs w:val="20"/>
                <w:lang w:eastAsia="en-AU"/>
              </w:rPr>
              <w:fldChar w:fldCharType="end"/>
            </w:r>
            <w:r w:rsidR="00AF66B6" w:rsidRPr="00C4291E">
              <w:rPr>
                <w:rFonts w:eastAsia="Times New Roman" w:cs="Segoe UI"/>
                <w:color w:val="222A35"/>
                <w:kern w:val="24"/>
                <w:sz w:val="20"/>
                <w:szCs w:val="20"/>
                <w:lang w:eastAsia="en-AU"/>
              </w:rPr>
              <w:t xml:space="preserve"> (qualitative, Patient Reported Outcome Measures (PROMs, preferences, Patient Reported Experience Measures (PREMs) and equity</w:t>
            </w:r>
            <w:r w:rsidR="00A67FBB" w:rsidRPr="00C4291E">
              <w:rPr>
                <w:rFonts w:eastAsia="Times New Roman" w:cs="Segoe UI"/>
                <w:color w:val="222A35"/>
                <w:sz w:val="20"/>
                <w:szCs w:val="20"/>
                <w:lang w:eastAsia="en-AU"/>
              </w:rPr>
              <w:fldChar w:fldCharType="begin"/>
            </w:r>
            <w:r w:rsidR="00A67FBB" w:rsidRPr="00C4291E">
              <w:rPr>
                <w:rFonts w:eastAsia="Times New Roman" w:cs="Segoe UI"/>
                <w:color w:val="222A35"/>
                <w:sz w:val="20"/>
                <w:szCs w:val="20"/>
                <w:lang w:eastAsia="en-AU"/>
              </w:rPr>
              <w:instrText xml:space="preserve"> XE "</w:instrText>
            </w:r>
            <w:r w:rsidR="00A67FBB" w:rsidRPr="00C4291E">
              <w:rPr>
                <w:rFonts w:eastAsia="Times New Roman" w:cs="Segoe UI"/>
                <w:color w:val="222A35"/>
                <w:kern w:val="24"/>
                <w:sz w:val="20"/>
                <w:szCs w:val="20"/>
                <w:lang w:eastAsia="en-AU"/>
              </w:rPr>
              <w:instrText>equity</w:instrText>
            </w:r>
            <w:r w:rsidR="00A67FBB" w:rsidRPr="00C4291E">
              <w:rPr>
                <w:rFonts w:eastAsia="Times New Roman" w:cs="Segoe UI"/>
                <w:color w:val="222A35"/>
                <w:sz w:val="20"/>
                <w:szCs w:val="20"/>
                <w:lang w:eastAsia="en-AU"/>
              </w:rPr>
              <w:instrText xml:space="preserve">" </w:instrText>
            </w:r>
            <w:r w:rsidR="00A67FBB" w:rsidRPr="00C4291E">
              <w:rPr>
                <w:rFonts w:eastAsia="Times New Roman" w:cs="Segoe UI"/>
                <w:color w:val="222A35"/>
                <w:sz w:val="20"/>
                <w:szCs w:val="20"/>
                <w:lang w:eastAsia="en-AU"/>
              </w:rPr>
              <w:fldChar w:fldCharType="end"/>
            </w:r>
            <w:r w:rsidR="00AF66B6" w:rsidRPr="00C4291E">
              <w:rPr>
                <w:rFonts w:eastAsia="Times New Roman" w:cs="Segoe UI"/>
                <w:color w:val="222A35"/>
                <w:kern w:val="24"/>
                <w:sz w:val="20"/>
                <w:szCs w:val="20"/>
                <w:lang w:eastAsia="en-AU"/>
              </w:rPr>
              <w:t xml:space="preserve"> in health (note this is detailed in clinical evaluation recommendations)</w:t>
            </w:r>
          </w:p>
          <w:p w14:paraId="362540DE" w14:textId="11C169B8" w:rsidR="00AF66B6" w:rsidRPr="00C4291E" w:rsidRDefault="006C0C00" w:rsidP="008C10BB">
            <w:pPr>
              <w:pStyle w:val="ListParagraph"/>
              <w:numPr>
                <w:ilvl w:val="0"/>
                <w:numId w:val="4"/>
              </w:numPr>
              <w:spacing w:after="0"/>
              <w:ind w:left="782" w:hanging="425"/>
              <w:rPr>
                <w:rFonts w:eastAsia="Times New Roman" w:cs="Segoe UI"/>
                <w:color w:val="222A35"/>
                <w:kern w:val="24"/>
                <w:sz w:val="20"/>
                <w:szCs w:val="20"/>
                <w:lang w:eastAsia="en-AU"/>
              </w:rPr>
            </w:pPr>
            <w:r w:rsidRPr="00C4291E">
              <w:rPr>
                <w:rFonts w:eastAsia="Times New Roman" w:cs="Segoe UI"/>
                <w:color w:val="222A35"/>
                <w:sz w:val="20"/>
                <w:szCs w:val="20"/>
                <w:lang w:eastAsia="en-AU"/>
              </w:rPr>
              <w:t>g</w:t>
            </w:r>
            <w:r w:rsidR="00AF66B6" w:rsidRPr="00C4291E">
              <w:rPr>
                <w:rFonts w:eastAsia="Times New Roman" w:cs="Segoe UI"/>
                <w:color w:val="222A35"/>
                <w:kern w:val="24"/>
                <w:sz w:val="20"/>
                <w:szCs w:val="20"/>
                <w:lang w:eastAsia="en-AU"/>
              </w:rPr>
              <w:t>enerating a curated list of methodologies that are preferred by decision-makers, including an explanation for consumers (note this is detailed in clinical evaluation recommendations)</w:t>
            </w:r>
          </w:p>
          <w:p w14:paraId="4E364A55" w14:textId="31721720" w:rsidR="00AF66B6" w:rsidRPr="00DF0E85" w:rsidRDefault="006C0C00" w:rsidP="008C10BB">
            <w:pPr>
              <w:pStyle w:val="ListParagraph"/>
              <w:numPr>
                <w:ilvl w:val="0"/>
                <w:numId w:val="4"/>
              </w:numPr>
              <w:spacing w:after="0"/>
              <w:ind w:left="782" w:hanging="425"/>
              <w:rPr>
                <w:rFonts w:eastAsia="Times New Roman" w:cs="Segoe UI"/>
                <w:color w:val="222A35"/>
                <w:kern w:val="24"/>
                <w:sz w:val="20"/>
                <w:szCs w:val="20"/>
                <w:lang w:eastAsia="en-AU"/>
              </w:rPr>
            </w:pPr>
            <w:r w:rsidRPr="00C4291E">
              <w:rPr>
                <w:rFonts w:eastAsia="Times New Roman" w:cs="Segoe UI"/>
                <w:color w:val="222A35"/>
                <w:sz w:val="20"/>
                <w:szCs w:val="20"/>
                <w:lang w:eastAsia="en-AU"/>
              </w:rPr>
              <w:t>w</w:t>
            </w:r>
            <w:r w:rsidR="00AF66B6" w:rsidRPr="00C4291E">
              <w:rPr>
                <w:rFonts w:eastAsia="Times New Roman" w:cs="Segoe UI"/>
                <w:color w:val="222A35"/>
                <w:kern w:val="24"/>
                <w:sz w:val="20"/>
                <w:szCs w:val="20"/>
                <w:lang w:eastAsia="en-AU"/>
              </w:rPr>
              <w:t xml:space="preserve">orking with a multi-stakeholder advisory group (including consumers) reporting to government, to co-design and oversee the development and implementation of enabling systems, pathways, evaluation, and research to optimise access and use of </w:t>
            </w:r>
            <w:r w:rsidR="00AF66B6" w:rsidRPr="000005C3">
              <w:rPr>
                <w:rFonts w:eastAsia="Times New Roman" w:cs="Segoe UI"/>
                <w:color w:val="222A35"/>
                <w:kern w:val="24"/>
                <w:sz w:val="20"/>
                <w:szCs w:val="20"/>
                <w:lang w:eastAsia="en-AU"/>
              </w:rPr>
              <w:t>Real-World Data (RWD)</w:t>
            </w:r>
            <w:r w:rsidR="00AF66B6" w:rsidRPr="00C4291E">
              <w:rPr>
                <w:rFonts w:eastAsia="Times New Roman" w:cs="Segoe UI"/>
                <w:color w:val="222A35"/>
                <w:kern w:val="24"/>
                <w:sz w:val="20"/>
                <w:szCs w:val="20"/>
                <w:lang w:eastAsia="en-AU"/>
              </w:rPr>
              <w:t xml:space="preserve"> in HTA. (</w:t>
            </w:r>
            <w:proofErr w:type="gramStart"/>
            <w:r w:rsidR="00AF66B6" w:rsidRPr="00C4291E">
              <w:rPr>
                <w:rFonts w:eastAsia="Times New Roman" w:cs="Segoe UI"/>
                <w:color w:val="222A35"/>
                <w:kern w:val="24"/>
                <w:sz w:val="20"/>
                <w:szCs w:val="20"/>
                <w:lang w:eastAsia="en-AU"/>
              </w:rPr>
              <w:t>including</w:t>
            </w:r>
            <w:proofErr w:type="gramEnd"/>
            <w:r w:rsidR="00AF66B6" w:rsidRPr="00C4291E">
              <w:rPr>
                <w:rFonts w:eastAsia="Times New Roman" w:cs="Segoe UI"/>
                <w:color w:val="222A35"/>
                <w:kern w:val="24"/>
                <w:sz w:val="20"/>
                <w:szCs w:val="20"/>
                <w:lang w:eastAsia="en-AU"/>
              </w:rPr>
              <w:t xml:space="preserve"> involving consumers to determine questions that can be addressed by R</w:t>
            </w:r>
            <w:r w:rsidR="00AF66B6" w:rsidRPr="00B84C91">
              <w:rPr>
                <w:rFonts w:eastAsia="Times New Roman" w:cs="Segoe UI"/>
                <w:color w:val="222A35"/>
                <w:kern w:val="24"/>
                <w:sz w:val="20"/>
                <w:szCs w:val="20"/>
                <w:lang w:eastAsia="en-AU"/>
              </w:rPr>
              <w:t>WD/RWE</w:t>
            </w:r>
            <w:r w:rsidR="00D75A2B" w:rsidRPr="00B84C91">
              <w:rPr>
                <w:rFonts w:eastAsia="Times New Roman" w:cs="Segoe UI"/>
                <w:color w:val="222A35"/>
                <w:sz w:val="20"/>
                <w:szCs w:val="20"/>
                <w:lang w:eastAsia="en-AU"/>
              </w:rPr>
              <w:fldChar w:fldCharType="begin"/>
            </w:r>
            <w:r w:rsidR="00D75A2B" w:rsidRPr="00B84C91">
              <w:rPr>
                <w:rFonts w:eastAsia="Times New Roman" w:cs="Segoe UI"/>
                <w:color w:val="222A35"/>
                <w:sz w:val="20"/>
                <w:szCs w:val="20"/>
                <w:lang w:eastAsia="en-AU"/>
              </w:rPr>
              <w:instrText xml:space="preserve"> XE "real-world </w:instrText>
            </w:r>
            <w:proofErr w:type="spellStart"/>
            <w:r w:rsidR="00D75A2B" w:rsidRPr="00B84C91">
              <w:rPr>
                <w:rFonts w:eastAsia="Times New Roman" w:cs="Segoe UI"/>
                <w:color w:val="222A35"/>
                <w:sz w:val="20"/>
                <w:szCs w:val="20"/>
                <w:lang w:eastAsia="en-AU"/>
              </w:rPr>
              <w:instrText>evidence</w:instrText>
            </w:r>
            <w:r w:rsidR="00D75A2B" w:rsidRPr="00B84C91">
              <w:rPr>
                <w:rFonts w:eastAsia="Times New Roman" w:cs="Segoe UI"/>
                <w:color w:val="222A35"/>
                <w:kern w:val="24"/>
                <w:sz w:val="20"/>
                <w:szCs w:val="20"/>
                <w:lang w:eastAsia="en-AU"/>
              </w:rPr>
              <w:instrText>:</w:instrText>
            </w:r>
            <w:r w:rsidR="00D75A2B" w:rsidRPr="00B84C91">
              <w:rPr>
                <w:rFonts w:eastAsia="Times New Roman" w:cs="Segoe UI"/>
                <w:color w:val="222A35"/>
                <w:sz w:val="20"/>
                <w:szCs w:val="20"/>
                <w:lang w:eastAsia="en-AU"/>
              </w:rPr>
              <w:instrText>RWE</w:instrText>
            </w:r>
            <w:proofErr w:type="spellEnd"/>
            <w:r w:rsidR="00D75A2B" w:rsidRPr="00B84C91">
              <w:rPr>
                <w:rFonts w:eastAsia="Times New Roman" w:cs="Segoe UI"/>
                <w:color w:val="222A35"/>
                <w:sz w:val="20"/>
                <w:szCs w:val="20"/>
                <w:lang w:eastAsia="en-AU"/>
              </w:rPr>
              <w:instrText xml:space="preserve">" \b </w:instrText>
            </w:r>
            <w:r w:rsidR="00D75A2B" w:rsidRPr="00B84C91">
              <w:rPr>
                <w:rFonts w:eastAsia="Times New Roman" w:cs="Segoe UI"/>
                <w:color w:val="222A35"/>
                <w:sz w:val="20"/>
                <w:szCs w:val="20"/>
                <w:lang w:eastAsia="en-AU"/>
              </w:rPr>
              <w:fldChar w:fldCharType="end"/>
            </w:r>
            <w:r w:rsidR="00AF66B6" w:rsidRPr="00DF0E85">
              <w:rPr>
                <w:rFonts w:eastAsia="Times New Roman" w:cs="Segoe UI"/>
                <w:color w:val="222A35"/>
                <w:kern w:val="24"/>
                <w:sz w:val="20"/>
                <w:szCs w:val="20"/>
                <w:lang w:eastAsia="en-AU"/>
              </w:rPr>
              <w:t xml:space="preserve"> and involving consumers in the generation of data and co-design of communication</w:t>
            </w:r>
            <w:r w:rsidR="00570001" w:rsidRPr="5F4D41CA">
              <w:rPr>
                <w:rFonts w:eastAsia="Times New Roman" w:cs="Segoe UI"/>
                <w:color w:val="222A35"/>
                <w:sz w:val="20"/>
                <w:szCs w:val="20"/>
                <w:lang w:eastAsia="en-AU"/>
              </w:rPr>
              <w:fldChar w:fldCharType="begin"/>
            </w:r>
            <w:r w:rsidR="00570001" w:rsidRPr="5F4D41CA">
              <w:rPr>
                <w:rFonts w:eastAsia="Times New Roman" w:cs="Segoe UI"/>
                <w:color w:val="222A35"/>
                <w:sz w:val="20"/>
                <w:szCs w:val="20"/>
                <w:lang w:eastAsia="en-AU"/>
              </w:rPr>
              <w:instrText xml:space="preserve"> XE "</w:instrText>
            </w:r>
            <w:r w:rsidR="00570001" w:rsidRPr="00E61E42">
              <w:rPr>
                <w:rFonts w:eastAsia="Times New Roman" w:cs="Segoe UI"/>
                <w:color w:val="222A35"/>
                <w:kern w:val="24"/>
                <w:sz w:val="20"/>
                <w:szCs w:val="20"/>
                <w:lang w:eastAsia="en-AU"/>
              </w:rPr>
              <w:instrText>communication</w:instrText>
            </w:r>
            <w:r w:rsidR="00570001" w:rsidRPr="5F4D41CA">
              <w:rPr>
                <w:rFonts w:eastAsia="Times New Roman" w:cs="Segoe UI"/>
                <w:color w:val="222A35"/>
                <w:sz w:val="20"/>
                <w:szCs w:val="20"/>
                <w:lang w:eastAsia="en-AU"/>
              </w:rPr>
              <w:instrText xml:space="preserve">" \b </w:instrText>
            </w:r>
            <w:r w:rsidR="00570001" w:rsidRPr="5F4D41CA">
              <w:rPr>
                <w:rFonts w:eastAsia="Times New Roman" w:cs="Segoe UI"/>
                <w:color w:val="222A35"/>
                <w:sz w:val="20"/>
                <w:szCs w:val="20"/>
                <w:lang w:eastAsia="en-AU"/>
              </w:rPr>
              <w:fldChar w:fldCharType="end"/>
            </w:r>
            <w:r w:rsidR="00AF66B6" w:rsidRPr="00DF0E85">
              <w:rPr>
                <w:rFonts w:eastAsia="Times New Roman" w:cs="Segoe UI"/>
                <w:color w:val="222A35"/>
                <w:kern w:val="24"/>
                <w:sz w:val="20"/>
                <w:szCs w:val="20"/>
                <w:lang w:eastAsia="en-AU"/>
              </w:rPr>
              <w:t xml:space="preserve"> materials)</w:t>
            </w:r>
          </w:p>
          <w:p w14:paraId="13CE75E0" w14:textId="47F37816" w:rsidR="00AF66B6" w:rsidRPr="00DF0E85" w:rsidRDefault="006C0C00" w:rsidP="008C10BB">
            <w:pPr>
              <w:pStyle w:val="ListParagraph"/>
              <w:numPr>
                <w:ilvl w:val="0"/>
                <w:numId w:val="4"/>
              </w:numPr>
              <w:spacing w:after="0"/>
              <w:ind w:left="782" w:hanging="425"/>
              <w:rPr>
                <w:rFonts w:eastAsia="Times New Roman" w:cs="Segoe UI"/>
                <w:color w:val="222A35"/>
                <w:kern w:val="24"/>
                <w:sz w:val="20"/>
                <w:szCs w:val="20"/>
                <w:lang w:eastAsia="en-AU"/>
              </w:rPr>
            </w:pPr>
            <w:r w:rsidRPr="5F4D41CA">
              <w:rPr>
                <w:rFonts w:eastAsia="Times New Roman" w:cs="Segoe UI"/>
                <w:color w:val="222A35"/>
                <w:sz w:val="20"/>
                <w:szCs w:val="20"/>
                <w:lang w:eastAsia="en-AU"/>
              </w:rPr>
              <w:lastRenderedPageBreak/>
              <w:t>e</w:t>
            </w:r>
            <w:r w:rsidR="00AF66B6" w:rsidRPr="00DF0E85">
              <w:rPr>
                <w:rFonts w:eastAsia="Times New Roman" w:cs="Segoe UI"/>
                <w:color w:val="222A35"/>
                <w:kern w:val="24"/>
                <w:sz w:val="20"/>
                <w:szCs w:val="20"/>
                <w:lang w:eastAsia="en-AU"/>
              </w:rPr>
              <w:t xml:space="preserve">stablishing mechanism or methods to collate patient perspectives formally and </w:t>
            </w:r>
            <w:proofErr w:type="gramStart"/>
            <w:r w:rsidR="00AF66B6" w:rsidRPr="00DF0E85">
              <w:rPr>
                <w:rFonts w:eastAsia="Times New Roman" w:cs="Segoe UI"/>
                <w:color w:val="222A35"/>
                <w:kern w:val="24"/>
                <w:sz w:val="20"/>
                <w:szCs w:val="20"/>
                <w:lang w:eastAsia="en-AU"/>
              </w:rPr>
              <w:t>routinely</w:t>
            </w:r>
            <w:proofErr w:type="gramEnd"/>
          </w:p>
          <w:p w14:paraId="2CD35400" w14:textId="0058B38F" w:rsidR="00AF66B6" w:rsidRPr="00DF0E85" w:rsidRDefault="00D62179" w:rsidP="008C10BB">
            <w:pPr>
              <w:pStyle w:val="ListParagraph"/>
              <w:numPr>
                <w:ilvl w:val="0"/>
                <w:numId w:val="4"/>
              </w:numPr>
              <w:spacing w:after="0"/>
              <w:ind w:left="782" w:hanging="425"/>
              <w:rPr>
                <w:rFonts w:eastAsia="Times New Roman" w:cs="Segoe UI"/>
                <w:color w:val="222A35"/>
                <w:kern w:val="24"/>
                <w:sz w:val="20"/>
                <w:szCs w:val="20"/>
                <w:lang w:eastAsia="en-AU"/>
              </w:rPr>
            </w:pPr>
            <w:r>
              <w:rPr>
                <w:rFonts w:eastAsia="Times New Roman" w:cs="Segoe UI"/>
                <w:color w:val="222A35"/>
                <w:sz w:val="20"/>
                <w:szCs w:val="20"/>
                <w:lang w:eastAsia="en-AU"/>
              </w:rPr>
              <w:t>including</w:t>
            </w:r>
            <w:r w:rsidR="00AF66B6">
              <w:rPr>
                <w:rFonts w:eastAsia="Times New Roman" w:cs="Segoe UI"/>
                <w:color w:val="222A35"/>
                <w:sz w:val="20"/>
                <w:szCs w:val="20"/>
                <w:lang w:eastAsia="en-AU"/>
              </w:rPr>
              <w:t xml:space="preserve"> </w:t>
            </w:r>
            <w:r w:rsidR="00AF66B6" w:rsidRPr="00DF0E85">
              <w:rPr>
                <w:rFonts w:eastAsia="Times New Roman" w:cs="Segoe UI"/>
                <w:color w:val="222A35"/>
                <w:kern w:val="24"/>
                <w:sz w:val="20"/>
                <w:szCs w:val="20"/>
                <w:lang w:eastAsia="en-AU"/>
              </w:rPr>
              <w:t xml:space="preserve">a feedback loop for consumer inputs to show how and where consumers have been consulted and how HTA committees considered this </w:t>
            </w:r>
            <w:proofErr w:type="gramStart"/>
            <w:r w:rsidR="00AF66B6" w:rsidRPr="00DF0E85">
              <w:rPr>
                <w:rFonts w:eastAsia="Times New Roman" w:cs="Segoe UI"/>
                <w:color w:val="222A35"/>
                <w:kern w:val="24"/>
                <w:sz w:val="20"/>
                <w:szCs w:val="20"/>
                <w:lang w:eastAsia="en-AU"/>
              </w:rPr>
              <w:t>input</w:t>
            </w:r>
            <w:proofErr w:type="gramEnd"/>
          </w:p>
          <w:p w14:paraId="424A3D78" w14:textId="56FDE638" w:rsidR="00AF66B6" w:rsidRPr="006647C5" w:rsidRDefault="006C0C00" w:rsidP="008C10BB">
            <w:pPr>
              <w:pStyle w:val="ListParagraph"/>
              <w:numPr>
                <w:ilvl w:val="0"/>
                <w:numId w:val="4"/>
              </w:numPr>
              <w:spacing w:after="0"/>
              <w:ind w:left="782" w:hanging="425"/>
              <w:rPr>
                <w:rFonts w:eastAsia="Times New Roman" w:cs="Segoe UI"/>
                <w:color w:val="222A35"/>
                <w:kern w:val="24"/>
                <w:sz w:val="20"/>
                <w:szCs w:val="20"/>
                <w:lang w:eastAsia="en-AU"/>
              </w:rPr>
            </w:pPr>
            <w:r w:rsidRPr="5F4D41CA">
              <w:rPr>
                <w:rFonts w:eastAsia="Times New Roman" w:cs="Segoe UI"/>
                <w:color w:val="222A35"/>
                <w:sz w:val="20"/>
                <w:szCs w:val="20"/>
                <w:lang w:eastAsia="en-AU"/>
              </w:rPr>
              <w:t>u</w:t>
            </w:r>
            <w:r w:rsidR="00AF66B6" w:rsidRPr="0075292E">
              <w:rPr>
                <w:rFonts w:eastAsia="Times New Roman" w:cs="Segoe UI"/>
                <w:color w:val="222A35"/>
                <w:kern w:val="24"/>
                <w:sz w:val="20"/>
                <w:szCs w:val="20"/>
                <w:lang w:eastAsia="en-AU"/>
              </w:rPr>
              <w:t>pdat</w:t>
            </w:r>
            <w:r w:rsidR="00D62179">
              <w:rPr>
                <w:rFonts w:eastAsia="Times New Roman" w:cs="Segoe UI"/>
                <w:color w:val="222A35"/>
                <w:kern w:val="24"/>
                <w:sz w:val="20"/>
                <w:szCs w:val="20"/>
                <w:lang w:eastAsia="en-AU"/>
              </w:rPr>
              <w:t>ing</w:t>
            </w:r>
            <w:r w:rsidR="00AF66B6" w:rsidRPr="0075292E">
              <w:rPr>
                <w:rFonts w:eastAsia="Times New Roman" w:cs="Segoe UI"/>
                <w:color w:val="222A35"/>
                <w:kern w:val="24"/>
                <w:sz w:val="20"/>
                <w:szCs w:val="20"/>
                <w:lang w:eastAsia="en-AU"/>
              </w:rPr>
              <w:t xml:space="preserve"> technical/committee guidelines to include methodological guidance (beyond the use of quantitative data) for committees and subcommittees to ensure there is a clear account of how consumer input is integrated and provide greater transparency</w:t>
            </w:r>
            <w:r w:rsidR="002A0D74">
              <w:rPr>
                <w:rFonts w:eastAsia="Times New Roman" w:cs="Segoe UI"/>
                <w:color w:val="222A35"/>
                <w:kern w:val="24"/>
                <w:sz w:val="20"/>
                <w:szCs w:val="20"/>
                <w:lang w:eastAsia="en-AU"/>
              </w:rPr>
              <w:fldChar w:fldCharType="begin"/>
            </w:r>
            <w:r w:rsidR="002A0D74" w:rsidRPr="00E61E42">
              <w:rPr>
                <w:rFonts w:eastAsia="Times New Roman" w:cs="Segoe UI"/>
                <w:color w:val="222A35"/>
                <w:kern w:val="24"/>
                <w:sz w:val="20"/>
                <w:szCs w:val="20"/>
                <w:lang w:eastAsia="en-AU"/>
              </w:rPr>
              <w:instrText xml:space="preserve"> XE "transparency" </w:instrText>
            </w:r>
            <w:r w:rsidR="002A0D74">
              <w:rPr>
                <w:rFonts w:eastAsia="Times New Roman" w:cs="Segoe UI"/>
                <w:color w:val="222A35"/>
                <w:kern w:val="24"/>
                <w:sz w:val="20"/>
                <w:szCs w:val="20"/>
                <w:lang w:eastAsia="en-AU"/>
              </w:rPr>
              <w:fldChar w:fldCharType="end"/>
            </w:r>
            <w:r w:rsidR="00AF66B6" w:rsidRPr="0075292E">
              <w:rPr>
                <w:rFonts w:eastAsia="Times New Roman" w:cs="Segoe UI"/>
                <w:color w:val="222A35"/>
                <w:kern w:val="24"/>
                <w:sz w:val="20"/>
                <w:szCs w:val="20"/>
                <w:lang w:eastAsia="en-AU"/>
              </w:rPr>
              <w:t xml:space="preserve"> on how </w:t>
            </w:r>
            <w:r w:rsidR="00AF66B6">
              <w:rPr>
                <w:rFonts w:eastAsia="Times New Roman" w:cs="Segoe UI"/>
                <w:color w:val="222A35"/>
                <w:kern w:val="24"/>
                <w:sz w:val="20"/>
                <w:szCs w:val="20"/>
                <w:lang w:eastAsia="en-AU"/>
              </w:rPr>
              <w:t>committees consider consumer inputs</w:t>
            </w:r>
            <w:r w:rsidR="00AF66B6" w:rsidRPr="0075292E">
              <w:rPr>
                <w:rFonts w:eastAsia="Times New Roman" w:cs="Segoe UI"/>
                <w:color w:val="222A35"/>
                <w:kern w:val="24"/>
                <w:sz w:val="20"/>
                <w:szCs w:val="20"/>
                <w:lang w:eastAsia="en-AU"/>
              </w:rPr>
              <w:t>.</w:t>
            </w:r>
          </w:p>
          <w:p w14:paraId="35250AA6" w14:textId="77777777" w:rsidR="00AF66B6" w:rsidRPr="0075292E" w:rsidRDefault="00AF66B6" w:rsidP="008505D7">
            <w:pPr>
              <w:pStyle w:val="ListParagraph"/>
              <w:numPr>
                <w:ilvl w:val="0"/>
                <w:numId w:val="57"/>
              </w:numPr>
              <w:spacing w:after="0"/>
              <w:rPr>
                <w:rFonts w:eastAsia="Times New Roman" w:cs="Segoe UI"/>
                <w:color w:val="222A35"/>
                <w:kern w:val="24"/>
                <w:sz w:val="20"/>
                <w:szCs w:val="20"/>
                <w:lang w:eastAsia="en-AU"/>
              </w:rPr>
            </w:pPr>
            <w:r w:rsidRPr="0075292E">
              <w:rPr>
                <w:rFonts w:eastAsia="Times New Roman" w:cs="Segoe UI"/>
                <w:color w:val="222A35"/>
                <w:kern w:val="24"/>
                <w:sz w:val="20"/>
                <w:szCs w:val="20"/>
                <w:lang w:eastAsia="en-AU"/>
              </w:rPr>
              <w:t xml:space="preserve">Promote consumer input into clinical trials and reduce duplication by asking sponsors to report any patient input or use of patient experience data in the research and development of the </w:t>
            </w:r>
            <w:proofErr w:type="gramStart"/>
            <w:r w:rsidRPr="0075292E">
              <w:rPr>
                <w:rFonts w:eastAsia="Times New Roman" w:cs="Segoe UI"/>
                <w:color w:val="222A35"/>
                <w:kern w:val="24"/>
                <w:sz w:val="20"/>
                <w:szCs w:val="20"/>
                <w:lang w:eastAsia="en-AU"/>
              </w:rPr>
              <w:t>product</w:t>
            </w:r>
            <w:proofErr w:type="gramEnd"/>
          </w:p>
          <w:p w14:paraId="691644EA" w14:textId="4AC10059" w:rsidR="00AF66B6" w:rsidRPr="0075292E" w:rsidRDefault="00AF66B6" w:rsidP="008505D7">
            <w:pPr>
              <w:pStyle w:val="ListParagraph"/>
              <w:numPr>
                <w:ilvl w:val="0"/>
                <w:numId w:val="57"/>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E</w:t>
            </w:r>
            <w:r w:rsidRPr="0075292E">
              <w:rPr>
                <w:rFonts w:eastAsia="Times New Roman" w:cs="Segoe UI"/>
                <w:color w:val="222A35"/>
                <w:kern w:val="24"/>
                <w:sz w:val="20"/>
                <w:szCs w:val="20"/>
                <w:lang w:eastAsia="en-AU"/>
              </w:rPr>
              <w:t>stablish a dedicated consumer evidence</w:t>
            </w:r>
            <w:r w:rsidR="00B40903">
              <w:rPr>
                <w:rFonts w:eastAsia="Times New Roman" w:cs="Segoe UI"/>
                <w:color w:val="222A35"/>
                <w:kern w:val="24"/>
                <w:sz w:val="20"/>
                <w:szCs w:val="20"/>
                <w:lang w:eastAsia="en-AU"/>
              </w:rPr>
              <w:fldChar w:fldCharType="begin"/>
            </w:r>
            <w:r w:rsidR="00B40903" w:rsidRPr="00E61E42">
              <w:rPr>
                <w:rFonts w:eastAsia="Times New Roman" w:cs="Segoe UI"/>
                <w:color w:val="222A35"/>
                <w:kern w:val="24"/>
                <w:sz w:val="20"/>
                <w:szCs w:val="20"/>
                <w:lang w:eastAsia="en-AU"/>
              </w:rPr>
              <w:instrText xml:space="preserve"> XE "</w:instrText>
            </w:r>
            <w:r w:rsidR="00B40903" w:rsidRPr="00E61E42">
              <w:rPr>
                <w:rFonts w:eastAsia="Times New Roman"/>
                <w:color w:val="222A35"/>
                <w:kern w:val="24"/>
                <w:lang w:eastAsia="en-AU"/>
              </w:rPr>
              <w:instrText>consumer evidence</w:instrText>
            </w:r>
            <w:r w:rsidR="00B40903" w:rsidRPr="00E61E42">
              <w:rPr>
                <w:rFonts w:eastAsia="Times New Roman" w:cs="Segoe UI"/>
                <w:color w:val="222A35"/>
                <w:kern w:val="24"/>
                <w:sz w:val="20"/>
                <w:szCs w:val="20"/>
                <w:lang w:eastAsia="en-AU"/>
              </w:rPr>
              <w:instrText xml:space="preserve">" \b </w:instrText>
            </w:r>
            <w:r w:rsidR="00B40903">
              <w:rPr>
                <w:rFonts w:eastAsia="Times New Roman" w:cs="Segoe UI"/>
                <w:color w:val="222A35"/>
                <w:kern w:val="24"/>
                <w:sz w:val="20"/>
                <w:szCs w:val="20"/>
                <w:lang w:eastAsia="en-AU"/>
              </w:rPr>
              <w:fldChar w:fldCharType="end"/>
            </w:r>
            <w:r w:rsidRPr="0075292E">
              <w:rPr>
                <w:rFonts w:eastAsia="Times New Roman" w:cs="Segoe UI"/>
                <w:color w:val="222A35"/>
                <w:kern w:val="24"/>
                <w:sz w:val="20"/>
                <w:szCs w:val="20"/>
                <w:lang w:eastAsia="en-AU"/>
              </w:rPr>
              <w:t xml:space="preserve"> base and condition/disease repository to develop specific measurement tool</w:t>
            </w:r>
            <w:r>
              <w:rPr>
                <w:rFonts w:eastAsia="Times New Roman" w:cs="Segoe UI"/>
                <w:color w:val="222A35"/>
                <w:kern w:val="24"/>
                <w:sz w:val="20"/>
                <w:szCs w:val="20"/>
                <w:lang w:eastAsia="en-AU"/>
              </w:rPr>
              <w:t xml:space="preserve">s, </w:t>
            </w:r>
            <w:r w:rsidRPr="0075292E">
              <w:rPr>
                <w:rFonts w:eastAsia="Times New Roman" w:cs="Segoe UI"/>
                <w:color w:val="222A35"/>
                <w:kern w:val="24"/>
                <w:sz w:val="20"/>
                <w:szCs w:val="20"/>
                <w:lang w:eastAsia="en-AU"/>
              </w:rPr>
              <w:t>collect relevant data for future HTA activities</w:t>
            </w:r>
            <w:r>
              <w:rPr>
                <w:rFonts w:eastAsia="Times New Roman" w:cs="Segoe UI"/>
                <w:color w:val="222A35"/>
                <w:kern w:val="24"/>
                <w:sz w:val="20"/>
                <w:szCs w:val="20"/>
                <w:lang w:eastAsia="en-AU"/>
              </w:rPr>
              <w:t>,</w:t>
            </w:r>
            <w:r w:rsidRPr="0075292E">
              <w:rPr>
                <w:rFonts w:eastAsia="Times New Roman" w:cs="Segoe UI"/>
                <w:color w:val="222A35"/>
                <w:kern w:val="24"/>
                <w:sz w:val="20"/>
                <w:szCs w:val="20"/>
                <w:lang w:eastAsia="en-AU"/>
              </w:rPr>
              <w:t xml:space="preserve"> </w:t>
            </w:r>
            <w:r>
              <w:rPr>
                <w:rFonts w:eastAsia="Times New Roman" w:cs="Segoe UI"/>
                <w:color w:val="222A35"/>
                <w:kern w:val="24"/>
                <w:sz w:val="20"/>
                <w:szCs w:val="20"/>
                <w:lang w:eastAsia="en-AU"/>
              </w:rPr>
              <w:t xml:space="preserve">and </w:t>
            </w:r>
            <w:r w:rsidRPr="0075292E">
              <w:rPr>
                <w:rFonts w:eastAsia="Times New Roman" w:cs="Segoe UI"/>
                <w:color w:val="222A35"/>
                <w:kern w:val="24"/>
                <w:sz w:val="20"/>
                <w:szCs w:val="20"/>
                <w:lang w:eastAsia="en-AU"/>
              </w:rPr>
              <w:t xml:space="preserve">track patient outcomes and expectations over </w:t>
            </w:r>
            <w:proofErr w:type="gramStart"/>
            <w:r w:rsidRPr="0075292E">
              <w:rPr>
                <w:rFonts w:eastAsia="Times New Roman" w:cs="Segoe UI"/>
                <w:color w:val="222A35"/>
                <w:kern w:val="24"/>
                <w:sz w:val="20"/>
                <w:szCs w:val="20"/>
                <w:lang w:eastAsia="en-AU"/>
              </w:rPr>
              <w:t>time</w:t>
            </w:r>
            <w:proofErr w:type="gramEnd"/>
            <w:r w:rsidRPr="0075292E">
              <w:rPr>
                <w:rFonts w:eastAsia="Times New Roman" w:cs="Segoe UI"/>
                <w:color w:val="222A35"/>
                <w:kern w:val="24"/>
                <w:sz w:val="20"/>
                <w:szCs w:val="20"/>
                <w:lang w:eastAsia="en-AU"/>
              </w:rPr>
              <w:t xml:space="preserve"> </w:t>
            </w:r>
          </w:p>
          <w:p w14:paraId="69F867FA" w14:textId="4543A997" w:rsidR="00AF66B6" w:rsidRPr="005F180A" w:rsidRDefault="00AF66B6" w:rsidP="008505D7">
            <w:pPr>
              <w:pStyle w:val="ListParagraph"/>
              <w:numPr>
                <w:ilvl w:val="0"/>
                <w:numId w:val="57"/>
              </w:numPr>
              <w:spacing w:after="0"/>
              <w:rPr>
                <w:rFonts w:eastAsia="Times New Roman" w:cs="Segoe UI"/>
                <w:color w:val="222A35"/>
                <w:kern w:val="24"/>
                <w:sz w:val="20"/>
                <w:szCs w:val="20"/>
                <w:lang w:eastAsia="en-AU"/>
              </w:rPr>
            </w:pPr>
            <w:r w:rsidRPr="0075292E">
              <w:rPr>
                <w:rFonts w:eastAsia="Times New Roman" w:cs="Segoe UI"/>
                <w:color w:val="222A35"/>
                <w:kern w:val="24"/>
                <w:sz w:val="20"/>
                <w:szCs w:val="20"/>
                <w:lang w:eastAsia="en-AU"/>
              </w:rPr>
              <w:t>Include consumers in the HTA committee meetings: pilot real-time interaction to gain additional inputs required for deliberations and decision-making either before the committee meeting or during a more open part of the committee meeting (</w:t>
            </w:r>
            <w:proofErr w:type="gramStart"/>
            <w:r w:rsidRPr="0075292E">
              <w:rPr>
                <w:rFonts w:eastAsia="Times New Roman" w:cs="Segoe UI"/>
                <w:color w:val="222A35"/>
                <w:kern w:val="24"/>
                <w:sz w:val="20"/>
                <w:szCs w:val="20"/>
                <w:lang w:eastAsia="en-AU"/>
              </w:rPr>
              <w:t>i.e.</w:t>
            </w:r>
            <w:proofErr w:type="gramEnd"/>
            <w:r w:rsidRPr="0075292E">
              <w:rPr>
                <w:rFonts w:eastAsia="Times New Roman" w:cs="Segoe UI"/>
                <w:color w:val="222A35"/>
                <w:kern w:val="24"/>
                <w:sz w:val="20"/>
                <w:szCs w:val="20"/>
                <w:lang w:eastAsia="en-AU"/>
              </w:rPr>
              <w:t xml:space="preserve"> prior to committee deliberations)</w:t>
            </w:r>
            <w:r w:rsidR="637E0D2F" w:rsidRPr="0075292E">
              <w:rPr>
                <w:rFonts w:eastAsia="Times New Roman" w:cs="Segoe UI"/>
                <w:color w:val="222A35"/>
                <w:kern w:val="24"/>
                <w:sz w:val="20"/>
                <w:szCs w:val="20"/>
                <w:lang w:eastAsia="en-AU"/>
              </w:rPr>
              <w:t>.</w:t>
            </w:r>
            <w:r w:rsidRPr="0075292E">
              <w:rPr>
                <w:rFonts w:eastAsia="Times New Roman" w:cs="Segoe UI"/>
                <w:color w:val="222A35"/>
                <w:kern w:val="24"/>
                <w:sz w:val="20"/>
                <w:szCs w:val="20"/>
                <w:lang w:eastAsia="en-AU"/>
              </w:rPr>
              <w:t xml:space="preserve"> </w:t>
            </w:r>
          </w:p>
        </w:tc>
      </w:tr>
      <w:tr w:rsidR="007F78E2" w:rsidRPr="006647C5" w14:paraId="17A0A9E3" w14:textId="77777777" w:rsidTr="00C93D28">
        <w:trPr>
          <w:trHeight w:val="364"/>
        </w:trPr>
        <w:tc>
          <w:tcPr>
            <w:tcW w:w="15735" w:type="dxa"/>
            <w:gridSpan w:val="5"/>
            <w:tcBorders>
              <w:top w:val="single" w:sz="2" w:space="0" w:color="1D437F" w:themeColor="accent1"/>
              <w:bottom w:val="single" w:sz="4" w:space="0" w:color="E7E6E6" w:themeColor="background2"/>
            </w:tcBorders>
            <w:shd w:val="clear" w:color="auto" w:fill="FFFFFF" w:themeFill="background1"/>
            <w:tcMar>
              <w:top w:w="72" w:type="dxa"/>
              <w:left w:w="144" w:type="dxa"/>
              <w:bottom w:w="72" w:type="dxa"/>
              <w:right w:w="144" w:type="dxa"/>
            </w:tcMar>
          </w:tcPr>
          <w:p w14:paraId="27C2075F" w14:textId="615AFAAD" w:rsidR="001847D7" w:rsidRPr="00F113DB" w:rsidRDefault="001847D7" w:rsidP="008505D7">
            <w:pPr>
              <w:pStyle w:val="Heading6"/>
              <w:numPr>
                <w:ilvl w:val="1"/>
                <w:numId w:val="35"/>
              </w:numPr>
              <w:rPr>
                <w:rStyle w:val="cf01"/>
                <w:rFonts w:eastAsiaTheme="minorHAnsi"/>
                <w:sz w:val="20"/>
                <w:szCs w:val="20"/>
                <w:lang w:eastAsia="en-US"/>
              </w:rPr>
            </w:pPr>
            <w:r w:rsidRPr="009D14F6">
              <w:rPr>
                <w:color w:val="1D437F" w:themeColor="accent1"/>
              </w:rPr>
              <w:lastRenderedPageBreak/>
              <w:t xml:space="preserve">First Nations </w:t>
            </w:r>
            <w:r w:rsidR="00C26BFF">
              <w:rPr>
                <w:color w:val="1D437F" w:themeColor="accent1"/>
              </w:rPr>
              <w:t>people</w:t>
            </w:r>
            <w:r w:rsidRPr="009D14F6">
              <w:rPr>
                <w:color w:val="1D437F" w:themeColor="accent1"/>
              </w:rPr>
              <w:t xml:space="preserve"> </w:t>
            </w:r>
            <w:r w:rsidR="00C54D5B" w:rsidRPr="009D14F6">
              <w:rPr>
                <w:color w:val="1D437F" w:themeColor="accent1"/>
              </w:rPr>
              <w:t>involvement</w:t>
            </w:r>
            <w:r w:rsidRPr="009D14F6">
              <w:rPr>
                <w:color w:val="1D437F" w:themeColor="accent1"/>
              </w:rPr>
              <w:t xml:space="preserve"> and consideration in HTA</w:t>
            </w:r>
          </w:p>
        </w:tc>
      </w:tr>
      <w:tr w:rsidR="00DA623E" w:rsidRPr="006647C5" w14:paraId="297EC756" w14:textId="77777777" w:rsidTr="00534579">
        <w:trPr>
          <w:trHeight w:val="996"/>
        </w:trPr>
        <w:tc>
          <w:tcPr>
            <w:tcW w:w="1055" w:type="dxa"/>
            <w:shd w:val="clear" w:color="auto" w:fill="FFFFFF" w:themeFill="background1"/>
            <w:tcMar>
              <w:top w:w="72" w:type="dxa"/>
              <w:left w:w="144" w:type="dxa"/>
              <w:bottom w:w="72" w:type="dxa"/>
              <w:right w:w="144" w:type="dxa"/>
            </w:tcMar>
          </w:tcPr>
          <w:p w14:paraId="2CF7ED83" w14:textId="7DAF4AA3" w:rsidR="006F5B0D" w:rsidRPr="003A340E" w:rsidDel="001847D7" w:rsidRDefault="006F5B0D" w:rsidP="00687095">
            <w:pPr>
              <w:pStyle w:val="Heading6"/>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4DE9458E" w14:textId="586A33B0" w:rsidR="00DA623E" w:rsidRPr="003A340E" w:rsidRDefault="006F5B0D" w:rsidP="009D14F6">
            <w:pPr>
              <w:pStyle w:val="Heading6"/>
              <w:ind w:right="382"/>
            </w:pPr>
            <w:r w:rsidRPr="009D14F6">
              <w:rPr>
                <w:rFonts w:eastAsia="Times New Roman" w:cs="Segoe UI"/>
                <w:color w:val="222A35"/>
                <w:kern w:val="24"/>
              </w:rPr>
              <w:t xml:space="preserve">First Nations </w:t>
            </w:r>
            <w:r w:rsidR="00C26BFF" w:rsidRPr="009D14F6">
              <w:rPr>
                <w:rFonts w:eastAsia="Times New Roman" w:cs="Segoe UI"/>
                <w:color w:val="222A35"/>
                <w:kern w:val="24"/>
              </w:rPr>
              <w:t>people</w:t>
            </w:r>
            <w:r w:rsidR="00E520B4">
              <w:rPr>
                <w:rFonts w:eastAsia="Times New Roman" w:cs="Segoe UI"/>
                <w:color w:val="222A35"/>
                <w:kern w:val="24"/>
              </w:rPr>
              <w:t>s</w:t>
            </w:r>
            <w:r w:rsidR="009950D4">
              <w:rPr>
                <w:rFonts w:eastAsia="Times New Roman" w:cs="Segoe UI"/>
                <w:color w:val="222A35"/>
                <w:kern w:val="24"/>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color w:val="222A35"/>
                <w:kern w:val="24"/>
              </w:rPr>
              <w:fldChar w:fldCharType="end"/>
            </w:r>
            <w:r w:rsidRPr="009D14F6">
              <w:rPr>
                <w:rFonts w:eastAsia="Times New Roman" w:cs="Segoe UI"/>
                <w:color w:val="222A35"/>
                <w:kern w:val="24"/>
              </w:rPr>
              <w:t xml:space="preserve"> partnership in decision making</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3BCA92C" w14:textId="51C52909" w:rsidR="00DA623E" w:rsidRPr="00A14EF9" w:rsidRDefault="00DA623E" w:rsidP="008505D7">
            <w:pPr>
              <w:pStyle w:val="ListParagraph"/>
              <w:numPr>
                <w:ilvl w:val="0"/>
                <w:numId w:val="60"/>
              </w:numPr>
              <w:spacing w:after="0"/>
              <w:rPr>
                <w:rFonts w:eastAsia="Times New Roman" w:cs="Segoe UI"/>
                <w:color w:val="222A35"/>
                <w:kern w:val="24"/>
                <w:sz w:val="20"/>
                <w:szCs w:val="20"/>
                <w:lang w:eastAsia="en-AU"/>
              </w:rPr>
            </w:pPr>
            <w:r w:rsidRPr="00A14EF9">
              <w:rPr>
                <w:rFonts w:eastAsia="Times New Roman" w:cs="Segoe UI"/>
                <w:color w:val="222A35"/>
                <w:kern w:val="24"/>
                <w:sz w:val="20"/>
                <w:szCs w:val="20"/>
                <w:lang w:eastAsia="en-AU"/>
              </w:rPr>
              <w:t>Establish a First Nations Advisory Committee to contribute to decision making across the continuum of the below processes:</w:t>
            </w:r>
          </w:p>
          <w:p w14:paraId="2B1E15B6" w14:textId="4CEA9667" w:rsidR="00DA623E" w:rsidRDefault="00DA623E" w:rsidP="008505D7">
            <w:pPr>
              <w:pStyle w:val="ListParagraph"/>
              <w:numPr>
                <w:ilvl w:val="0"/>
                <w:numId w:val="61"/>
              </w:numPr>
              <w:spacing w:after="0"/>
              <w:ind w:left="782" w:hanging="425"/>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Development of a priority list of population indications with </w:t>
            </w:r>
            <w:r w:rsidR="001A0E5B">
              <w:rPr>
                <w:rFonts w:eastAsia="Times New Roman" w:cs="Segoe UI"/>
                <w:color w:val="222A35"/>
                <w:kern w:val="24"/>
                <w:sz w:val="20"/>
                <w:szCs w:val="20"/>
                <w:lang w:eastAsia="en-AU"/>
              </w:rPr>
              <w:t>high unmet clinical need</w:t>
            </w:r>
            <w:r w:rsidR="0052694D">
              <w:rPr>
                <w:rFonts w:eastAsia="Times New Roman" w:cs="Segoe UI"/>
                <w:color w:val="222A35"/>
                <w:kern w:val="24"/>
                <w:sz w:val="20"/>
                <w:szCs w:val="20"/>
                <w:lang w:eastAsia="en-AU"/>
              </w:rPr>
              <w:fldChar w:fldCharType="begin"/>
            </w:r>
            <w:r w:rsidR="0052694D">
              <w:instrText xml:space="preserve"> XE "</w:instrText>
            </w:r>
            <w:r w:rsidR="0052694D" w:rsidRPr="00EC2B92">
              <w:rPr>
                <w:lang w:val="en-US"/>
              </w:rPr>
              <w:instrText>high unmet clinical need</w:instrText>
            </w:r>
            <w:r w:rsidR="0052694D">
              <w:instrText xml:space="preserve">" </w:instrText>
            </w:r>
            <w:r w:rsidR="0052694D">
              <w:rPr>
                <w:rFonts w:eastAsia="Times New Roman" w:cs="Segoe UI"/>
                <w:color w:val="222A35"/>
                <w:kern w:val="24"/>
                <w:sz w:val="20"/>
                <w:szCs w:val="20"/>
                <w:lang w:eastAsia="en-AU"/>
              </w:rPr>
              <w:fldChar w:fldCharType="end"/>
            </w:r>
            <w:r w:rsidR="4B353D01">
              <w:rPr>
                <w:rFonts w:eastAsia="Times New Roman" w:cs="Segoe UI"/>
                <w:color w:val="222A35"/>
                <w:kern w:val="24"/>
                <w:sz w:val="20"/>
                <w:szCs w:val="20"/>
                <w:lang w:eastAsia="en-AU"/>
              </w:rPr>
              <w:t xml:space="preserve"> (HUCN</w:t>
            </w:r>
            <w:r w:rsidR="00D027D9">
              <w:rPr>
                <w:rFonts w:eastAsia="Times New Roman" w:cs="Segoe UI"/>
                <w:color w:val="222A35"/>
                <w:kern w:val="24"/>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color w:val="222A35"/>
                <w:kern w:val="24"/>
                <w:sz w:val="20"/>
                <w:szCs w:val="20"/>
                <w:lang w:eastAsia="en-AU"/>
              </w:rPr>
              <w:fldChar w:fldCharType="end"/>
            </w:r>
            <w:r w:rsidR="4B353D01">
              <w:rPr>
                <w:rFonts w:eastAsia="Times New Roman" w:cs="Segoe UI"/>
                <w:color w:val="222A35"/>
                <w:kern w:val="24"/>
                <w:sz w:val="20"/>
                <w:szCs w:val="20"/>
                <w:lang w:eastAsia="en-AU"/>
              </w:rPr>
              <w:t>)</w:t>
            </w:r>
            <w:r>
              <w:rPr>
                <w:rFonts w:eastAsia="Times New Roman" w:cs="Segoe UI"/>
                <w:color w:val="222A35"/>
                <w:kern w:val="24"/>
                <w:sz w:val="20"/>
                <w:szCs w:val="20"/>
                <w:lang w:eastAsia="en-AU"/>
              </w:rPr>
              <w:t>:</w:t>
            </w:r>
          </w:p>
          <w:p w14:paraId="227DDE1B" w14:textId="3E5F7FAD" w:rsidR="00DA623E" w:rsidRDefault="00DA623E" w:rsidP="008505D7">
            <w:pPr>
              <w:pStyle w:val="ListParagraph"/>
              <w:numPr>
                <w:ilvl w:val="0"/>
                <w:numId w:val="61"/>
              </w:numPr>
              <w:spacing w:after="0"/>
              <w:ind w:left="782" w:hanging="425"/>
              <w:rPr>
                <w:rFonts w:eastAsia="Times New Roman" w:cs="Segoe UI"/>
                <w:color w:val="222A35"/>
                <w:kern w:val="24"/>
                <w:sz w:val="20"/>
                <w:szCs w:val="20"/>
                <w:lang w:eastAsia="en-AU"/>
              </w:rPr>
            </w:pPr>
            <w:r w:rsidRPr="000F6D22">
              <w:rPr>
                <w:rFonts w:eastAsia="Times New Roman" w:cs="Segoe UI"/>
                <w:color w:val="222A35"/>
                <w:kern w:val="24"/>
                <w:sz w:val="20"/>
                <w:szCs w:val="20"/>
                <w:lang w:eastAsia="en-AU"/>
              </w:rPr>
              <w:t xml:space="preserve">In line with the priority reforms under the National Closing the Gap Agreement 2020 between all Governments and the Coalition of Peaks, a sub-set of the priority list </w:t>
            </w:r>
            <w:r w:rsidR="009577C4" w:rsidRPr="00E61E42">
              <w:rPr>
                <w:rFonts w:eastAsia="Times New Roman" w:cs="Segoe UI"/>
                <w:color w:val="222A35"/>
                <w:kern w:val="24"/>
                <w:sz w:val="20"/>
                <w:szCs w:val="20"/>
                <w:lang w:eastAsia="en-AU"/>
              </w:rPr>
              <w:t xml:space="preserve">(Refer to </w:t>
            </w:r>
            <w:r w:rsidR="00A20256" w:rsidRPr="00E61E42">
              <w:rPr>
                <w:rFonts w:eastAsia="Times New Roman" w:cs="Segoe UI"/>
                <w:color w:val="222A35"/>
                <w:kern w:val="24"/>
                <w:sz w:val="20"/>
                <w:szCs w:val="20"/>
                <w:lang w:eastAsia="en-AU"/>
              </w:rPr>
              <w:t>PAG – link)</w:t>
            </w:r>
            <w:r w:rsidR="00A20256">
              <w:rPr>
                <w:rFonts w:eastAsia="Times New Roman" w:cs="Segoe UI"/>
                <w:color w:val="222A35"/>
                <w:kern w:val="24"/>
                <w:sz w:val="20"/>
                <w:szCs w:val="20"/>
                <w:lang w:eastAsia="en-AU"/>
              </w:rPr>
              <w:t xml:space="preserve"> </w:t>
            </w:r>
            <w:r w:rsidRPr="000F6D22">
              <w:rPr>
                <w:rFonts w:eastAsia="Times New Roman" w:cs="Segoe UI"/>
                <w:color w:val="222A35"/>
                <w:kern w:val="24"/>
                <w:sz w:val="20"/>
                <w:szCs w:val="20"/>
                <w:lang w:eastAsia="en-AU"/>
              </w:rPr>
              <w:t>will be developed in partnership with Aboriginal and Torres Strait Islander</w:t>
            </w:r>
            <w:r w:rsidR="00C86C74">
              <w:rPr>
                <w:rFonts w:eastAsia="Times New Roman" w:cs="Segoe UI"/>
                <w:color w:val="222A35"/>
                <w:kern w:val="24"/>
                <w:sz w:val="20"/>
                <w:szCs w:val="20"/>
                <w:lang w:eastAsia="en-AU"/>
              </w:rPr>
              <w:fldChar w:fldCharType="begin"/>
            </w:r>
            <w:r w:rsidR="00C86C74" w:rsidRPr="00E61E42">
              <w:rPr>
                <w:rFonts w:eastAsia="Times New Roman" w:cs="Segoe UI"/>
                <w:color w:val="222A35"/>
                <w:kern w:val="24"/>
                <w:sz w:val="20"/>
                <w:szCs w:val="20"/>
                <w:lang w:eastAsia="en-AU"/>
              </w:rPr>
              <w:instrText xml:space="preserve"> XE "Aboriginal and Torres Strait Islander" \b </w:instrText>
            </w:r>
            <w:r w:rsidR="00C86C74">
              <w:rPr>
                <w:rFonts w:eastAsia="Times New Roman" w:cs="Segoe UI"/>
                <w:color w:val="222A35"/>
                <w:kern w:val="24"/>
                <w:sz w:val="20"/>
                <w:szCs w:val="20"/>
                <w:lang w:eastAsia="en-AU"/>
              </w:rPr>
              <w:fldChar w:fldCharType="end"/>
            </w:r>
            <w:r w:rsidRPr="000F6D22">
              <w:rPr>
                <w:rFonts w:eastAsia="Times New Roman" w:cs="Segoe UI"/>
                <w:color w:val="222A35"/>
                <w:kern w:val="24"/>
                <w:sz w:val="20"/>
                <w:szCs w:val="20"/>
                <w:lang w:eastAsia="en-AU"/>
              </w:rPr>
              <w:t xml:space="preserve"> community-controlled health services (ACCHSs) for the priority areas of HUCN</w:t>
            </w:r>
            <w:r w:rsidR="00D027D9">
              <w:rPr>
                <w:rFonts w:eastAsia="Times New Roman" w:cs="Segoe UI"/>
                <w:color w:val="222A35"/>
                <w:kern w:val="24"/>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color w:val="222A35"/>
                <w:kern w:val="24"/>
                <w:sz w:val="20"/>
                <w:szCs w:val="20"/>
                <w:lang w:eastAsia="en-AU"/>
              </w:rPr>
              <w:fldChar w:fldCharType="end"/>
            </w:r>
            <w:r w:rsidRPr="000F6D22">
              <w:rPr>
                <w:rFonts w:eastAsia="Times New Roman" w:cs="Segoe UI"/>
                <w:color w:val="222A35"/>
                <w:kern w:val="24"/>
                <w:sz w:val="20"/>
                <w:szCs w:val="20"/>
                <w:lang w:eastAsia="en-AU"/>
              </w:rPr>
              <w:t xml:space="preserve"> for First Nations </w:t>
            </w:r>
            <w:r w:rsidR="00E520B4">
              <w:rPr>
                <w:rFonts w:eastAsia="Times New Roman" w:cs="Segoe UI"/>
                <w:color w:val="222A35"/>
                <w:kern w:val="24"/>
                <w:sz w:val="20"/>
                <w:szCs w:val="20"/>
                <w:lang w:eastAsia="en-AU"/>
              </w:rPr>
              <w:t>p</w:t>
            </w:r>
            <w:r w:rsidRPr="000F6D22">
              <w:rPr>
                <w:rFonts w:eastAsia="Times New Roman" w:cs="Segoe UI"/>
                <w:color w:val="222A35"/>
                <w:kern w:val="24"/>
                <w:sz w:val="20"/>
                <w:szCs w:val="20"/>
                <w:lang w:eastAsia="en-AU"/>
              </w:rPr>
              <w:t>eoples</w:t>
            </w:r>
            <w:r w:rsidR="009950D4">
              <w:rPr>
                <w:rFonts w:eastAsia="Times New Roman" w:cs="Segoe UI"/>
                <w:color w:val="222A35"/>
                <w:kern w:val="24"/>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color w:val="222A35"/>
                <w:kern w:val="24"/>
                <w:sz w:val="20"/>
                <w:szCs w:val="20"/>
                <w:lang w:eastAsia="en-AU"/>
              </w:rPr>
              <w:fldChar w:fldCharType="end"/>
            </w:r>
            <w:r w:rsidRPr="000F6D22">
              <w:rPr>
                <w:rFonts w:eastAsia="Times New Roman" w:cs="Segoe UI"/>
                <w:color w:val="222A35"/>
                <w:kern w:val="24"/>
                <w:sz w:val="20"/>
                <w:szCs w:val="20"/>
                <w:lang w:eastAsia="en-AU"/>
              </w:rPr>
              <w:t>.</w:t>
            </w:r>
          </w:p>
          <w:p w14:paraId="2C779ACA" w14:textId="419486BF" w:rsidR="00DA623E" w:rsidRPr="007F3C20" w:rsidRDefault="00DA623E" w:rsidP="008505D7">
            <w:pPr>
              <w:pStyle w:val="ListParagraph"/>
              <w:numPr>
                <w:ilvl w:val="0"/>
                <w:numId w:val="61"/>
              </w:numPr>
              <w:spacing w:after="0"/>
              <w:ind w:left="782" w:hanging="425"/>
              <w:rPr>
                <w:rFonts w:eastAsia="Times New Roman" w:cs="Segoe UI"/>
                <w:color w:val="222A35"/>
                <w:kern w:val="24"/>
                <w:sz w:val="20"/>
                <w:szCs w:val="20"/>
                <w:lang w:eastAsia="en-AU"/>
              </w:rPr>
            </w:pPr>
            <w:r w:rsidRPr="009752E8">
              <w:rPr>
                <w:rFonts w:eastAsia="Times New Roman" w:cs="Segoe UI"/>
                <w:color w:val="222A35"/>
                <w:kern w:val="24"/>
                <w:sz w:val="20"/>
                <w:szCs w:val="20"/>
                <w:lang w:eastAsia="en-AU"/>
              </w:rPr>
              <w:t>Horizon Scanning</w:t>
            </w:r>
            <w:r>
              <w:rPr>
                <w:rFonts w:eastAsia="Times New Roman" w:cs="Segoe UI"/>
                <w:color w:val="222A35"/>
                <w:kern w:val="24"/>
                <w:sz w:val="20"/>
                <w:szCs w:val="20"/>
                <w:lang w:eastAsia="en-AU"/>
              </w:rPr>
              <w:t>:</w:t>
            </w:r>
            <w:r w:rsidR="007F3C20">
              <w:rPr>
                <w:rFonts w:eastAsia="Times New Roman" w:cs="Segoe UI"/>
                <w:color w:val="222A35"/>
                <w:kern w:val="24"/>
                <w:sz w:val="20"/>
                <w:szCs w:val="20"/>
                <w:lang w:eastAsia="en-AU"/>
              </w:rPr>
              <w:t xml:space="preserve"> </w:t>
            </w:r>
            <w:r w:rsidRPr="007F3C20">
              <w:rPr>
                <w:rFonts w:eastAsia="Times New Roman" w:cs="Segoe UI"/>
                <w:color w:val="222A35"/>
                <w:kern w:val="24"/>
                <w:sz w:val="20"/>
                <w:szCs w:val="20"/>
                <w:lang w:eastAsia="en-AU"/>
              </w:rPr>
              <w:t>An active horizon scanning</w:t>
            </w:r>
            <w:r w:rsidR="00CF3213">
              <w:rPr>
                <w:rFonts w:eastAsia="Times New Roman" w:cs="Segoe UI"/>
                <w:color w:val="222A35"/>
                <w:kern w:val="24"/>
                <w:sz w:val="20"/>
                <w:szCs w:val="20"/>
                <w:lang w:eastAsia="en-AU"/>
              </w:rPr>
              <w:fldChar w:fldCharType="begin"/>
            </w:r>
            <w:r w:rsidR="00CF3213" w:rsidRPr="00E61E42">
              <w:rPr>
                <w:rFonts w:eastAsia="Times New Roman" w:cs="Segoe UI"/>
                <w:color w:val="222A35"/>
                <w:kern w:val="24"/>
                <w:sz w:val="20"/>
                <w:szCs w:val="20"/>
                <w:lang w:eastAsia="en-AU"/>
              </w:rPr>
              <w:instrText xml:space="preserve"> XE "horizon scanning" \b </w:instrText>
            </w:r>
            <w:r w:rsidR="00CF3213">
              <w:rPr>
                <w:rFonts w:eastAsia="Times New Roman" w:cs="Segoe UI"/>
                <w:color w:val="222A35"/>
                <w:kern w:val="24"/>
                <w:sz w:val="20"/>
                <w:szCs w:val="20"/>
                <w:lang w:eastAsia="en-AU"/>
              </w:rPr>
              <w:fldChar w:fldCharType="end"/>
            </w:r>
            <w:r w:rsidRPr="007F3C20">
              <w:rPr>
                <w:rFonts w:eastAsia="Times New Roman" w:cs="Segoe UI"/>
                <w:color w:val="222A35"/>
                <w:kern w:val="24"/>
                <w:sz w:val="20"/>
                <w:szCs w:val="20"/>
                <w:lang w:eastAsia="en-AU"/>
              </w:rPr>
              <w:t xml:space="preserve"> process be developed to identify therapies with promising </w:t>
            </w:r>
            <w:r w:rsidR="2F8DE80C" w:rsidRPr="007F3C20">
              <w:rPr>
                <w:rFonts w:eastAsia="Times New Roman" w:cs="Segoe UI"/>
                <w:color w:val="222A35"/>
                <w:kern w:val="24"/>
                <w:sz w:val="20"/>
                <w:szCs w:val="20"/>
                <w:lang w:eastAsia="en-AU"/>
              </w:rPr>
              <w:t>High Added Therapeutic Value</w:t>
            </w:r>
            <w:r w:rsidRPr="007F3C20">
              <w:rPr>
                <w:rFonts w:eastAsia="Times New Roman" w:cs="Segoe UI"/>
                <w:color w:val="222A35"/>
                <w:kern w:val="24"/>
                <w:sz w:val="20"/>
                <w:szCs w:val="20"/>
                <w:lang w:eastAsia="en-AU"/>
              </w:rPr>
              <w:t xml:space="preserve"> </w:t>
            </w:r>
            <w:r w:rsidR="4B6FC909" w:rsidRPr="007F3C20">
              <w:rPr>
                <w:rFonts w:eastAsia="Times New Roman" w:cs="Segoe UI"/>
                <w:color w:val="222A35"/>
                <w:kern w:val="24"/>
                <w:sz w:val="20"/>
                <w:szCs w:val="20"/>
                <w:lang w:eastAsia="en-AU"/>
              </w:rPr>
              <w:t>(</w:t>
            </w:r>
            <w:r w:rsidRPr="007F3C20">
              <w:rPr>
                <w:rFonts w:eastAsia="Times New Roman" w:cs="Segoe UI"/>
                <w:color w:val="222A35"/>
                <w:kern w:val="24"/>
                <w:sz w:val="20"/>
                <w:szCs w:val="20"/>
                <w:lang w:eastAsia="en-AU"/>
              </w:rPr>
              <w:t>HATV</w:t>
            </w:r>
            <w:r w:rsidR="00515DEB">
              <w:rPr>
                <w:rFonts w:eastAsia="Times New Roman" w:cs="Segoe UI"/>
                <w:color w:val="222A35"/>
                <w:kern w:val="24"/>
                <w:sz w:val="20"/>
                <w:szCs w:val="20"/>
                <w:lang w:eastAsia="en-AU"/>
              </w:rPr>
              <w:fldChar w:fldCharType="begin"/>
            </w:r>
            <w:r w:rsidR="00515DEB" w:rsidRPr="00E61E42">
              <w:rPr>
                <w:rFonts w:eastAsia="Times New Roman" w:cs="Segoe UI"/>
                <w:color w:val="222A35"/>
                <w:kern w:val="24"/>
                <w:sz w:val="20"/>
                <w:szCs w:val="20"/>
                <w:lang w:eastAsia="en-AU"/>
              </w:rPr>
              <w:instrText xml:space="preserve"> XE "high added therapeutic </w:instrText>
            </w:r>
            <w:proofErr w:type="spellStart"/>
            <w:r w:rsidR="00515DEB" w:rsidRPr="00E61E42">
              <w:rPr>
                <w:rFonts w:eastAsia="Times New Roman" w:cs="Segoe UI"/>
                <w:color w:val="222A35"/>
                <w:kern w:val="24"/>
                <w:sz w:val="20"/>
                <w:szCs w:val="20"/>
                <w:lang w:eastAsia="en-AU"/>
              </w:rPr>
              <w:instrText>value:HATV</w:instrText>
            </w:r>
            <w:proofErr w:type="spellEnd"/>
            <w:r w:rsidR="00515DEB" w:rsidRPr="00E61E42">
              <w:rPr>
                <w:rFonts w:eastAsia="Times New Roman" w:cs="Segoe UI"/>
                <w:color w:val="222A35"/>
                <w:kern w:val="24"/>
                <w:sz w:val="20"/>
                <w:szCs w:val="20"/>
                <w:lang w:eastAsia="en-AU"/>
              </w:rPr>
              <w:instrText xml:space="preserve">" \b </w:instrText>
            </w:r>
            <w:r w:rsidR="00515DEB">
              <w:rPr>
                <w:rFonts w:eastAsia="Times New Roman" w:cs="Segoe UI"/>
                <w:color w:val="222A35"/>
                <w:kern w:val="24"/>
                <w:sz w:val="20"/>
                <w:szCs w:val="20"/>
                <w:lang w:eastAsia="en-AU"/>
              </w:rPr>
              <w:fldChar w:fldCharType="end"/>
            </w:r>
            <w:r w:rsidR="1BBA0DB5" w:rsidRPr="007F3C20">
              <w:rPr>
                <w:rFonts w:eastAsia="Times New Roman" w:cs="Segoe UI"/>
                <w:color w:val="222A35"/>
                <w:kern w:val="24"/>
                <w:sz w:val="20"/>
                <w:szCs w:val="20"/>
                <w:lang w:eastAsia="en-AU"/>
              </w:rPr>
              <w:t>)</w:t>
            </w:r>
            <w:r w:rsidRPr="007F3C20">
              <w:rPr>
                <w:rFonts w:eastAsia="Times New Roman" w:cs="Segoe UI"/>
                <w:color w:val="222A35"/>
                <w:kern w:val="24"/>
                <w:sz w:val="20"/>
                <w:szCs w:val="20"/>
                <w:lang w:eastAsia="en-AU"/>
              </w:rPr>
              <w:t xml:space="preserve"> for indications on the priority list (this could include new therapies or new patient indications for the ‘repurposing’ of existing therapies)</w:t>
            </w:r>
          </w:p>
          <w:p w14:paraId="34773200" w14:textId="1E3C32E0" w:rsidR="00DA623E" w:rsidRPr="00E61E42" w:rsidRDefault="00DA623E" w:rsidP="008505D7">
            <w:pPr>
              <w:pStyle w:val="ListParagraph"/>
              <w:numPr>
                <w:ilvl w:val="0"/>
                <w:numId w:val="61"/>
              </w:numPr>
              <w:spacing w:after="0"/>
              <w:ind w:left="782" w:hanging="425"/>
              <w:rPr>
                <w:rFonts w:eastAsia="Times New Roman" w:cs="Segoe UI"/>
                <w:color w:val="222A35"/>
                <w:kern w:val="24"/>
                <w:sz w:val="20"/>
                <w:szCs w:val="20"/>
                <w:lang w:eastAsia="en-AU"/>
              </w:rPr>
            </w:pPr>
            <w:r w:rsidRPr="009752E8">
              <w:rPr>
                <w:rFonts w:eastAsia="Times New Roman" w:cs="Segoe UI"/>
                <w:color w:val="222A35"/>
                <w:kern w:val="24"/>
                <w:sz w:val="20"/>
                <w:szCs w:val="20"/>
                <w:lang w:eastAsia="en-AU"/>
              </w:rPr>
              <w:t>Proactive submission request for therapies that are on the priority list</w:t>
            </w:r>
            <w:r w:rsidR="00F12605">
              <w:rPr>
                <w:rFonts w:eastAsia="Times New Roman" w:cs="Segoe UI"/>
                <w:color w:val="222A35"/>
                <w:kern w:val="24"/>
                <w:sz w:val="20"/>
                <w:szCs w:val="20"/>
                <w:lang w:eastAsia="en-AU"/>
              </w:rPr>
              <w:t xml:space="preserve"> (s</w:t>
            </w:r>
            <w:r w:rsidRPr="00BA75DC">
              <w:rPr>
                <w:rFonts w:eastAsia="Times New Roman" w:cs="Segoe UI"/>
                <w:color w:val="222A35"/>
                <w:kern w:val="24"/>
                <w:sz w:val="20"/>
                <w:szCs w:val="20"/>
                <w:lang w:eastAsia="en-AU"/>
              </w:rPr>
              <w:t>ee</w:t>
            </w:r>
            <w:r w:rsidRPr="00E61E42">
              <w:rPr>
                <w:rFonts w:eastAsia="Times New Roman" w:cs="Segoe UI"/>
                <w:color w:val="222A35"/>
                <w:kern w:val="24"/>
                <w:sz w:val="20"/>
                <w:szCs w:val="20"/>
                <w:lang w:eastAsia="en-AU"/>
              </w:rPr>
              <w:t xml:space="preserve"> </w:t>
            </w:r>
            <w:hyperlink w:anchor="_Proactively_addressing_areas_1" w:history="1">
              <w:r w:rsidRPr="00BA75DC">
                <w:rPr>
                  <w:rStyle w:val="Hyperlink"/>
                  <w:sz w:val="20"/>
                  <w:szCs w:val="20"/>
                </w:rPr>
                <w:t>Proactivel</w:t>
              </w:r>
              <w:bookmarkStart w:id="34" w:name="_Hlt157006221"/>
              <w:r w:rsidRPr="00BA75DC">
                <w:rPr>
                  <w:rStyle w:val="Hyperlink"/>
                  <w:sz w:val="20"/>
                  <w:szCs w:val="20"/>
                </w:rPr>
                <w:t>y</w:t>
              </w:r>
              <w:bookmarkEnd w:id="34"/>
              <w:r w:rsidRPr="00BA75DC">
                <w:rPr>
                  <w:rStyle w:val="Hyperlink"/>
                  <w:sz w:val="20"/>
                  <w:szCs w:val="20"/>
                </w:rPr>
                <w:t xml:space="preserve"> addressing areas of unmet clinical need</w:t>
              </w:r>
              <w:r w:rsidR="002401F9" w:rsidRPr="00BA75DC">
                <w:rPr>
                  <w:rStyle w:val="Hyperlink"/>
                  <w:sz w:val="20"/>
                  <w:szCs w:val="20"/>
                </w:rPr>
                <w:fldChar w:fldCharType="begin"/>
              </w:r>
              <w:r w:rsidR="002401F9" w:rsidRPr="00BA75DC">
                <w:rPr>
                  <w:rStyle w:val="Hyperlink"/>
                  <w:sz w:val="20"/>
                  <w:szCs w:val="20"/>
                </w:rPr>
                <w:instrText xml:space="preserve"> XE "unmet clinical need" \b </w:instrText>
              </w:r>
              <w:r w:rsidR="002401F9" w:rsidRPr="00BA75DC">
                <w:rPr>
                  <w:rStyle w:val="Hyperlink"/>
                  <w:sz w:val="20"/>
                  <w:szCs w:val="20"/>
                </w:rPr>
                <w:fldChar w:fldCharType="end"/>
              </w:r>
              <w:r w:rsidRPr="00BA75DC">
                <w:rPr>
                  <w:rStyle w:val="Hyperlink"/>
                  <w:sz w:val="20"/>
                  <w:szCs w:val="20"/>
                </w:rPr>
                <w:t xml:space="preserve"> and gaps in the PBS</w:t>
              </w:r>
            </w:hyperlink>
            <w:r w:rsidR="00BD0F07" w:rsidRPr="00E61E42">
              <w:rPr>
                <w:rFonts w:eastAsia="Times New Roman" w:cs="Segoe UI"/>
                <w:color w:val="222A35"/>
                <w:kern w:val="24"/>
                <w:sz w:val="20"/>
                <w:szCs w:val="20"/>
                <w:lang w:eastAsia="en-AU"/>
              </w:rPr>
              <w:t>)</w:t>
            </w:r>
          </w:p>
          <w:p w14:paraId="4277883F" w14:textId="52D45EF2" w:rsidR="00DA623E" w:rsidRPr="009752E8" w:rsidRDefault="00DA623E" w:rsidP="008505D7">
            <w:pPr>
              <w:pStyle w:val="ListParagraph"/>
              <w:numPr>
                <w:ilvl w:val="0"/>
                <w:numId w:val="60"/>
              </w:numPr>
              <w:spacing w:after="0"/>
              <w:rPr>
                <w:rFonts w:eastAsia="Times New Roman" w:cs="Segoe UI"/>
                <w:color w:val="222A35"/>
                <w:kern w:val="24"/>
                <w:sz w:val="20"/>
                <w:szCs w:val="20"/>
                <w:lang w:eastAsia="en-AU"/>
              </w:rPr>
            </w:pPr>
            <w:r w:rsidRPr="009752E8">
              <w:rPr>
                <w:rFonts w:eastAsia="Times New Roman" w:cs="Segoe UI"/>
                <w:color w:val="222A35"/>
                <w:kern w:val="24"/>
                <w:sz w:val="20"/>
                <w:szCs w:val="20"/>
                <w:lang w:eastAsia="en-AU"/>
              </w:rPr>
              <w:t xml:space="preserve">Include a </w:t>
            </w:r>
            <w:r w:rsidR="00C26BFF" w:rsidRPr="00A14EF9">
              <w:rPr>
                <w:rFonts w:eastAsia="Times New Roman" w:cs="Segoe UI"/>
                <w:color w:val="222A35"/>
                <w:kern w:val="24"/>
                <w:sz w:val="20"/>
                <w:szCs w:val="20"/>
                <w:lang w:eastAsia="en-AU"/>
              </w:rPr>
              <w:t xml:space="preserve">First Nations </w:t>
            </w:r>
            <w:r w:rsidRPr="009752E8">
              <w:rPr>
                <w:rFonts w:eastAsia="Times New Roman" w:cs="Segoe UI"/>
                <w:color w:val="222A35"/>
                <w:kern w:val="24"/>
                <w:sz w:val="20"/>
                <w:szCs w:val="20"/>
                <w:lang w:eastAsia="en-AU"/>
              </w:rPr>
              <w:t xml:space="preserve">representative on the PBAC that can speak to specific benefits for and issues relating to First Nations </w:t>
            </w:r>
            <w:r w:rsidR="00C26BFF">
              <w:rPr>
                <w:rFonts w:eastAsia="Times New Roman" w:cs="Segoe UI"/>
                <w:color w:val="222A35"/>
                <w:kern w:val="24"/>
                <w:sz w:val="20"/>
                <w:szCs w:val="20"/>
                <w:lang w:eastAsia="en-AU"/>
              </w:rPr>
              <w:t>p</w:t>
            </w:r>
            <w:r w:rsidR="00C26BFF" w:rsidRPr="009752E8">
              <w:rPr>
                <w:rFonts w:eastAsia="Times New Roman" w:cs="Segoe UI"/>
                <w:color w:val="222A35"/>
                <w:kern w:val="24"/>
                <w:sz w:val="20"/>
                <w:szCs w:val="20"/>
                <w:lang w:eastAsia="en-AU"/>
              </w:rPr>
              <w:t>eoples</w:t>
            </w:r>
            <w:r w:rsidR="009950D4">
              <w:rPr>
                <w:rFonts w:eastAsia="Times New Roman" w:cs="Segoe UI"/>
                <w:color w:val="222A35"/>
                <w:kern w:val="24"/>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color w:val="222A35"/>
                <w:kern w:val="24"/>
                <w:sz w:val="20"/>
                <w:szCs w:val="20"/>
                <w:lang w:eastAsia="en-AU"/>
              </w:rPr>
              <w:fldChar w:fldCharType="end"/>
            </w:r>
            <w:r w:rsidR="00C26BFF" w:rsidRPr="009752E8">
              <w:rPr>
                <w:rFonts w:eastAsia="Times New Roman" w:cs="Segoe UI"/>
                <w:color w:val="222A35"/>
                <w:kern w:val="24"/>
                <w:sz w:val="20"/>
                <w:szCs w:val="20"/>
                <w:lang w:eastAsia="en-AU"/>
              </w:rPr>
              <w:t xml:space="preserve"> </w:t>
            </w:r>
            <w:proofErr w:type="gramStart"/>
            <w:r w:rsidRPr="009752E8">
              <w:rPr>
                <w:rFonts w:eastAsia="Times New Roman" w:cs="Segoe UI"/>
                <w:color w:val="222A35"/>
                <w:kern w:val="24"/>
                <w:sz w:val="20"/>
                <w:szCs w:val="20"/>
                <w:lang w:eastAsia="en-AU"/>
              </w:rPr>
              <w:t>health</w:t>
            </w:r>
            <w:proofErr w:type="gramEnd"/>
            <w:r w:rsidRPr="009752E8">
              <w:rPr>
                <w:rFonts w:eastAsia="Times New Roman" w:cs="Segoe UI"/>
                <w:color w:val="222A35"/>
                <w:kern w:val="24"/>
                <w:sz w:val="20"/>
                <w:szCs w:val="20"/>
                <w:lang w:eastAsia="en-AU"/>
              </w:rPr>
              <w:t xml:space="preserve"> </w:t>
            </w:r>
          </w:p>
          <w:p w14:paraId="091E36A0" w14:textId="36C75B54" w:rsidR="00DA623E" w:rsidRPr="00FF544E" w:rsidRDefault="00DA623E" w:rsidP="008505D7">
            <w:pPr>
              <w:pStyle w:val="ListParagraph"/>
              <w:numPr>
                <w:ilvl w:val="0"/>
                <w:numId w:val="60"/>
              </w:numPr>
              <w:spacing w:after="0"/>
              <w:rPr>
                <w:rFonts w:eastAsia="Times New Roman" w:cs="Segoe UI"/>
                <w:color w:val="222A35"/>
                <w:kern w:val="24"/>
                <w:sz w:val="20"/>
                <w:szCs w:val="20"/>
                <w:lang w:eastAsia="en-AU"/>
              </w:rPr>
            </w:pPr>
            <w:r w:rsidRPr="009752E8">
              <w:rPr>
                <w:rFonts w:eastAsia="Times New Roman" w:cs="Segoe UI"/>
                <w:color w:val="222A35"/>
                <w:kern w:val="24"/>
                <w:sz w:val="20"/>
                <w:szCs w:val="20"/>
                <w:lang w:eastAsia="en-AU"/>
              </w:rPr>
              <w:t xml:space="preserve">Sponsor submissions to require consideration/assessment of the impact on health outcomes for First Nations </w:t>
            </w:r>
            <w:r w:rsidR="00C26BFF">
              <w:rPr>
                <w:rFonts w:eastAsia="Times New Roman" w:cs="Segoe UI"/>
                <w:color w:val="222A35"/>
                <w:kern w:val="24"/>
                <w:sz w:val="20"/>
                <w:szCs w:val="20"/>
                <w:lang w:eastAsia="en-AU"/>
              </w:rPr>
              <w:t>p</w:t>
            </w:r>
            <w:r w:rsidR="00C26BFF" w:rsidRPr="009752E8">
              <w:rPr>
                <w:rFonts w:eastAsia="Times New Roman" w:cs="Segoe UI"/>
                <w:color w:val="222A35"/>
                <w:kern w:val="24"/>
                <w:sz w:val="20"/>
                <w:szCs w:val="20"/>
                <w:lang w:eastAsia="en-AU"/>
              </w:rPr>
              <w:t>eoples</w:t>
            </w:r>
            <w:r w:rsidR="009950D4">
              <w:rPr>
                <w:rFonts w:eastAsia="Times New Roman" w:cs="Segoe UI"/>
                <w:color w:val="222A35"/>
                <w:kern w:val="24"/>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color w:val="222A35"/>
                <w:kern w:val="24"/>
                <w:sz w:val="20"/>
                <w:szCs w:val="20"/>
                <w:lang w:eastAsia="en-AU"/>
              </w:rPr>
              <w:fldChar w:fldCharType="end"/>
            </w:r>
            <w:r w:rsidR="00C26BFF" w:rsidRPr="009752E8">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to enable meaningful informed decision-making</w:t>
            </w:r>
            <w:r w:rsidR="4086202B">
              <w:rPr>
                <w:rFonts w:eastAsia="Times New Roman" w:cs="Segoe UI"/>
                <w:color w:val="222A35"/>
                <w:kern w:val="24"/>
                <w:sz w:val="20"/>
                <w:szCs w:val="20"/>
                <w:lang w:eastAsia="en-AU"/>
              </w:rPr>
              <w:t>.</w:t>
            </w:r>
          </w:p>
        </w:tc>
      </w:tr>
      <w:tr w:rsidR="006F5B0D" w:rsidRPr="006647C5" w14:paraId="0500CA6E" w14:textId="77777777" w:rsidTr="00534579">
        <w:trPr>
          <w:trHeight w:val="551"/>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231D59EF" w14:textId="1AEAC9C8" w:rsidR="006F5B0D" w:rsidRPr="00A14EF9" w:rsidRDefault="006F5B0D" w:rsidP="00687095">
            <w:pPr>
              <w:pStyle w:val="Heading6"/>
              <w:rPr>
                <w:rFonts w:eastAsia="Times New Roman" w:cs="Segoe UI"/>
                <w:color w:val="222A35"/>
                <w:kern w:val="24"/>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1C31622C" w14:textId="3C4BABAA" w:rsidR="006F5B0D" w:rsidRPr="00A14EF9" w:rsidRDefault="006F5B0D" w:rsidP="00687095">
            <w:pPr>
              <w:pStyle w:val="Heading6"/>
              <w:rPr>
                <w:rFonts w:eastAsia="Times New Roman" w:cs="Segoe UI"/>
                <w:color w:val="222A35"/>
                <w:kern w:val="24"/>
              </w:rPr>
            </w:pPr>
            <w:r w:rsidRPr="009752E8">
              <w:rPr>
                <w:rFonts w:eastAsia="Times New Roman" w:cs="Segoe UI"/>
                <w:color w:val="222A35"/>
                <w:kern w:val="24"/>
              </w:rPr>
              <w:t>Dedicated resource for HTA submissions and education</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2D8FE995" w14:textId="23929576" w:rsidR="006F5B0D" w:rsidRPr="00CE5D24" w:rsidRDefault="006F5B0D" w:rsidP="008C10BB">
            <w:pPr>
              <w:spacing w:after="120"/>
              <w:rPr>
                <w:rFonts w:eastAsia="Times New Roman" w:cs="Segoe UI"/>
                <w:color w:val="222A35"/>
                <w:kern w:val="24"/>
                <w:sz w:val="20"/>
                <w:szCs w:val="20"/>
                <w:lang w:eastAsia="en-AU"/>
              </w:rPr>
            </w:pPr>
            <w:r w:rsidRPr="00CE5D24">
              <w:rPr>
                <w:rFonts w:eastAsia="Times New Roman" w:cs="Segoe UI"/>
                <w:color w:val="222A35"/>
                <w:kern w:val="24"/>
                <w:sz w:val="20"/>
                <w:szCs w:val="20"/>
                <w:lang w:eastAsia="en-AU"/>
              </w:rPr>
              <w:t xml:space="preserve">Have a dedicated resource for to assist organisations representing First Nations </w:t>
            </w:r>
            <w:r w:rsidR="00E520B4">
              <w:rPr>
                <w:rFonts w:eastAsia="Times New Roman" w:cs="Segoe UI"/>
                <w:color w:val="222A35"/>
                <w:kern w:val="24"/>
                <w:sz w:val="20"/>
                <w:szCs w:val="20"/>
                <w:lang w:eastAsia="en-AU"/>
              </w:rPr>
              <w:t>p</w:t>
            </w:r>
            <w:r w:rsidRPr="00CE5D24">
              <w:rPr>
                <w:rFonts w:eastAsia="Times New Roman" w:cs="Segoe UI"/>
                <w:color w:val="222A35"/>
                <w:kern w:val="24"/>
                <w:sz w:val="20"/>
                <w:szCs w:val="20"/>
                <w:lang w:eastAsia="en-AU"/>
              </w:rPr>
              <w:t>eoples</w:t>
            </w:r>
            <w:r w:rsidR="009950D4">
              <w:rPr>
                <w:rFonts w:eastAsia="Times New Roman" w:cs="Segoe UI"/>
                <w:color w:val="222A35"/>
                <w:kern w:val="24"/>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color w:val="222A35"/>
                <w:kern w:val="24"/>
                <w:sz w:val="20"/>
                <w:szCs w:val="20"/>
                <w:lang w:eastAsia="en-AU"/>
              </w:rPr>
              <w:fldChar w:fldCharType="end"/>
            </w:r>
            <w:r w:rsidRPr="00CE5D24">
              <w:rPr>
                <w:rFonts w:eastAsia="Times New Roman" w:cs="Segoe UI"/>
                <w:color w:val="222A35"/>
                <w:kern w:val="24"/>
                <w:sz w:val="20"/>
                <w:szCs w:val="20"/>
                <w:lang w:eastAsia="en-AU"/>
              </w:rPr>
              <w:t xml:space="preserve"> </w:t>
            </w:r>
            <w:r w:rsidR="00E520B4">
              <w:rPr>
                <w:rFonts w:eastAsia="Times New Roman" w:cs="Segoe UI"/>
                <w:color w:val="222A35"/>
                <w:kern w:val="24"/>
                <w:sz w:val="20"/>
                <w:szCs w:val="20"/>
                <w:lang w:eastAsia="en-AU"/>
              </w:rPr>
              <w:t>h</w:t>
            </w:r>
            <w:r w:rsidRPr="00CE5D24">
              <w:rPr>
                <w:rFonts w:eastAsia="Times New Roman" w:cs="Segoe UI"/>
                <w:color w:val="222A35"/>
                <w:kern w:val="24"/>
                <w:sz w:val="20"/>
                <w:szCs w:val="20"/>
                <w:lang w:eastAsia="en-AU"/>
              </w:rPr>
              <w:t>ealth outcomes making HTA submissions including education and support for the submission development</w:t>
            </w:r>
          </w:p>
        </w:tc>
      </w:tr>
      <w:tr w:rsidR="003525A3" w:rsidRPr="006647C5" w14:paraId="3C82B16F" w14:textId="77777777" w:rsidTr="00C93D28">
        <w:trPr>
          <w:trHeight w:val="159"/>
        </w:trPr>
        <w:tc>
          <w:tcPr>
            <w:tcW w:w="15735" w:type="dxa"/>
            <w:gridSpan w:val="5"/>
            <w:tcBorders>
              <w:top w:val="single" w:sz="2" w:space="0" w:color="1D437F" w:themeColor="accent1"/>
              <w:bottom w:val="single" w:sz="4" w:space="0" w:color="E7E6E6" w:themeColor="background2"/>
            </w:tcBorders>
            <w:shd w:val="clear" w:color="auto" w:fill="FFFFFF" w:themeFill="background1"/>
            <w:tcMar>
              <w:top w:w="72" w:type="dxa"/>
              <w:left w:w="144" w:type="dxa"/>
              <w:bottom w:w="72" w:type="dxa"/>
              <w:right w:w="144" w:type="dxa"/>
            </w:tcMar>
          </w:tcPr>
          <w:p w14:paraId="01CCE812" w14:textId="3F624E01" w:rsidR="00C54D5B" w:rsidRPr="009D14F6" w:rsidRDefault="00C54D5B" w:rsidP="008505D7">
            <w:pPr>
              <w:pStyle w:val="Heading6"/>
              <w:numPr>
                <w:ilvl w:val="1"/>
                <w:numId w:val="35"/>
              </w:numPr>
              <w:rPr>
                <w:rFonts w:eastAsia="Times New Roman" w:cs="Segoe UI"/>
                <w:color w:val="222A35"/>
                <w:kern w:val="24"/>
              </w:rPr>
            </w:pPr>
            <w:bookmarkStart w:id="35" w:name="_Ref156855921"/>
            <w:r w:rsidRPr="009D14F6">
              <w:rPr>
                <w:color w:val="1D437F" w:themeColor="accent1"/>
              </w:rPr>
              <w:t xml:space="preserve">State and </w:t>
            </w:r>
            <w:r w:rsidR="001C399A">
              <w:rPr>
                <w:color w:val="1D437F" w:themeColor="accent1"/>
              </w:rPr>
              <w:t>t</w:t>
            </w:r>
            <w:r w:rsidRPr="009D14F6">
              <w:rPr>
                <w:color w:val="1D437F" w:themeColor="accent1"/>
              </w:rPr>
              <w:t xml:space="preserve">erritory </w:t>
            </w:r>
            <w:r w:rsidR="001C399A">
              <w:rPr>
                <w:color w:val="1D437F" w:themeColor="accent1"/>
              </w:rPr>
              <w:t>g</w:t>
            </w:r>
            <w:r w:rsidRPr="009D14F6">
              <w:rPr>
                <w:color w:val="1D437F" w:themeColor="accent1"/>
              </w:rPr>
              <w:t>overnment collaboration</w:t>
            </w:r>
            <w:r w:rsidR="00306661">
              <w:rPr>
                <w:color w:val="1D437F" w:themeColor="accent1"/>
              </w:rPr>
              <w:fldChar w:fldCharType="begin"/>
            </w:r>
            <w:r w:rsidR="00306661">
              <w:instrText xml:space="preserve"> XE "</w:instrText>
            </w:r>
            <w:r w:rsidR="00306661" w:rsidRPr="004A2916">
              <w:instrText>collaboration</w:instrText>
            </w:r>
            <w:r w:rsidR="00306661">
              <w:instrText xml:space="preserve">" </w:instrText>
            </w:r>
            <w:r w:rsidR="00306661">
              <w:rPr>
                <w:color w:val="1D437F" w:themeColor="accent1"/>
              </w:rPr>
              <w:fldChar w:fldCharType="end"/>
            </w:r>
            <w:r w:rsidRPr="009D14F6">
              <w:rPr>
                <w:color w:val="1D437F" w:themeColor="accent1"/>
              </w:rPr>
              <w:t xml:space="preserve"> in HTA</w:t>
            </w:r>
            <w:r w:rsidRPr="28ECC5A7">
              <w:rPr>
                <w:rFonts w:eastAsia="Times New Roman" w:cs="Segoe UI"/>
                <w:color w:val="222A35"/>
              </w:rPr>
              <w:t xml:space="preserve"> </w:t>
            </w:r>
            <w:bookmarkEnd w:id="35"/>
          </w:p>
        </w:tc>
      </w:tr>
      <w:tr w:rsidR="00EA7E0F" w:rsidRPr="006647C5" w14:paraId="47A1B0B0" w14:textId="77777777" w:rsidTr="00534579">
        <w:trPr>
          <w:trHeight w:val="996"/>
        </w:trPr>
        <w:tc>
          <w:tcPr>
            <w:tcW w:w="1055" w:type="dxa"/>
            <w:shd w:val="clear" w:color="auto" w:fill="FFFFFF" w:themeFill="background1"/>
            <w:tcMar>
              <w:top w:w="72" w:type="dxa"/>
              <w:left w:w="144" w:type="dxa"/>
              <w:bottom w:w="72" w:type="dxa"/>
              <w:right w:w="144" w:type="dxa"/>
            </w:tcMar>
          </w:tcPr>
          <w:p w14:paraId="3436BAC0" w14:textId="78045899" w:rsidR="006F5B0D" w:rsidRPr="00F1216F" w:rsidDel="00C54D5B" w:rsidRDefault="006F5B0D" w:rsidP="00771560">
            <w:pPr>
              <w:pStyle w:val="ListParagraph"/>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046FD46" w14:textId="60AE20CC" w:rsidR="00EA7E0F" w:rsidRPr="00807A04" w:rsidRDefault="006F5B0D" w:rsidP="009D14F6">
            <w:pPr>
              <w:pStyle w:val="Heading6"/>
              <w:rPr>
                <w:rFonts w:eastAsia="Times New Roman" w:cs="Segoe UI"/>
                <w:color w:val="222A35"/>
                <w:kern w:val="24"/>
                <w:sz w:val="20"/>
                <w:szCs w:val="18"/>
              </w:rPr>
            </w:pPr>
            <w:bookmarkStart w:id="36" w:name="_Hlk156213364"/>
            <w:r w:rsidRPr="00807A04">
              <w:rPr>
                <w:rFonts w:eastAsia="Times New Roman" w:cs="Segoe UI"/>
                <w:color w:val="222A35"/>
                <w:kern w:val="24"/>
                <w:sz w:val="20"/>
                <w:szCs w:val="18"/>
              </w:rPr>
              <w:t>Development of central standardised data sharing system for utilisation and outcome data</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E6F1974" w14:textId="2C13BC48" w:rsidR="00A42F88" w:rsidRPr="003659FD" w:rsidRDefault="004B0BED" w:rsidP="009D14F6">
            <w:pPr>
              <w:rPr>
                <w:i/>
                <w:lang w:eastAsia="en-AU"/>
              </w:rPr>
            </w:pPr>
            <w:r w:rsidRPr="007116D1">
              <w:rPr>
                <w:rFonts w:eastAsia="Times New Roman" w:cs="Segoe UI"/>
                <w:color w:val="222A35"/>
                <w:kern w:val="24"/>
                <w:sz w:val="20"/>
                <w:szCs w:val="20"/>
                <w:lang w:eastAsia="en-AU"/>
              </w:rPr>
              <w:t>Increase collaboration</w:t>
            </w:r>
            <w:r w:rsidR="00306661">
              <w:rPr>
                <w:rFonts w:eastAsia="Times New Roman" w:cs="Segoe UI"/>
                <w:color w:val="222A35"/>
                <w:kern w:val="24"/>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sz w:val="20"/>
                <w:szCs w:val="20"/>
                <w:lang w:eastAsia="en-AU"/>
              </w:rPr>
              <w:fldChar w:fldCharType="end"/>
            </w:r>
            <w:r w:rsidRPr="007116D1">
              <w:rPr>
                <w:rFonts w:eastAsia="Times New Roman" w:cs="Segoe UI"/>
                <w:color w:val="222A35"/>
                <w:kern w:val="24"/>
                <w:sz w:val="20"/>
                <w:szCs w:val="20"/>
                <w:lang w:eastAsia="en-AU"/>
              </w:rPr>
              <w:t xml:space="preserve"> through centralised data sharing and data standardisation (with funding for associated infrastructure) for </w:t>
            </w:r>
            <w:r w:rsidR="00C60A89" w:rsidRPr="007116D1">
              <w:rPr>
                <w:rFonts w:eastAsia="Times New Roman" w:cs="Segoe UI"/>
                <w:color w:val="222A35"/>
                <w:kern w:val="24"/>
                <w:sz w:val="20"/>
                <w:szCs w:val="20"/>
                <w:lang w:eastAsia="en-AU"/>
              </w:rPr>
              <w:t>utilisation and outcome</w:t>
            </w:r>
            <w:r w:rsidRPr="007116D1">
              <w:rPr>
                <w:rFonts w:eastAsia="Times New Roman" w:cs="Segoe UI"/>
                <w:color w:val="222A35"/>
                <w:kern w:val="24"/>
                <w:sz w:val="20"/>
                <w:szCs w:val="20"/>
                <w:lang w:eastAsia="en-AU"/>
              </w:rPr>
              <w:t xml:space="preserve"> data </w:t>
            </w:r>
            <w:r w:rsidR="00C60A89" w:rsidRPr="007116D1">
              <w:rPr>
                <w:rFonts w:eastAsia="Times New Roman" w:cs="Segoe UI"/>
                <w:color w:val="222A35"/>
                <w:kern w:val="24"/>
                <w:sz w:val="20"/>
                <w:szCs w:val="20"/>
                <w:lang w:eastAsia="en-AU"/>
              </w:rPr>
              <w:t>associated with use of health technologies</w:t>
            </w:r>
            <w:r w:rsidRPr="007116D1">
              <w:rPr>
                <w:rFonts w:eastAsia="Times New Roman" w:cs="Segoe UI"/>
                <w:color w:val="222A35"/>
                <w:kern w:val="24"/>
                <w:sz w:val="20"/>
                <w:szCs w:val="20"/>
                <w:lang w:eastAsia="en-AU"/>
              </w:rPr>
              <w:t xml:space="preserve"> to support nationally cohesive HTA. </w:t>
            </w:r>
          </w:p>
        </w:tc>
      </w:tr>
      <w:tr w:rsidR="0013010E" w:rsidRPr="006647C5" w14:paraId="1A01490F" w14:textId="77777777" w:rsidTr="00534579">
        <w:trPr>
          <w:trHeight w:val="996"/>
        </w:trPr>
        <w:tc>
          <w:tcPr>
            <w:tcW w:w="1055" w:type="dxa"/>
            <w:shd w:val="clear" w:color="auto" w:fill="FFFFFF" w:themeFill="background1"/>
            <w:tcMar>
              <w:top w:w="72" w:type="dxa"/>
              <w:left w:w="144" w:type="dxa"/>
              <w:bottom w:w="72" w:type="dxa"/>
              <w:right w:w="144" w:type="dxa"/>
            </w:tcMar>
          </w:tcPr>
          <w:p w14:paraId="2532C1F6" w14:textId="669F8E92" w:rsidR="006F5B0D" w:rsidRDefault="006F5B0D" w:rsidP="008C10BB">
            <w:pPr>
              <w:pStyle w:val="ListParagraph"/>
              <w:spacing w:after="0"/>
              <w:ind w:left="1276"/>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70C29E01" w14:textId="122D69AF" w:rsidR="006F5B0D" w:rsidRPr="00807A04" w:rsidRDefault="006F5B0D" w:rsidP="009D14F6">
            <w:pPr>
              <w:pStyle w:val="Heading6"/>
              <w:rPr>
                <w:rFonts w:eastAsia="Times New Roman" w:cs="Segoe UI"/>
                <w:color w:val="222A35"/>
                <w:kern w:val="24"/>
                <w:sz w:val="20"/>
                <w:szCs w:val="18"/>
              </w:rPr>
            </w:pPr>
            <w:r w:rsidRPr="00807A04">
              <w:rPr>
                <w:rFonts w:eastAsia="Times New Roman" w:cs="Segoe UI"/>
                <w:color w:val="222A35"/>
                <w:kern w:val="24"/>
                <w:sz w:val="20"/>
                <w:szCs w:val="18"/>
              </w:rPr>
              <w:t>Increase opportunities for consultation and work sharing</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7534909C" w14:textId="0DA2FC98" w:rsidR="006F5B0D" w:rsidRPr="009D14F6" w:rsidRDefault="006F5B0D" w:rsidP="008C10BB">
            <w:pPr>
              <w:spacing w:after="120"/>
              <w:rPr>
                <w:rFonts w:eastAsia="Times New Roman" w:cs="Segoe UI"/>
                <w:color w:val="222A35"/>
                <w:kern w:val="24"/>
                <w:sz w:val="20"/>
                <w:szCs w:val="20"/>
                <w:lang w:eastAsia="en-AU"/>
              </w:rPr>
            </w:pPr>
            <w:r w:rsidRPr="009D14F6">
              <w:rPr>
                <w:rFonts w:eastAsia="Times New Roman" w:cs="Segoe UI"/>
                <w:color w:val="222A35"/>
                <w:kern w:val="24"/>
                <w:sz w:val="20"/>
                <w:szCs w:val="20"/>
                <w:lang w:eastAsia="en-AU"/>
              </w:rPr>
              <w:t>Promote more opportunities for input, consultation and work sharing by state and territory governments</w:t>
            </w:r>
            <w:r w:rsidR="00FC6010">
              <w:rPr>
                <w:rFonts w:eastAsia="Times New Roman" w:cs="Segoe UI"/>
                <w:color w:val="222A35"/>
                <w:kern w:val="24"/>
                <w:sz w:val="20"/>
                <w:szCs w:val="20"/>
                <w:lang w:eastAsia="en-AU"/>
              </w:rPr>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rPr>
                <w:rFonts w:eastAsia="Times New Roman" w:cs="Segoe UI"/>
                <w:color w:val="222A35"/>
                <w:kern w:val="24"/>
                <w:sz w:val="20"/>
                <w:szCs w:val="20"/>
                <w:lang w:eastAsia="en-AU"/>
              </w:rPr>
              <w:fldChar w:fldCharType="end"/>
            </w:r>
            <w:r w:rsidRPr="009D14F6">
              <w:rPr>
                <w:rFonts w:eastAsia="Times New Roman" w:cs="Segoe UI"/>
                <w:color w:val="222A35"/>
                <w:kern w:val="24"/>
                <w:sz w:val="20"/>
                <w:szCs w:val="20"/>
                <w:lang w:eastAsia="en-AU"/>
              </w:rPr>
              <w:t xml:space="preserve"> across the health technology lifecycle to support efficient and effective implementation and use of health technologies including providing State and Territory health departments opportunities for consultation and collaboration</w:t>
            </w:r>
            <w:r w:rsidR="00306661">
              <w:rPr>
                <w:rFonts w:eastAsia="Times New Roman" w:cs="Segoe UI"/>
                <w:color w:val="222A35"/>
                <w:kern w:val="24"/>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sz w:val="20"/>
                <w:szCs w:val="20"/>
                <w:lang w:eastAsia="en-AU"/>
              </w:rPr>
              <w:fldChar w:fldCharType="end"/>
            </w:r>
            <w:r w:rsidRPr="009D14F6">
              <w:rPr>
                <w:rFonts w:eastAsia="Times New Roman" w:cs="Segoe UI"/>
                <w:color w:val="222A35"/>
                <w:kern w:val="24"/>
                <w:sz w:val="20"/>
                <w:szCs w:val="20"/>
                <w:lang w:eastAsia="en-AU"/>
              </w:rPr>
              <w:t xml:space="preserve"> on HTA decisions that will have a significant financial or operational impact on them. </w:t>
            </w:r>
            <w:r w:rsidR="636A3AEF" w:rsidRPr="1664D0E8">
              <w:rPr>
                <w:rFonts w:eastAsia="Segoe UI" w:cs="Segoe UI"/>
                <w:color w:val="222A35"/>
                <w:sz w:val="20"/>
                <w:szCs w:val="20"/>
              </w:rPr>
              <w:t>(</w:t>
            </w:r>
            <w:proofErr w:type="gramStart"/>
            <w:r w:rsidR="636A3AEF" w:rsidRPr="1664D0E8">
              <w:rPr>
                <w:rFonts w:eastAsia="Segoe UI" w:cs="Segoe UI"/>
                <w:color w:val="222A35"/>
                <w:sz w:val="20"/>
                <w:szCs w:val="20"/>
              </w:rPr>
              <w:t>see</w:t>
            </w:r>
            <w:proofErr w:type="gramEnd"/>
            <w:r w:rsidR="636A3AEF" w:rsidRPr="1664D0E8">
              <w:rPr>
                <w:rFonts w:eastAsia="Segoe UI" w:cs="Segoe UI"/>
                <w:color w:val="222A35"/>
                <w:sz w:val="20"/>
                <w:szCs w:val="20"/>
              </w:rPr>
              <w:t xml:space="preserve"> also </w:t>
            </w:r>
            <w:hyperlink r:id="rId83">
              <w:r w:rsidR="636A3AEF" w:rsidRPr="1664D0E8">
                <w:rPr>
                  <w:rStyle w:val="Hyperlink"/>
                  <w:rFonts w:eastAsia="Segoe UI" w:cs="Segoe UI"/>
                  <w:sz w:val="20"/>
                  <w:szCs w:val="20"/>
                </w:rPr>
                <w:t>Capacity and capability in the HTA systems</w:t>
              </w:r>
            </w:hyperlink>
            <w:r w:rsidR="636A3AEF" w:rsidRPr="1664D0E8">
              <w:rPr>
                <w:rFonts w:eastAsia="Segoe UI" w:cs="Segoe UI"/>
                <w:color w:val="222A35"/>
                <w:sz w:val="20"/>
                <w:szCs w:val="20"/>
              </w:rPr>
              <w:t>)</w:t>
            </w:r>
          </w:p>
        </w:tc>
      </w:tr>
      <w:tr w:rsidR="0013010E" w:rsidRPr="006647C5" w14:paraId="6BF524A8" w14:textId="77777777" w:rsidTr="00534579">
        <w:trPr>
          <w:trHeight w:val="996"/>
        </w:trPr>
        <w:tc>
          <w:tcPr>
            <w:tcW w:w="1055" w:type="dxa"/>
            <w:shd w:val="clear" w:color="auto" w:fill="FFFFFF" w:themeFill="background1"/>
            <w:tcMar>
              <w:top w:w="72" w:type="dxa"/>
              <w:left w:w="144" w:type="dxa"/>
              <w:bottom w:w="72" w:type="dxa"/>
              <w:right w:w="144" w:type="dxa"/>
            </w:tcMar>
          </w:tcPr>
          <w:p w14:paraId="3024299E" w14:textId="618D3912" w:rsidR="006F5B0D" w:rsidRPr="006F5B0D" w:rsidRDefault="006F5B0D" w:rsidP="008C10BB">
            <w:pPr>
              <w:pStyle w:val="ListParagraph"/>
              <w:spacing w:after="0"/>
              <w:ind w:left="1276"/>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77B09E12" w14:textId="4B71AFE4" w:rsidR="006F5B0D" w:rsidRPr="00807A04" w:rsidDel="00C54D5B" w:rsidRDefault="006F5B0D" w:rsidP="006F5B0D">
            <w:pPr>
              <w:pStyle w:val="Heading6"/>
              <w:rPr>
                <w:rFonts w:eastAsia="Times New Roman" w:cs="Segoe UI"/>
                <w:color w:val="222A35"/>
                <w:kern w:val="24"/>
                <w:sz w:val="20"/>
                <w:szCs w:val="18"/>
              </w:rPr>
            </w:pPr>
            <w:r w:rsidRPr="00807A04">
              <w:rPr>
                <w:rFonts w:eastAsia="Times New Roman" w:cs="Segoe UI"/>
                <w:color w:val="222A35"/>
                <w:kern w:val="24"/>
                <w:sz w:val="20"/>
                <w:szCs w:val="18"/>
              </w:rPr>
              <w:t xml:space="preserve">Health </w:t>
            </w:r>
            <w:r w:rsidR="00816374" w:rsidRPr="00807A04">
              <w:rPr>
                <w:rFonts w:eastAsia="Times New Roman" w:cs="Segoe UI"/>
                <w:color w:val="222A35"/>
                <w:kern w:val="24"/>
                <w:sz w:val="20"/>
                <w:szCs w:val="18"/>
              </w:rPr>
              <w:t>t</w:t>
            </w:r>
            <w:r w:rsidRPr="00807A04">
              <w:rPr>
                <w:rFonts w:eastAsia="Times New Roman" w:cs="Segoe UI"/>
                <w:color w:val="222A35"/>
                <w:kern w:val="24"/>
                <w:sz w:val="20"/>
                <w:szCs w:val="18"/>
              </w:rPr>
              <w:t xml:space="preserve">echnologies that are jointly funded by the Commonwealth and </w:t>
            </w:r>
            <w:r w:rsidR="009E3F1B" w:rsidRPr="00807A04">
              <w:rPr>
                <w:rFonts w:eastAsia="Times New Roman" w:cs="Segoe UI"/>
                <w:color w:val="222A35"/>
                <w:kern w:val="24"/>
                <w:sz w:val="20"/>
                <w:szCs w:val="18"/>
              </w:rPr>
              <w:t>state</w:t>
            </w:r>
            <w:r w:rsidRPr="00807A04">
              <w:rPr>
                <w:rFonts w:eastAsia="Times New Roman" w:cs="Segoe UI"/>
                <w:color w:val="222A35"/>
                <w:kern w:val="24"/>
                <w:sz w:val="20"/>
                <w:szCs w:val="18"/>
              </w:rPr>
              <w:t xml:space="preserve"> and </w:t>
            </w:r>
            <w:r w:rsidR="009E3F1B" w:rsidRPr="00807A04">
              <w:rPr>
                <w:rFonts w:eastAsia="Times New Roman" w:cs="Segoe UI"/>
                <w:color w:val="222A35"/>
                <w:kern w:val="24"/>
                <w:sz w:val="20"/>
                <w:szCs w:val="18"/>
              </w:rPr>
              <w:t>territory governments</w:t>
            </w:r>
            <w:r w:rsidR="00CA32F1">
              <w:rPr>
                <w:rFonts w:eastAsia="Times New Roman" w:cs="Segoe UI"/>
                <w:color w:val="222A35"/>
                <w:kern w:val="24"/>
                <w:sz w:val="20"/>
                <w:szCs w:val="18"/>
              </w:rPr>
              <w:fldChar w:fldCharType="begin"/>
            </w:r>
            <w:r w:rsidR="00CA32F1">
              <w:instrText xml:space="preserve"> XE "</w:instrText>
            </w:r>
            <w:r w:rsidR="00CA32F1" w:rsidRPr="002E4A7A">
              <w:instrText>state and territory governments</w:instrText>
            </w:r>
            <w:r w:rsidR="00CA32F1">
              <w:instrText xml:space="preserve">" </w:instrText>
            </w:r>
            <w:r w:rsidR="00CA32F1">
              <w:rPr>
                <w:rFonts w:eastAsia="Times New Roman" w:cs="Segoe UI"/>
                <w:color w:val="222A35"/>
                <w:kern w:val="24"/>
                <w:sz w:val="20"/>
                <w:szCs w:val="18"/>
              </w:rPr>
              <w:fldChar w:fldCharType="end"/>
            </w:r>
            <w:r w:rsidRPr="00807A04">
              <w:rPr>
                <w:rFonts w:eastAsia="Times New Roman" w:cs="Segoe UI"/>
                <w:color w:val="222A35"/>
                <w:kern w:val="24"/>
                <w:sz w:val="20"/>
                <w:szCs w:val="18"/>
              </w:rPr>
              <w:t xml:space="preserve"> </w:t>
            </w:r>
            <w:r w:rsidR="00B9104B" w:rsidRPr="00807A04">
              <w:rPr>
                <w:rFonts w:eastAsia="Times New Roman" w:cs="Segoe UI"/>
                <w:color w:val="222A35"/>
                <w:kern w:val="24"/>
                <w:sz w:val="20"/>
                <w:szCs w:val="18"/>
              </w:rPr>
              <w:t>(</w:t>
            </w:r>
            <w:r w:rsidRPr="00807A04">
              <w:rPr>
                <w:rFonts w:eastAsia="Times New Roman" w:cs="Segoe UI"/>
                <w:color w:val="222A35"/>
                <w:kern w:val="24"/>
                <w:sz w:val="20"/>
                <w:szCs w:val="18"/>
              </w:rPr>
              <w:t xml:space="preserve">such as </w:t>
            </w:r>
            <w:r w:rsidR="00B9104B" w:rsidRPr="00807A04">
              <w:rPr>
                <w:rFonts w:eastAsia="Times New Roman" w:cs="Segoe UI"/>
                <w:color w:val="222A35"/>
                <w:kern w:val="24"/>
                <w:sz w:val="20"/>
                <w:szCs w:val="18"/>
              </w:rPr>
              <w:t xml:space="preserve">high cost, </w:t>
            </w:r>
            <w:r w:rsidR="00B52D67" w:rsidRPr="00807A04">
              <w:rPr>
                <w:rFonts w:eastAsia="Times New Roman" w:cs="Segoe UI"/>
                <w:color w:val="222A35"/>
                <w:kern w:val="24"/>
                <w:sz w:val="20"/>
                <w:szCs w:val="18"/>
              </w:rPr>
              <w:t>Highly Specialised Therapies (</w:t>
            </w:r>
            <w:r w:rsidRPr="00807A04">
              <w:rPr>
                <w:rFonts w:eastAsia="Times New Roman" w:cs="Segoe UI"/>
                <w:color w:val="222A35"/>
                <w:kern w:val="24"/>
                <w:sz w:val="20"/>
                <w:szCs w:val="18"/>
              </w:rPr>
              <w:t>HST</w:t>
            </w:r>
            <w:r w:rsidR="00B52D67" w:rsidRPr="00807A04">
              <w:rPr>
                <w:rFonts w:eastAsia="Times New Roman" w:cs="Segoe UI"/>
                <w:color w:val="222A35"/>
                <w:kern w:val="24"/>
                <w:sz w:val="20"/>
                <w:szCs w:val="18"/>
              </w:rPr>
              <w:t>s)</w:t>
            </w:r>
            <w:r w:rsidR="00B9104B" w:rsidRPr="00807A04">
              <w:rPr>
                <w:rFonts w:eastAsia="Times New Roman" w:cs="Segoe UI"/>
                <w:color w:val="222A35"/>
                <w:kern w:val="24"/>
                <w:sz w:val="20"/>
                <w:szCs w:val="18"/>
              </w:rPr>
              <w:t xml:space="preserve"> delivered to public hospital inpatients)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618A716" w14:textId="5902B5C7" w:rsidR="006F5B0D" w:rsidRPr="00E61E42" w:rsidRDefault="006F5B0D" w:rsidP="008505D7">
            <w:pPr>
              <w:pStyle w:val="ListParagraph"/>
              <w:numPr>
                <w:ilvl w:val="0"/>
                <w:numId w:val="58"/>
              </w:numPr>
              <w:spacing w:after="0"/>
              <w:rPr>
                <w:rStyle w:val="cf01"/>
                <w:sz w:val="20"/>
                <w:szCs w:val="20"/>
              </w:rPr>
            </w:pPr>
            <w:r w:rsidRPr="00E61E42">
              <w:rPr>
                <w:rStyle w:val="cf01"/>
                <w:sz w:val="20"/>
                <w:szCs w:val="20"/>
              </w:rPr>
              <w:t xml:space="preserve">Prioritise and expedite the development and implementation of a nationally cohesive approach to HTA as outlined in Schedule C of the </w:t>
            </w:r>
            <w:r w:rsidR="006716C4">
              <w:rPr>
                <w:rStyle w:val="cf01"/>
                <w:sz w:val="20"/>
                <w:szCs w:val="20"/>
              </w:rPr>
              <w:t xml:space="preserve">2020-25 </w:t>
            </w:r>
            <w:hyperlink r:id="rId84">
              <w:r w:rsidRPr="40525BAC">
                <w:rPr>
                  <w:rStyle w:val="Hyperlink"/>
                  <w:rFonts w:cs="Segoe UI"/>
                  <w:sz w:val="20"/>
                  <w:szCs w:val="20"/>
                </w:rPr>
                <w:t>National Health Reform Agreement (NHRA) Addendum</w:t>
              </w:r>
            </w:hyperlink>
            <w:r w:rsidRPr="40525BAC">
              <w:rPr>
                <w:rStyle w:val="cf01"/>
                <w:sz w:val="20"/>
                <w:szCs w:val="20"/>
              </w:rPr>
              <w:t>.</w:t>
            </w:r>
            <w:r w:rsidRPr="00E61E42">
              <w:rPr>
                <w:rStyle w:val="cf01"/>
                <w:sz w:val="20"/>
                <w:szCs w:val="20"/>
              </w:rPr>
              <w:t xml:space="preserve"> As detailed in the NHRA Addendum, this should include the development of a national HTA framework including processes for HTA to inform advice on implementation, investment and disinvestment opportunities at Commonwealth and State levels</w:t>
            </w:r>
          </w:p>
          <w:p w14:paraId="4ACEB110" w14:textId="5BA14978" w:rsidR="006F5B0D" w:rsidRPr="00E61E42" w:rsidRDefault="006F5B0D" w:rsidP="008505D7">
            <w:pPr>
              <w:pStyle w:val="ListParagraph"/>
              <w:numPr>
                <w:ilvl w:val="0"/>
                <w:numId w:val="58"/>
              </w:numPr>
              <w:spacing w:after="0"/>
              <w:rPr>
                <w:rStyle w:val="cf01"/>
                <w:sz w:val="20"/>
                <w:szCs w:val="20"/>
              </w:rPr>
            </w:pPr>
            <w:r w:rsidRPr="00E61E42">
              <w:rPr>
                <w:rStyle w:val="cf01"/>
                <w:sz w:val="20"/>
                <w:szCs w:val="20"/>
              </w:rPr>
              <w:t xml:space="preserve">Establish timeframes for the implementation of </w:t>
            </w:r>
            <w:r w:rsidR="008763DA">
              <w:rPr>
                <w:rStyle w:val="cf01"/>
                <w:sz w:val="20"/>
                <w:szCs w:val="20"/>
              </w:rPr>
              <w:t>high cost, HST</w:t>
            </w:r>
            <w:r w:rsidR="00D0068C">
              <w:rPr>
                <w:rStyle w:val="cf01"/>
                <w:sz w:val="20"/>
                <w:szCs w:val="20"/>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Style w:val="cf01"/>
                <w:sz w:val="20"/>
                <w:szCs w:val="20"/>
              </w:rPr>
              <w:fldChar w:fldCharType="end"/>
            </w:r>
            <w:r w:rsidR="00725AF0">
              <w:rPr>
                <w:rStyle w:val="cf01"/>
                <w:sz w:val="20"/>
                <w:szCs w:val="20"/>
              </w:rPr>
              <w:t xml:space="preserve"> funded through the NHRA</w:t>
            </w:r>
            <w:r w:rsidRPr="00E61E42">
              <w:rPr>
                <w:rStyle w:val="cf01"/>
                <w:sz w:val="20"/>
                <w:szCs w:val="20"/>
              </w:rPr>
              <w:t xml:space="preserve"> </w:t>
            </w:r>
            <w:r w:rsidR="005B2AD4" w:rsidRPr="009D1023">
              <w:rPr>
                <w:rStyle w:val="cf01"/>
                <w:sz w:val="20"/>
                <w:szCs w:val="20"/>
              </w:rPr>
              <w:t>with positive HTA recommendations</w:t>
            </w:r>
            <w:r w:rsidRPr="00E61E42">
              <w:rPr>
                <w:rStyle w:val="cf01"/>
                <w:sz w:val="20"/>
                <w:szCs w:val="20"/>
              </w:rPr>
              <w:t xml:space="preserve"> to enable timeliness and equitable adoption of new technologies across Australia (modelled on the Key Performance Indicator for Government decisions with respect to the timeframes for listing medicines on the PBS)</w:t>
            </w:r>
          </w:p>
          <w:p w14:paraId="766B83E2" w14:textId="3FD4A707" w:rsidR="006F5B0D" w:rsidRPr="00E61E42" w:rsidRDefault="006F5B0D" w:rsidP="00E61E42">
            <w:pPr>
              <w:pStyle w:val="ListParagraph"/>
              <w:spacing w:after="0"/>
              <w:ind w:left="360"/>
              <w:rPr>
                <w:rStyle w:val="cf01"/>
                <w:sz w:val="20"/>
                <w:szCs w:val="20"/>
              </w:rPr>
            </w:pPr>
            <w:r w:rsidRPr="00E61E42">
              <w:rPr>
                <w:rStyle w:val="cf01"/>
                <w:sz w:val="20"/>
                <w:szCs w:val="20"/>
              </w:rPr>
              <w:t>For example: within 2 months of in principle pricing agreement,</w:t>
            </w:r>
            <w:r w:rsidR="00DD503E" w:rsidRPr="00E61E42">
              <w:rPr>
                <w:rStyle w:val="cf01"/>
                <w:sz w:val="20"/>
                <w:szCs w:val="20"/>
              </w:rPr>
              <w:t xml:space="preserve"> </w:t>
            </w:r>
            <w:r w:rsidR="007C2E27" w:rsidRPr="00E61E42">
              <w:rPr>
                <w:rStyle w:val="cf01"/>
                <w:sz w:val="20"/>
                <w:szCs w:val="20"/>
              </w:rPr>
              <w:t>an implementation plan</w:t>
            </w:r>
            <w:r w:rsidR="00E505B6" w:rsidRPr="00E61E42">
              <w:rPr>
                <w:rStyle w:val="cf01"/>
                <w:sz w:val="20"/>
                <w:szCs w:val="20"/>
              </w:rPr>
              <w:t xml:space="preserve"> at a national level</w:t>
            </w:r>
            <w:r w:rsidR="00836051" w:rsidRPr="00E61E42">
              <w:rPr>
                <w:rStyle w:val="cf01"/>
                <w:sz w:val="20"/>
                <w:szCs w:val="20"/>
              </w:rPr>
              <w:t xml:space="preserve"> to be publish</w:t>
            </w:r>
            <w:r w:rsidR="00EA6552" w:rsidRPr="00E61E42">
              <w:rPr>
                <w:rStyle w:val="cf01"/>
                <w:sz w:val="20"/>
                <w:szCs w:val="20"/>
              </w:rPr>
              <w:t>ed</w:t>
            </w:r>
            <w:r w:rsidR="00E505B6" w:rsidRPr="00E61E42">
              <w:rPr>
                <w:rStyle w:val="cf01"/>
                <w:sz w:val="20"/>
                <w:szCs w:val="20"/>
              </w:rPr>
              <w:t xml:space="preserve"> in collaboration</w:t>
            </w:r>
            <w:r w:rsidR="00306661">
              <w:rPr>
                <w:rStyle w:val="cf01"/>
                <w:sz w:val="20"/>
                <w:szCs w:val="20"/>
              </w:rPr>
              <w:fldChar w:fldCharType="begin"/>
            </w:r>
            <w:r w:rsidR="00306661">
              <w:instrText xml:space="preserve"> XE "</w:instrText>
            </w:r>
            <w:r w:rsidR="00306661" w:rsidRPr="004A2916">
              <w:instrText>collaboration</w:instrText>
            </w:r>
            <w:r w:rsidR="00306661">
              <w:instrText xml:space="preserve">" </w:instrText>
            </w:r>
            <w:r w:rsidR="00306661">
              <w:rPr>
                <w:rStyle w:val="cf01"/>
                <w:sz w:val="20"/>
                <w:szCs w:val="20"/>
              </w:rPr>
              <w:fldChar w:fldCharType="end"/>
            </w:r>
            <w:r w:rsidR="00E505B6" w:rsidRPr="00E61E42">
              <w:rPr>
                <w:rStyle w:val="cf01"/>
                <w:sz w:val="20"/>
                <w:szCs w:val="20"/>
              </w:rPr>
              <w:t xml:space="preserve"> with </w:t>
            </w:r>
            <w:r w:rsidR="003A5173">
              <w:rPr>
                <w:rStyle w:val="cf01"/>
                <w:sz w:val="20"/>
                <w:szCs w:val="20"/>
              </w:rPr>
              <w:t>state</w:t>
            </w:r>
            <w:r w:rsidRPr="00E61E42">
              <w:rPr>
                <w:rStyle w:val="cf01"/>
                <w:sz w:val="20"/>
                <w:szCs w:val="20"/>
              </w:rPr>
              <w:t xml:space="preserve"> and </w:t>
            </w:r>
            <w:r w:rsidR="003A5173">
              <w:rPr>
                <w:rStyle w:val="cf01"/>
                <w:sz w:val="20"/>
                <w:szCs w:val="20"/>
              </w:rPr>
              <w:t>territory</w:t>
            </w:r>
            <w:r w:rsidR="00295E7C" w:rsidRPr="00E61E42">
              <w:rPr>
                <w:rStyle w:val="cf01"/>
                <w:sz w:val="20"/>
                <w:szCs w:val="20"/>
              </w:rPr>
              <w:t xml:space="preserve"> governments</w:t>
            </w:r>
            <w:r w:rsidRPr="00E61E42">
              <w:rPr>
                <w:rStyle w:val="cf01"/>
                <w:sz w:val="20"/>
                <w:szCs w:val="20"/>
              </w:rPr>
              <w:t xml:space="preserve"> </w:t>
            </w:r>
            <w:r w:rsidR="00BC222E" w:rsidRPr="00E61E42">
              <w:rPr>
                <w:rStyle w:val="cf01"/>
                <w:sz w:val="20"/>
                <w:szCs w:val="20"/>
              </w:rPr>
              <w:t>with the purpose to</w:t>
            </w:r>
            <w:r w:rsidR="00EA6552" w:rsidRPr="00E61E42">
              <w:rPr>
                <w:rStyle w:val="cf01"/>
                <w:sz w:val="20"/>
                <w:szCs w:val="20"/>
              </w:rPr>
              <w:t xml:space="preserve"> </w:t>
            </w:r>
            <w:r w:rsidR="003D357C" w:rsidRPr="00E61E42">
              <w:rPr>
                <w:rStyle w:val="cf01"/>
                <w:sz w:val="20"/>
                <w:szCs w:val="20"/>
              </w:rPr>
              <w:t xml:space="preserve">enable </w:t>
            </w:r>
            <w:r w:rsidR="006832F5" w:rsidRPr="00E61E42">
              <w:rPr>
                <w:rStyle w:val="cf01"/>
                <w:sz w:val="20"/>
                <w:szCs w:val="20"/>
              </w:rPr>
              <w:t>treatments to commence as early as 6 months</w:t>
            </w:r>
            <w:r w:rsidR="00DC75BA" w:rsidRPr="00E61E42">
              <w:rPr>
                <w:rStyle w:val="cf01"/>
                <w:sz w:val="20"/>
                <w:szCs w:val="20"/>
              </w:rPr>
              <w:t xml:space="preserve">. </w:t>
            </w:r>
            <w:r w:rsidRPr="00E61E42">
              <w:rPr>
                <w:rStyle w:val="cf01"/>
                <w:sz w:val="20"/>
                <w:szCs w:val="20"/>
              </w:rPr>
              <w:t>This should include transparency</w:t>
            </w:r>
            <w:r w:rsidR="002A0D74" w:rsidRPr="00E61E42">
              <w:rPr>
                <w:rStyle w:val="cf01"/>
                <w:sz w:val="20"/>
                <w:szCs w:val="20"/>
              </w:rPr>
              <w:fldChar w:fldCharType="begin"/>
            </w:r>
            <w:r w:rsidR="002A0D74" w:rsidRPr="00E61E42">
              <w:rPr>
                <w:rStyle w:val="cf01"/>
                <w:sz w:val="20"/>
                <w:szCs w:val="20"/>
              </w:rPr>
              <w:instrText xml:space="preserve"> XE "transparency" </w:instrText>
            </w:r>
            <w:r w:rsidR="002A0D74" w:rsidRPr="00E61E42">
              <w:rPr>
                <w:rStyle w:val="cf01"/>
                <w:sz w:val="20"/>
                <w:szCs w:val="20"/>
              </w:rPr>
              <w:fldChar w:fldCharType="end"/>
            </w:r>
            <w:r w:rsidRPr="00E61E42">
              <w:rPr>
                <w:rStyle w:val="cf01"/>
                <w:sz w:val="20"/>
                <w:szCs w:val="20"/>
              </w:rPr>
              <w:t xml:space="preserve"> for the community with published information on the progress by all parties (Commonwealth, </w:t>
            </w:r>
            <w:r w:rsidR="00683F22" w:rsidRPr="00E61E42">
              <w:rPr>
                <w:rStyle w:val="cf01"/>
                <w:sz w:val="20"/>
                <w:szCs w:val="20"/>
              </w:rPr>
              <w:t>s</w:t>
            </w:r>
            <w:r w:rsidRPr="00E61E42">
              <w:rPr>
                <w:rStyle w:val="cf01"/>
                <w:sz w:val="20"/>
                <w:szCs w:val="20"/>
              </w:rPr>
              <w:t xml:space="preserve">ponsor, and </w:t>
            </w:r>
            <w:r w:rsidR="00B3692A" w:rsidRPr="00E61E42">
              <w:rPr>
                <w:rStyle w:val="cf01"/>
                <w:sz w:val="20"/>
                <w:szCs w:val="20"/>
              </w:rPr>
              <w:t>s</w:t>
            </w:r>
            <w:r w:rsidRPr="00E61E42">
              <w:rPr>
                <w:rStyle w:val="cf01"/>
                <w:sz w:val="20"/>
                <w:szCs w:val="20"/>
              </w:rPr>
              <w:t xml:space="preserve">tate and </w:t>
            </w:r>
            <w:r w:rsidR="00B3692A" w:rsidRPr="00E61E42">
              <w:rPr>
                <w:rStyle w:val="cf01"/>
                <w:sz w:val="20"/>
                <w:szCs w:val="20"/>
              </w:rPr>
              <w:t>t</w:t>
            </w:r>
            <w:r w:rsidRPr="00E61E42">
              <w:rPr>
                <w:rStyle w:val="cf01"/>
                <w:sz w:val="20"/>
                <w:szCs w:val="20"/>
              </w:rPr>
              <w:t xml:space="preserve">erritory </w:t>
            </w:r>
            <w:r w:rsidR="00B3692A" w:rsidRPr="00E61E42">
              <w:rPr>
                <w:rStyle w:val="cf01"/>
                <w:sz w:val="20"/>
                <w:szCs w:val="20"/>
              </w:rPr>
              <w:t>g</w:t>
            </w:r>
            <w:r w:rsidRPr="00E61E42">
              <w:rPr>
                <w:rStyle w:val="cf01"/>
                <w:sz w:val="20"/>
                <w:szCs w:val="20"/>
              </w:rPr>
              <w:t>overnments</w:t>
            </w:r>
            <w:r w:rsidR="00FC6010" w:rsidRPr="00E61E42">
              <w:rPr>
                <w:rStyle w:val="cf01"/>
                <w:sz w:val="20"/>
                <w:szCs w:val="20"/>
              </w:rPr>
              <w:fldChar w:fldCharType="begin"/>
            </w:r>
            <w:r w:rsidR="00FC6010" w:rsidRPr="00E61E42">
              <w:rPr>
                <w:rStyle w:val="cf01"/>
                <w:sz w:val="20"/>
                <w:szCs w:val="20"/>
              </w:rPr>
              <w:instrText xml:space="preserve"> XE "state and territory governments" \b </w:instrText>
            </w:r>
            <w:r w:rsidR="00FC6010" w:rsidRPr="00E61E42">
              <w:rPr>
                <w:rStyle w:val="cf01"/>
                <w:sz w:val="20"/>
                <w:szCs w:val="20"/>
              </w:rPr>
              <w:fldChar w:fldCharType="end"/>
            </w:r>
            <w:r w:rsidRPr="00E61E42">
              <w:rPr>
                <w:rStyle w:val="cf01"/>
                <w:sz w:val="20"/>
                <w:szCs w:val="20"/>
              </w:rPr>
              <w:t>)</w:t>
            </w:r>
          </w:p>
          <w:p w14:paraId="15AF6379" w14:textId="5598AB89" w:rsidR="006F5B0D" w:rsidRPr="00E61E42" w:rsidRDefault="006F5B0D" w:rsidP="008505D7">
            <w:pPr>
              <w:pStyle w:val="ListParagraph"/>
              <w:numPr>
                <w:ilvl w:val="0"/>
                <w:numId w:val="58"/>
              </w:numPr>
              <w:spacing w:after="0"/>
              <w:rPr>
                <w:rStyle w:val="cf01"/>
                <w:sz w:val="20"/>
                <w:szCs w:val="20"/>
              </w:rPr>
            </w:pPr>
            <w:r w:rsidRPr="00E61E42">
              <w:rPr>
                <w:rStyle w:val="cf01"/>
                <w:sz w:val="20"/>
                <w:szCs w:val="20"/>
              </w:rPr>
              <w:t>Horizon scanning to facilitate timely planning and preparation for adoption by jurisdictions ahead of TGA application being lodged by the sponsor (</w:t>
            </w:r>
            <w:r w:rsidR="005F4CD8">
              <w:rPr>
                <w:rStyle w:val="cf01"/>
                <w:sz w:val="20"/>
                <w:szCs w:val="20"/>
              </w:rPr>
              <w:t>s</w:t>
            </w:r>
            <w:r w:rsidRPr="00E61E42">
              <w:rPr>
                <w:rStyle w:val="cf01"/>
                <w:sz w:val="20"/>
                <w:szCs w:val="20"/>
              </w:rPr>
              <w:t xml:space="preserve">ee </w:t>
            </w:r>
            <w:hyperlink w:anchor="_Establishment_of_horizon" w:history="1">
              <w:r w:rsidR="00C125A9">
                <w:rPr>
                  <w:rStyle w:val="Hyperlink"/>
                  <w:rFonts w:cs="Segoe UI"/>
                  <w:sz w:val="20"/>
                  <w:szCs w:val="20"/>
                </w:rPr>
                <w:t>horizon scanning</w:t>
              </w:r>
              <w:r w:rsidR="00953783">
                <w:rPr>
                  <w:rStyle w:val="Hyperlink"/>
                  <w:rFonts w:cs="Segoe UI"/>
                  <w:sz w:val="20"/>
                  <w:szCs w:val="20"/>
                </w:rPr>
                <w:fldChar w:fldCharType="begin"/>
              </w:r>
              <w:r w:rsidR="00953783">
                <w:instrText xml:space="preserve"> XE "</w:instrText>
              </w:r>
              <w:r w:rsidR="00953783" w:rsidRPr="00E51D8C">
                <w:instrText>horizon scanning</w:instrText>
              </w:r>
              <w:r w:rsidR="00953783">
                <w:instrText xml:space="preserve">" </w:instrText>
              </w:r>
              <w:r w:rsidR="00953783">
                <w:rPr>
                  <w:rStyle w:val="Hyperlink"/>
                  <w:rFonts w:cs="Segoe UI"/>
                  <w:sz w:val="20"/>
                  <w:szCs w:val="20"/>
                </w:rPr>
                <w:fldChar w:fldCharType="end"/>
              </w:r>
            </w:hyperlink>
            <w:r w:rsidRPr="00E61E42">
              <w:rPr>
                <w:rStyle w:val="cf01"/>
                <w:sz w:val="20"/>
                <w:szCs w:val="20"/>
              </w:rPr>
              <w:t xml:space="preserve"> below)</w:t>
            </w:r>
          </w:p>
          <w:p w14:paraId="0487E1DE" w14:textId="51D4F3A1" w:rsidR="006F5B0D" w:rsidRPr="00E61E42" w:rsidRDefault="006F5B0D" w:rsidP="008505D7">
            <w:pPr>
              <w:pStyle w:val="ListParagraph"/>
              <w:numPr>
                <w:ilvl w:val="0"/>
                <w:numId w:val="58"/>
              </w:numPr>
              <w:spacing w:after="0"/>
              <w:rPr>
                <w:rStyle w:val="cf01"/>
                <w:sz w:val="20"/>
                <w:szCs w:val="20"/>
              </w:rPr>
            </w:pPr>
            <w:r w:rsidRPr="00E61E42">
              <w:rPr>
                <w:rStyle w:val="cf01"/>
                <w:sz w:val="20"/>
                <w:szCs w:val="20"/>
              </w:rPr>
              <w:t>Establish (or participate in existing international collaboration</w:t>
            </w:r>
            <w:r w:rsidR="000732FF" w:rsidRPr="00E61E42">
              <w:rPr>
                <w:rStyle w:val="cf01"/>
                <w:sz w:val="20"/>
                <w:szCs w:val="20"/>
              </w:rPr>
              <w:fldChar w:fldCharType="begin"/>
            </w:r>
            <w:r w:rsidR="000732FF" w:rsidRPr="00E61E42">
              <w:rPr>
                <w:rStyle w:val="cf01"/>
                <w:sz w:val="20"/>
                <w:szCs w:val="20"/>
              </w:rPr>
              <w:instrText xml:space="preserve"> XE "international collaboration" \b </w:instrText>
            </w:r>
            <w:r w:rsidR="000732FF" w:rsidRPr="00E61E42">
              <w:rPr>
                <w:rStyle w:val="cf01"/>
                <w:sz w:val="20"/>
                <w:szCs w:val="20"/>
              </w:rPr>
              <w:fldChar w:fldCharType="end"/>
            </w:r>
            <w:r w:rsidRPr="00E61E42">
              <w:rPr>
                <w:rStyle w:val="cf01"/>
                <w:sz w:val="20"/>
                <w:szCs w:val="20"/>
              </w:rPr>
              <w:t>) for Horizon Scanning, with input from a broad range of stakeholders including patient organisations, industry and State and Territor</w:t>
            </w:r>
            <w:r w:rsidR="00421550">
              <w:rPr>
                <w:rStyle w:val="cf01"/>
                <w:sz w:val="20"/>
                <w:szCs w:val="20"/>
              </w:rPr>
              <w:t>y governments</w:t>
            </w:r>
            <w:r w:rsidRPr="00E61E42">
              <w:rPr>
                <w:rStyle w:val="cf01"/>
                <w:sz w:val="20"/>
                <w:szCs w:val="20"/>
              </w:rPr>
              <w:t xml:space="preserve">, particularly focused on </w:t>
            </w:r>
            <w:r w:rsidR="00D97C2B">
              <w:rPr>
                <w:rStyle w:val="cf01"/>
                <w:sz w:val="20"/>
                <w:szCs w:val="20"/>
              </w:rPr>
              <w:t xml:space="preserve">high cost </w:t>
            </w:r>
            <w:r w:rsidRPr="00E61E42">
              <w:rPr>
                <w:rStyle w:val="cf01"/>
                <w:sz w:val="20"/>
                <w:szCs w:val="20"/>
              </w:rPr>
              <w:t>HST</w:t>
            </w:r>
            <w:r w:rsidR="00D0068C">
              <w:rPr>
                <w:rStyle w:val="cf01"/>
                <w:sz w:val="20"/>
                <w:szCs w:val="20"/>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Style w:val="cf01"/>
                <w:sz w:val="20"/>
                <w:szCs w:val="20"/>
              </w:rPr>
              <w:fldChar w:fldCharType="end"/>
            </w:r>
            <w:r w:rsidRPr="00E61E42">
              <w:rPr>
                <w:rStyle w:val="cf01"/>
                <w:sz w:val="20"/>
                <w:szCs w:val="20"/>
              </w:rPr>
              <w:t xml:space="preserve">’s </w:t>
            </w:r>
            <w:r w:rsidR="00FD2137">
              <w:rPr>
                <w:rStyle w:val="cf01"/>
                <w:sz w:val="20"/>
                <w:szCs w:val="20"/>
              </w:rPr>
              <w:t xml:space="preserve">funded through the NHRA, </w:t>
            </w:r>
            <w:r w:rsidRPr="00E61E42">
              <w:rPr>
                <w:rStyle w:val="cf01"/>
                <w:sz w:val="20"/>
                <w:szCs w:val="20"/>
              </w:rPr>
              <w:t>to ensure jurisdictions can begin early implementation planning of HST</w:t>
            </w:r>
            <w:r w:rsidR="00D0068C">
              <w:rPr>
                <w:rStyle w:val="cf01"/>
                <w:sz w:val="20"/>
                <w:szCs w:val="20"/>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Style w:val="cf01"/>
                <w:sz w:val="20"/>
                <w:szCs w:val="20"/>
              </w:rPr>
              <w:fldChar w:fldCharType="end"/>
            </w:r>
            <w:r w:rsidRPr="00E61E42">
              <w:rPr>
                <w:rStyle w:val="cf01"/>
                <w:sz w:val="20"/>
                <w:szCs w:val="20"/>
              </w:rPr>
              <w:t xml:space="preserve">’s </w:t>
            </w:r>
          </w:p>
          <w:p w14:paraId="6BF0AB02" w14:textId="06E4BB98" w:rsidR="006F5B0D" w:rsidRPr="00E61E42" w:rsidRDefault="006F5B0D" w:rsidP="008505D7">
            <w:pPr>
              <w:pStyle w:val="ListParagraph"/>
              <w:numPr>
                <w:ilvl w:val="0"/>
                <w:numId w:val="58"/>
              </w:numPr>
              <w:spacing w:after="0"/>
              <w:rPr>
                <w:rStyle w:val="cf01"/>
                <w:sz w:val="20"/>
                <w:szCs w:val="20"/>
              </w:rPr>
            </w:pPr>
            <w:r w:rsidRPr="00E61E42">
              <w:rPr>
                <w:rStyle w:val="cf01"/>
                <w:sz w:val="20"/>
                <w:szCs w:val="20"/>
              </w:rPr>
              <w:lastRenderedPageBreak/>
              <w:t xml:space="preserve">Collaborate with the </w:t>
            </w:r>
            <w:r w:rsidR="00933C94">
              <w:rPr>
                <w:rStyle w:val="cf01"/>
                <w:sz w:val="20"/>
                <w:szCs w:val="20"/>
              </w:rPr>
              <w:t>s</w:t>
            </w:r>
            <w:r w:rsidRPr="00E61E42">
              <w:rPr>
                <w:rStyle w:val="cf01"/>
                <w:sz w:val="20"/>
                <w:szCs w:val="20"/>
              </w:rPr>
              <w:t xml:space="preserve">tate and </w:t>
            </w:r>
            <w:r w:rsidR="00933C94">
              <w:rPr>
                <w:rStyle w:val="cf01"/>
                <w:sz w:val="20"/>
                <w:szCs w:val="20"/>
              </w:rPr>
              <w:t>t</w:t>
            </w:r>
            <w:r w:rsidRPr="00E61E42">
              <w:rPr>
                <w:rStyle w:val="cf01"/>
                <w:sz w:val="20"/>
                <w:szCs w:val="20"/>
              </w:rPr>
              <w:t>erritor</w:t>
            </w:r>
            <w:r w:rsidR="00933C94">
              <w:rPr>
                <w:rStyle w:val="cf01"/>
                <w:sz w:val="20"/>
                <w:szCs w:val="20"/>
              </w:rPr>
              <w:t>y governments</w:t>
            </w:r>
            <w:r w:rsidR="00CA32F1">
              <w:rPr>
                <w:rStyle w:val="cf01"/>
                <w:sz w:val="20"/>
                <w:szCs w:val="20"/>
              </w:rPr>
              <w:fldChar w:fldCharType="begin"/>
            </w:r>
            <w:r w:rsidR="00CA32F1">
              <w:instrText xml:space="preserve"> XE "</w:instrText>
            </w:r>
            <w:r w:rsidR="00CA32F1" w:rsidRPr="002E4A7A">
              <w:instrText>state and territory governments</w:instrText>
            </w:r>
            <w:r w:rsidR="00CA32F1">
              <w:instrText xml:space="preserve">" </w:instrText>
            </w:r>
            <w:r w:rsidR="00CA32F1">
              <w:rPr>
                <w:rStyle w:val="cf01"/>
                <w:sz w:val="20"/>
                <w:szCs w:val="20"/>
              </w:rPr>
              <w:fldChar w:fldCharType="end"/>
            </w:r>
            <w:r w:rsidRPr="00E61E42">
              <w:rPr>
                <w:rStyle w:val="cf01"/>
                <w:sz w:val="20"/>
                <w:szCs w:val="20"/>
              </w:rPr>
              <w:t xml:space="preserve"> to ensure results of horizon scanning</w:t>
            </w:r>
            <w:r w:rsidR="00CF3213" w:rsidRPr="00E61E42">
              <w:rPr>
                <w:rStyle w:val="cf01"/>
                <w:sz w:val="20"/>
                <w:szCs w:val="20"/>
              </w:rPr>
              <w:fldChar w:fldCharType="begin"/>
            </w:r>
            <w:r w:rsidR="00CF3213" w:rsidRPr="00E61E42">
              <w:rPr>
                <w:rStyle w:val="cf01"/>
                <w:sz w:val="20"/>
                <w:szCs w:val="20"/>
              </w:rPr>
              <w:instrText xml:space="preserve"> XE "horizon scanning" \b </w:instrText>
            </w:r>
            <w:r w:rsidR="00CF3213" w:rsidRPr="00E61E42">
              <w:rPr>
                <w:rStyle w:val="cf01"/>
                <w:sz w:val="20"/>
                <w:szCs w:val="20"/>
              </w:rPr>
              <w:fldChar w:fldCharType="end"/>
            </w:r>
            <w:r w:rsidRPr="00E61E42">
              <w:rPr>
                <w:rStyle w:val="cf01"/>
                <w:sz w:val="20"/>
                <w:szCs w:val="20"/>
              </w:rPr>
              <w:t xml:space="preserve"> </w:t>
            </w:r>
            <w:r w:rsidR="00715F71">
              <w:rPr>
                <w:rStyle w:val="cf01"/>
                <w:sz w:val="20"/>
                <w:szCs w:val="20"/>
              </w:rPr>
              <w:t>are</w:t>
            </w:r>
            <w:r w:rsidR="00715F71" w:rsidRPr="00E61E42">
              <w:rPr>
                <w:rStyle w:val="cf01"/>
                <w:sz w:val="20"/>
                <w:szCs w:val="20"/>
              </w:rPr>
              <w:t xml:space="preserve"> </w:t>
            </w:r>
            <w:r w:rsidRPr="00E61E42">
              <w:rPr>
                <w:rStyle w:val="cf01"/>
                <w:sz w:val="20"/>
                <w:szCs w:val="20"/>
              </w:rPr>
              <w:t>being actioned into implementation plans.</w:t>
            </w:r>
          </w:p>
          <w:p w14:paraId="0ADD4FC2" w14:textId="079EBA2B" w:rsidR="006F5B0D" w:rsidRPr="00E61E42" w:rsidRDefault="006F5B0D" w:rsidP="008505D7">
            <w:pPr>
              <w:pStyle w:val="ListParagraph"/>
              <w:numPr>
                <w:ilvl w:val="0"/>
                <w:numId w:val="58"/>
              </w:numPr>
              <w:spacing w:after="0"/>
              <w:rPr>
                <w:rStyle w:val="cf01"/>
                <w:color w:val="1390CF" w:themeColor="accent4"/>
                <w:sz w:val="20"/>
                <w:szCs w:val="20"/>
              </w:rPr>
            </w:pPr>
            <w:r w:rsidRPr="00E61E42">
              <w:rPr>
                <w:rStyle w:val="cf01"/>
                <w:sz w:val="20"/>
                <w:szCs w:val="20"/>
              </w:rPr>
              <w:t xml:space="preserve">For potentially disruptive technologies, consideration of implementation requirements and initial implementation planning should occur simultaneously to the HTA with stakeholders encouraged to identify requirements for implementation within their HTA submissions (including sponsors, consumers, clinicians and </w:t>
            </w:r>
            <w:r w:rsidR="00B3692A" w:rsidRPr="00E61E42">
              <w:rPr>
                <w:rStyle w:val="cf01"/>
                <w:sz w:val="20"/>
                <w:szCs w:val="20"/>
              </w:rPr>
              <w:t>s</w:t>
            </w:r>
            <w:r w:rsidRPr="00E61E42">
              <w:rPr>
                <w:rStyle w:val="cf01"/>
                <w:sz w:val="20"/>
                <w:szCs w:val="20"/>
              </w:rPr>
              <w:t xml:space="preserve">tate and </w:t>
            </w:r>
            <w:r w:rsidR="00B3692A" w:rsidRPr="00E61E42">
              <w:rPr>
                <w:rStyle w:val="cf01"/>
                <w:sz w:val="20"/>
                <w:szCs w:val="20"/>
              </w:rPr>
              <w:t>t</w:t>
            </w:r>
            <w:r w:rsidRPr="00E61E42">
              <w:rPr>
                <w:rStyle w:val="cf01"/>
                <w:sz w:val="20"/>
                <w:szCs w:val="20"/>
              </w:rPr>
              <w:t xml:space="preserve">erritory </w:t>
            </w:r>
            <w:r w:rsidR="00B3692A" w:rsidRPr="00E61E42">
              <w:rPr>
                <w:rStyle w:val="cf01"/>
                <w:sz w:val="20"/>
                <w:szCs w:val="20"/>
              </w:rPr>
              <w:t>g</w:t>
            </w:r>
            <w:r w:rsidRPr="00E61E42">
              <w:rPr>
                <w:rStyle w:val="cf01"/>
                <w:sz w:val="20"/>
                <w:szCs w:val="20"/>
              </w:rPr>
              <w:t>overnments</w:t>
            </w:r>
            <w:r w:rsidR="00FC6010" w:rsidRPr="00E61E42">
              <w:rPr>
                <w:rStyle w:val="cf01"/>
                <w:sz w:val="20"/>
                <w:szCs w:val="20"/>
              </w:rPr>
              <w:fldChar w:fldCharType="begin"/>
            </w:r>
            <w:r w:rsidR="00FC6010" w:rsidRPr="00E61E42">
              <w:rPr>
                <w:rStyle w:val="cf01"/>
                <w:sz w:val="20"/>
                <w:szCs w:val="20"/>
              </w:rPr>
              <w:instrText xml:space="preserve"> XE "state and territory governments" \b </w:instrText>
            </w:r>
            <w:r w:rsidR="00FC6010" w:rsidRPr="00E61E42">
              <w:rPr>
                <w:rStyle w:val="cf01"/>
                <w:sz w:val="20"/>
                <w:szCs w:val="20"/>
              </w:rPr>
              <w:fldChar w:fldCharType="end"/>
            </w:r>
            <w:r w:rsidRPr="00E61E42">
              <w:rPr>
                <w:rStyle w:val="cf01"/>
                <w:sz w:val="20"/>
                <w:szCs w:val="20"/>
              </w:rPr>
              <w:t>)</w:t>
            </w:r>
            <w:r w:rsidR="00AB08D2" w:rsidRPr="00E61E42">
              <w:rPr>
                <w:rStyle w:val="cf01"/>
                <w:sz w:val="20"/>
                <w:szCs w:val="20"/>
              </w:rPr>
              <w:t>:</w:t>
            </w:r>
            <w:r w:rsidRPr="00E61E42">
              <w:rPr>
                <w:rStyle w:val="cf01"/>
                <w:sz w:val="20"/>
                <w:szCs w:val="20"/>
              </w:rPr>
              <w:t xml:space="preserve"> Establish a process to facilitate a collaborative mechanism for stakeholders to work together on implementation planning of a health technology early, including sponsors, </w:t>
            </w:r>
            <w:r w:rsidR="00B3692A" w:rsidRPr="00E61E42">
              <w:rPr>
                <w:rStyle w:val="cf01"/>
                <w:sz w:val="20"/>
                <w:szCs w:val="20"/>
              </w:rPr>
              <w:t>s</w:t>
            </w:r>
            <w:r w:rsidRPr="00E61E42">
              <w:rPr>
                <w:rStyle w:val="cf01"/>
                <w:sz w:val="20"/>
                <w:szCs w:val="20"/>
              </w:rPr>
              <w:t xml:space="preserve">tate and </w:t>
            </w:r>
            <w:r w:rsidR="00B3692A" w:rsidRPr="00E61E42">
              <w:rPr>
                <w:rStyle w:val="cf01"/>
                <w:sz w:val="20"/>
                <w:szCs w:val="20"/>
              </w:rPr>
              <w:t>t</w:t>
            </w:r>
            <w:r w:rsidRPr="00E61E42">
              <w:rPr>
                <w:rStyle w:val="cf01"/>
                <w:sz w:val="20"/>
                <w:szCs w:val="20"/>
              </w:rPr>
              <w:t xml:space="preserve">erritory </w:t>
            </w:r>
            <w:r w:rsidR="00B3692A" w:rsidRPr="00E61E42">
              <w:rPr>
                <w:rStyle w:val="cf01"/>
                <w:sz w:val="20"/>
                <w:szCs w:val="20"/>
              </w:rPr>
              <w:t>g</w:t>
            </w:r>
            <w:r w:rsidRPr="00E61E42">
              <w:rPr>
                <w:rStyle w:val="cf01"/>
                <w:sz w:val="20"/>
                <w:szCs w:val="20"/>
              </w:rPr>
              <w:t>overnments, health practitioners and respective colleges to identify potential workforce and system capacity/capability issues and mitigation options (</w:t>
            </w:r>
            <w:r w:rsidR="00C07E36">
              <w:rPr>
                <w:rStyle w:val="cf01"/>
                <w:sz w:val="20"/>
                <w:szCs w:val="20"/>
              </w:rPr>
              <w:t xml:space="preserve">e.g. </w:t>
            </w:r>
            <w:r w:rsidRPr="00E61E42">
              <w:rPr>
                <w:rStyle w:val="cf01"/>
                <w:sz w:val="20"/>
                <w:szCs w:val="20"/>
              </w:rPr>
              <w:t xml:space="preserve">via education and training), to proactively support provisioning of new health technologies. </w:t>
            </w:r>
            <w:r w:rsidR="004E292F" w:rsidRPr="0081090A">
              <w:rPr>
                <w:rStyle w:val="cf01"/>
                <w:sz w:val="20"/>
                <w:szCs w:val="20"/>
              </w:rPr>
              <w:t>See</w:t>
            </w:r>
            <w:r w:rsidR="004E292F">
              <w:rPr>
                <w:rStyle w:val="cf01"/>
                <w:color w:val="1390CF" w:themeColor="accent4"/>
                <w:sz w:val="20"/>
                <w:szCs w:val="20"/>
              </w:rPr>
              <w:t xml:space="preserve"> </w:t>
            </w:r>
            <w:r w:rsidR="00306E9B" w:rsidRPr="007E7F63">
              <w:rPr>
                <w:rStyle w:val="cf01"/>
                <w:color w:val="1390CF" w:themeColor="accent4"/>
                <w:sz w:val="20"/>
                <w:szCs w:val="20"/>
                <w:u w:val="single"/>
              </w:rPr>
              <w:fldChar w:fldCharType="begin"/>
            </w:r>
            <w:r w:rsidR="00306E9B" w:rsidRPr="007E7F63">
              <w:rPr>
                <w:rStyle w:val="cf01"/>
                <w:sz w:val="20"/>
                <w:szCs w:val="20"/>
                <w:u w:val="single"/>
              </w:rPr>
              <w:instrText xml:space="preserve"> REF _Ref156893849 \h </w:instrText>
            </w:r>
            <w:r w:rsidR="0070749B" w:rsidRPr="007E7F63">
              <w:rPr>
                <w:rStyle w:val="cf01"/>
                <w:sz w:val="20"/>
                <w:szCs w:val="20"/>
                <w:u w:val="single"/>
              </w:rPr>
              <w:instrText xml:space="preserve"> \* MERGEFORMAT </w:instrText>
            </w:r>
            <w:r w:rsidR="00306E9B" w:rsidRPr="007E7F63">
              <w:rPr>
                <w:rStyle w:val="cf01"/>
                <w:color w:val="1390CF" w:themeColor="accent4"/>
                <w:sz w:val="20"/>
                <w:szCs w:val="20"/>
                <w:u w:val="single"/>
              </w:rPr>
            </w:r>
            <w:r w:rsidR="00306E9B" w:rsidRPr="007E7F63">
              <w:rPr>
                <w:rStyle w:val="cf01"/>
                <w:color w:val="1390CF" w:themeColor="accent4"/>
                <w:sz w:val="20"/>
                <w:szCs w:val="20"/>
                <w:u w:val="single"/>
              </w:rPr>
              <w:fldChar w:fldCharType="separate"/>
            </w:r>
            <w:r w:rsidR="00474ED6" w:rsidRPr="00474ED6">
              <w:rPr>
                <w:rStyle w:val="cf01"/>
                <w:color w:val="1390CF" w:themeColor="accent4"/>
                <w:sz w:val="20"/>
                <w:szCs w:val="20"/>
                <w:u w:val="single"/>
              </w:rPr>
              <w:t>Proactively addressing areas of unmet clinical need</w:t>
            </w:r>
            <w:r w:rsidR="00474ED6" w:rsidRPr="00474ED6">
              <w:rPr>
                <w:rStyle w:val="cf01"/>
                <w:color w:val="1390CF" w:themeColor="accent4"/>
                <w:sz w:val="20"/>
                <w:szCs w:val="20"/>
                <w:u w:val="single"/>
              </w:rPr>
              <w:fldChar w:fldCharType="begin"/>
            </w:r>
            <w:r w:rsidR="00474ED6" w:rsidRPr="00474ED6">
              <w:rPr>
                <w:rStyle w:val="cf01"/>
                <w:color w:val="1390CF" w:themeColor="accent4"/>
                <w:sz w:val="20"/>
                <w:szCs w:val="20"/>
                <w:u w:val="single"/>
              </w:rPr>
              <w:instrText xml:space="preserve"> XE "unmet clinical need" \b </w:instrText>
            </w:r>
            <w:r w:rsidR="00474ED6" w:rsidRPr="00474ED6">
              <w:rPr>
                <w:rStyle w:val="cf01"/>
                <w:color w:val="1390CF" w:themeColor="accent4"/>
                <w:sz w:val="20"/>
                <w:szCs w:val="20"/>
                <w:u w:val="single"/>
              </w:rPr>
              <w:fldChar w:fldCharType="end"/>
            </w:r>
            <w:r w:rsidR="00474ED6" w:rsidRPr="00474ED6">
              <w:rPr>
                <w:rStyle w:val="cf01"/>
                <w:color w:val="1390CF" w:themeColor="accent4"/>
                <w:sz w:val="20"/>
                <w:szCs w:val="20"/>
                <w:u w:val="single"/>
              </w:rPr>
              <w:t xml:space="preserve"> and gaps in funded access</w:t>
            </w:r>
            <w:r w:rsidR="00306E9B" w:rsidRPr="007E7F63">
              <w:rPr>
                <w:rStyle w:val="cf01"/>
                <w:color w:val="1390CF" w:themeColor="accent4"/>
                <w:sz w:val="20"/>
                <w:szCs w:val="20"/>
                <w:u w:val="single"/>
              </w:rPr>
              <w:fldChar w:fldCharType="end"/>
            </w:r>
          </w:p>
          <w:p w14:paraId="4DAD0F60" w14:textId="67498BD5" w:rsidR="006F5B0D" w:rsidRPr="004B0BED" w:rsidRDefault="006F5B0D" w:rsidP="008505D7">
            <w:pPr>
              <w:pStyle w:val="ListParagraph"/>
              <w:numPr>
                <w:ilvl w:val="0"/>
                <w:numId w:val="58"/>
              </w:numPr>
              <w:spacing w:after="0"/>
              <w:rPr>
                <w:rFonts w:eastAsia="Times New Roman" w:cs="Segoe UI"/>
                <w:color w:val="222A35"/>
                <w:kern w:val="24"/>
                <w:sz w:val="20"/>
                <w:szCs w:val="20"/>
                <w:lang w:eastAsia="en-AU"/>
              </w:rPr>
            </w:pPr>
            <w:r w:rsidRPr="00E61E42">
              <w:rPr>
                <w:rStyle w:val="cf01"/>
                <w:sz w:val="20"/>
                <w:szCs w:val="20"/>
              </w:rPr>
              <w:t>Parties to the NHRA to develop a mechanism to reduce administrative burden and duplication for industry that occurs currently where sponsors are required to develop individual agreements with each jurisdiction and in many circumstances individual local health authorities.</w:t>
            </w:r>
          </w:p>
        </w:tc>
      </w:tr>
      <w:bookmarkEnd w:id="36"/>
      <w:tr w:rsidR="00603DF7" w:rsidRPr="006647C5" w14:paraId="64007142" w14:textId="77777777" w:rsidTr="00C93D28">
        <w:trPr>
          <w:trHeight w:val="266"/>
        </w:trPr>
        <w:tc>
          <w:tcPr>
            <w:tcW w:w="15735" w:type="dxa"/>
            <w:gridSpan w:val="5"/>
            <w:tcBorders>
              <w:top w:val="single" w:sz="4" w:space="0" w:color="008A96" w:themeColor="accent3"/>
            </w:tcBorders>
            <w:shd w:val="clear" w:color="auto" w:fill="FFFFFF" w:themeFill="background1"/>
            <w:tcMar>
              <w:top w:w="72" w:type="dxa"/>
              <w:left w:w="144" w:type="dxa"/>
              <w:bottom w:w="72" w:type="dxa"/>
              <w:right w:w="144" w:type="dxa"/>
            </w:tcMar>
          </w:tcPr>
          <w:p w14:paraId="5CC9E592" w14:textId="7B8A30B5" w:rsidR="00603DF7" w:rsidRPr="009D14F6" w:rsidRDefault="006F5B0D" w:rsidP="008505D7">
            <w:pPr>
              <w:pStyle w:val="ListParagraph"/>
              <w:numPr>
                <w:ilvl w:val="0"/>
                <w:numId w:val="35"/>
              </w:numPr>
              <w:spacing w:after="0"/>
              <w:ind w:left="215" w:hanging="357"/>
              <w:rPr>
                <w:rFonts w:eastAsia="Times New Roman" w:cs="Segoe UI"/>
                <w:color w:val="222A35"/>
                <w:kern w:val="24"/>
                <w:sz w:val="20"/>
                <w:szCs w:val="20"/>
                <w:lang w:eastAsia="en-AU"/>
              </w:rPr>
            </w:pPr>
            <w:r w:rsidRPr="009D14F6">
              <w:rPr>
                <w:rFonts w:eastAsia="Times New Roman" w:cs="Segoe UI"/>
                <w:color w:val="008A96" w:themeColor="accent3"/>
                <w:kern w:val="24"/>
                <w:lang w:eastAsia="en-AU"/>
              </w:rPr>
              <w:lastRenderedPageBreak/>
              <w:fldChar w:fldCharType="begin"/>
            </w:r>
            <w:r w:rsidRPr="009D14F6">
              <w:rPr>
                <w:rFonts w:eastAsia="Times New Roman" w:cs="Segoe UI"/>
                <w:color w:val="008A96" w:themeColor="accent3"/>
                <w:kern w:val="24"/>
                <w:lang w:eastAsia="en-AU"/>
              </w:rPr>
              <w:instrText xml:space="preserve"> REF _Ref156466436 \h </w:instrText>
            </w:r>
            <w:r w:rsidR="00AC55D5" w:rsidRPr="009D14F6">
              <w:rPr>
                <w:lang w:eastAsia="en-AU"/>
              </w:rPr>
              <w:instrText xml:space="preserve"> \* MERGEFORMAT </w:instrText>
            </w:r>
            <w:r w:rsidRPr="009D14F6">
              <w:rPr>
                <w:rFonts w:eastAsia="Times New Roman" w:cs="Segoe UI"/>
                <w:color w:val="008A96" w:themeColor="accent3"/>
                <w:kern w:val="24"/>
                <w:lang w:eastAsia="en-AU"/>
              </w:rPr>
            </w:r>
            <w:r w:rsidRPr="009D14F6">
              <w:rPr>
                <w:rFonts w:eastAsia="Times New Roman" w:cs="Segoe UI"/>
                <w:color w:val="008A96" w:themeColor="accent3"/>
                <w:kern w:val="24"/>
                <w:lang w:eastAsia="en-AU"/>
              </w:rPr>
              <w:fldChar w:fldCharType="separate"/>
            </w:r>
            <w:r w:rsidR="00474ED6" w:rsidRPr="00474ED6">
              <w:rPr>
                <w:color w:val="008A96" w:themeColor="accent3"/>
              </w:rPr>
              <w:t>Health technology funding and assessment pathways</w:t>
            </w:r>
            <w:r w:rsidRPr="009D14F6">
              <w:rPr>
                <w:rFonts w:eastAsia="Times New Roman" w:cs="Segoe UI"/>
                <w:color w:val="008A96" w:themeColor="accent3"/>
                <w:kern w:val="24"/>
                <w:lang w:eastAsia="en-AU"/>
              </w:rPr>
              <w:fldChar w:fldCharType="end"/>
            </w:r>
          </w:p>
        </w:tc>
      </w:tr>
      <w:tr w:rsidR="00603DF7" w:rsidRPr="006647C5" w14:paraId="1B27A56F" w14:textId="77777777" w:rsidTr="00C93D28">
        <w:trPr>
          <w:trHeight w:val="256"/>
        </w:trPr>
        <w:tc>
          <w:tcPr>
            <w:tcW w:w="15735" w:type="dxa"/>
            <w:gridSpan w:val="5"/>
            <w:shd w:val="clear" w:color="auto" w:fill="FFFFFF" w:themeFill="background1"/>
            <w:tcMar>
              <w:top w:w="72" w:type="dxa"/>
              <w:left w:w="144" w:type="dxa"/>
              <w:bottom w:w="72" w:type="dxa"/>
              <w:right w:w="144" w:type="dxa"/>
            </w:tcMar>
          </w:tcPr>
          <w:p w14:paraId="5F0698FA" w14:textId="71C45C42" w:rsidR="00603DF7" w:rsidRPr="009D14F6" w:rsidRDefault="00CE6D0F" w:rsidP="008505D7">
            <w:pPr>
              <w:pStyle w:val="Heading6"/>
              <w:numPr>
                <w:ilvl w:val="1"/>
                <w:numId w:val="35"/>
              </w:numPr>
              <w:pBdr>
                <w:top w:val="single" w:sz="2" w:space="1" w:color="E7E6E6" w:themeColor="background2"/>
              </w:pBdr>
              <w:rPr>
                <w:color w:val="1D437F" w:themeColor="accent1"/>
              </w:rPr>
            </w:pPr>
            <w:r w:rsidRPr="009D14F6">
              <w:rPr>
                <w:color w:val="1D437F" w:themeColor="accent1"/>
              </w:rPr>
              <w:t>Streamlining and aligning HTA pathways and advisory committees</w:t>
            </w:r>
            <w:r w:rsidR="00AC55D5">
              <w:rPr>
                <w:color w:val="1D437F" w:themeColor="accent1"/>
              </w:rPr>
              <w:t xml:space="preserve"> - </w:t>
            </w:r>
            <w:r w:rsidR="00AC55D5" w:rsidRPr="001630E7">
              <w:rPr>
                <w:i w:val="0"/>
                <w:color w:val="1D437F" w:themeColor="accent1"/>
              </w:rPr>
              <w:t>Overarching goal</w:t>
            </w:r>
            <w:r w:rsidR="00AC55D5">
              <w:rPr>
                <w:i w:val="0"/>
                <w:color w:val="1D437F" w:themeColor="accent1"/>
              </w:rPr>
              <w:t xml:space="preserve">: </w:t>
            </w:r>
            <w:r w:rsidR="00AC55D5" w:rsidRPr="001630E7">
              <w:rPr>
                <w:i w:val="0"/>
                <w:color w:val="1D437F" w:themeColor="accent1"/>
              </w:rPr>
              <w:t xml:space="preserve">a staged approach (including short, </w:t>
            </w:r>
            <w:proofErr w:type="gramStart"/>
            <w:r w:rsidR="00AC55D5" w:rsidRPr="001630E7">
              <w:rPr>
                <w:i w:val="0"/>
                <w:color w:val="1D437F" w:themeColor="accent1"/>
              </w:rPr>
              <w:t>medium</w:t>
            </w:r>
            <w:proofErr w:type="gramEnd"/>
            <w:r w:rsidR="00AC55D5" w:rsidRPr="001630E7">
              <w:rPr>
                <w:i w:val="0"/>
                <w:color w:val="1D437F" w:themeColor="accent1"/>
              </w:rPr>
              <w:t xml:space="preserve"> and longer-term steps) to achieving a simplified (single entry) HTA gateway reflecting nationally consistent HTA approach.</w:t>
            </w:r>
          </w:p>
        </w:tc>
      </w:tr>
      <w:tr w:rsidR="00EA7E0F" w:rsidRPr="006647C5" w14:paraId="47D5313B" w14:textId="6245EFDF" w:rsidTr="00534579">
        <w:trPr>
          <w:trHeight w:val="996"/>
        </w:trPr>
        <w:tc>
          <w:tcPr>
            <w:tcW w:w="1055" w:type="dxa"/>
            <w:tcBorders>
              <w:left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hideMark/>
          </w:tcPr>
          <w:p w14:paraId="7C18682B" w14:textId="7D885FEC" w:rsidR="00EA7E0F" w:rsidRPr="005F065C" w:rsidRDefault="00EA7E0F" w:rsidP="008C10BB">
            <w:pPr>
              <w:spacing w:after="120"/>
              <w:rPr>
                <w:rFonts w:eastAsia="Times New Roman" w:cs="Segoe UI"/>
                <w:sz w:val="20"/>
                <w:szCs w:val="20"/>
                <w:lang w:eastAsia="en-AU"/>
              </w:rPr>
            </w:pPr>
          </w:p>
        </w:tc>
        <w:tc>
          <w:tcPr>
            <w:tcW w:w="1901"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hideMark/>
          </w:tcPr>
          <w:p w14:paraId="7E1E15E0" w14:textId="0A20B0E1" w:rsidR="006F5B0D" w:rsidRDefault="006F5B0D" w:rsidP="009D14F6">
            <w:pPr>
              <w:pStyle w:val="Heading7"/>
              <w:keepNext w:val="0"/>
              <w:keepLines w:val="0"/>
              <w:ind w:left="-143"/>
              <w:rPr>
                <w:lang w:eastAsia="en-AU"/>
              </w:rPr>
            </w:pPr>
            <w:r>
              <w:rPr>
                <w:lang w:eastAsia="en-AU"/>
              </w:rPr>
              <w:t>Pathway for drugs for ultra-rare diseases</w:t>
            </w:r>
            <w:r w:rsidR="008B7A1E">
              <w:rPr>
                <w:lang w:eastAsia="en-AU"/>
              </w:rPr>
              <w:fldChar w:fldCharType="begin"/>
            </w:r>
            <w:r w:rsidR="008B7A1E">
              <w:instrText xml:space="preserve"> XE "</w:instrText>
            </w:r>
            <w:r w:rsidR="008B7A1E" w:rsidRPr="009A7D37">
              <w:rPr>
                <w:rFonts w:eastAsia="Times New Roman"/>
                <w:color w:val="222A35"/>
                <w:kern w:val="24"/>
                <w:lang w:eastAsia="en-AU"/>
              </w:rPr>
              <w:instrText>rare diseases</w:instrText>
            </w:r>
            <w:r w:rsidR="008B7A1E">
              <w:instrText xml:space="preserve">" \b </w:instrText>
            </w:r>
            <w:r w:rsidR="008B7A1E">
              <w:rPr>
                <w:lang w:eastAsia="en-AU"/>
              </w:rPr>
              <w:fldChar w:fldCharType="end"/>
            </w:r>
            <w:r>
              <w:rPr>
                <w:lang w:eastAsia="en-AU"/>
              </w:rPr>
              <w:t xml:space="preserve"> </w:t>
            </w:r>
          </w:p>
          <w:p w14:paraId="4F613FD1" w14:textId="6343ECE2" w:rsidR="00EA7E0F" w:rsidRPr="005F065C" w:rsidRDefault="006F5B0D" w:rsidP="009D14F6">
            <w:pPr>
              <w:pStyle w:val="Heading7"/>
              <w:keepNext w:val="0"/>
              <w:keepLines w:val="0"/>
              <w:ind w:left="-143"/>
              <w:rPr>
                <w:lang w:eastAsia="en-AU"/>
              </w:rPr>
            </w:pPr>
            <w:r>
              <w:rPr>
                <w:lang w:eastAsia="en-AU"/>
              </w:rPr>
              <w:t>(</w:t>
            </w:r>
            <w:r w:rsidR="00EA7E0F" w:rsidRPr="006647C5">
              <w:rPr>
                <w:lang w:eastAsia="en-AU"/>
              </w:rPr>
              <w:t>Life Saving Drugs Program</w:t>
            </w:r>
            <w:r w:rsidR="00BA6A94">
              <w:rPr>
                <w:lang w:eastAsia="en-AU"/>
              </w:rPr>
              <w:fldChar w:fldCharType="begin"/>
            </w:r>
            <w:r w:rsidR="00BA6A94">
              <w:instrText xml:space="preserve"> XE "</w:instrText>
            </w:r>
            <w:r w:rsidR="00BA6A94" w:rsidRPr="001B64C0">
              <w:rPr>
                <w:lang w:eastAsia="en-AU"/>
              </w:rPr>
              <w:instrText>Life Saving Drugs Program</w:instrText>
            </w:r>
            <w:r w:rsidR="00BA6A94">
              <w:instrText xml:space="preserve">" \b </w:instrText>
            </w:r>
            <w:r w:rsidR="00BA6A94">
              <w:rPr>
                <w:lang w:eastAsia="en-AU"/>
              </w:rPr>
              <w:fldChar w:fldCharType="end"/>
            </w:r>
            <w:r w:rsidR="718AA975" w:rsidRPr="006647C5">
              <w:rPr>
                <w:lang w:eastAsia="en-AU"/>
              </w:rPr>
              <w:t xml:space="preserve"> (LSDP</w:t>
            </w:r>
            <w:r w:rsidR="00E37312">
              <w:rPr>
                <w:lang w:eastAsia="en-AU"/>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lang w:eastAsia="en-AU"/>
              </w:rPr>
              <w:fldChar w:fldCharType="end"/>
            </w:r>
            <w:r w:rsidRPr="006647C5">
              <w:rPr>
                <w:lang w:eastAsia="en-AU"/>
              </w:rPr>
              <w:t>)</w:t>
            </w:r>
            <w:r>
              <w:rPr>
                <w:lang w:eastAsia="en-AU"/>
              </w:rPr>
              <w:t>)</w:t>
            </w:r>
          </w:p>
        </w:tc>
        <w:tc>
          <w:tcPr>
            <w:tcW w:w="12779"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hideMark/>
          </w:tcPr>
          <w:p w14:paraId="4C25C4FC" w14:textId="44AB6FEA" w:rsidR="00492452" w:rsidRPr="00E61E42" w:rsidRDefault="00492452" w:rsidP="008505D7">
            <w:pPr>
              <w:pStyle w:val="ListParagraph"/>
              <w:numPr>
                <w:ilvl w:val="0"/>
                <w:numId w:val="166"/>
              </w:numPr>
              <w:spacing w:after="0"/>
              <w:rPr>
                <w:rStyle w:val="cf01"/>
                <w:sz w:val="20"/>
                <w:szCs w:val="20"/>
              </w:rPr>
            </w:pPr>
            <w:r w:rsidRPr="00E61E42">
              <w:rPr>
                <w:rStyle w:val="cf01"/>
                <w:sz w:val="20"/>
                <w:szCs w:val="20"/>
              </w:rPr>
              <w:t>Develop and publish a statement of rationale for the LSDP</w:t>
            </w:r>
            <w:r w:rsidR="00E37312">
              <w:rPr>
                <w:rStyle w:val="cf01"/>
                <w:sz w:val="20"/>
                <w:szCs w:val="20"/>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Style w:val="cf01"/>
                <w:sz w:val="20"/>
                <w:szCs w:val="20"/>
              </w:rPr>
              <w:fldChar w:fldCharType="end"/>
            </w:r>
            <w:r w:rsidRPr="00E61E42">
              <w:rPr>
                <w:rStyle w:val="cf01"/>
                <w:sz w:val="20"/>
                <w:szCs w:val="20"/>
              </w:rPr>
              <w:t xml:space="preserve"> outlining principles underpinning the program, and the eligibility criteria, including the value-for-money consideration by reference to the overarching recommendations of the LSDP</w:t>
            </w:r>
            <w:r w:rsidR="00E37312">
              <w:rPr>
                <w:rStyle w:val="cf01"/>
                <w:sz w:val="20"/>
                <w:szCs w:val="20"/>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Style w:val="cf01"/>
                <w:sz w:val="20"/>
                <w:szCs w:val="20"/>
              </w:rPr>
              <w:fldChar w:fldCharType="end"/>
            </w:r>
            <w:r w:rsidRPr="00E61E42">
              <w:rPr>
                <w:rStyle w:val="cf01"/>
                <w:sz w:val="20"/>
                <w:szCs w:val="20"/>
              </w:rPr>
              <w:t xml:space="preserve"> Review Expert Panel recommendation. </w:t>
            </w:r>
          </w:p>
          <w:p w14:paraId="5FB34549" w14:textId="2B15363F" w:rsidR="00B86B59" w:rsidRPr="00E61E42" w:rsidRDefault="00B86B59" w:rsidP="008505D7">
            <w:pPr>
              <w:pStyle w:val="ListParagraph"/>
              <w:numPr>
                <w:ilvl w:val="0"/>
                <w:numId w:val="166"/>
              </w:numPr>
              <w:spacing w:after="0"/>
              <w:rPr>
                <w:rStyle w:val="cf01"/>
                <w:sz w:val="20"/>
                <w:szCs w:val="20"/>
              </w:rPr>
            </w:pPr>
            <w:r w:rsidRPr="00E61E42">
              <w:rPr>
                <w:rStyle w:val="cf01"/>
                <w:sz w:val="20"/>
                <w:szCs w:val="20"/>
              </w:rPr>
              <w:t>PBAC to become the sole HTA committee for drugs for ultra-rare diseases</w:t>
            </w:r>
            <w:r w:rsidR="008B7A1E" w:rsidRPr="00E61E42">
              <w:rPr>
                <w:rStyle w:val="cf01"/>
                <w:sz w:val="20"/>
                <w:szCs w:val="20"/>
              </w:rPr>
              <w:fldChar w:fldCharType="begin"/>
            </w:r>
            <w:r w:rsidR="008B7A1E" w:rsidRPr="00E61E42">
              <w:rPr>
                <w:rStyle w:val="cf01"/>
                <w:sz w:val="20"/>
                <w:szCs w:val="20"/>
              </w:rPr>
              <w:instrText xml:space="preserve"> XE "rare diseases" \b </w:instrText>
            </w:r>
            <w:r w:rsidR="008B7A1E" w:rsidRPr="00E61E42">
              <w:rPr>
                <w:rStyle w:val="cf01"/>
                <w:sz w:val="20"/>
                <w:szCs w:val="20"/>
              </w:rPr>
              <w:fldChar w:fldCharType="end"/>
            </w:r>
            <w:r w:rsidR="432407CA" w:rsidRPr="00E61E42">
              <w:rPr>
                <w:rStyle w:val="cf01"/>
                <w:sz w:val="20"/>
                <w:szCs w:val="20"/>
              </w:rPr>
              <w:t xml:space="preserve"> to eliminate double handling</w:t>
            </w:r>
            <w:r w:rsidRPr="00E61E42">
              <w:rPr>
                <w:rStyle w:val="cf01"/>
                <w:sz w:val="20"/>
                <w:szCs w:val="20"/>
              </w:rPr>
              <w:t xml:space="preserve">. </w:t>
            </w:r>
            <w:r w:rsidR="00AF3CEF" w:rsidRPr="00E61E42">
              <w:rPr>
                <w:rStyle w:val="cf01"/>
                <w:sz w:val="20"/>
                <w:szCs w:val="20"/>
              </w:rPr>
              <w:t>T</w:t>
            </w:r>
            <w:r w:rsidR="00760E1F" w:rsidRPr="00E61E42">
              <w:rPr>
                <w:rStyle w:val="cf01"/>
                <w:sz w:val="20"/>
                <w:szCs w:val="20"/>
              </w:rPr>
              <w:t>he expertise on the LSDP</w:t>
            </w:r>
            <w:r w:rsidR="00E37312">
              <w:rPr>
                <w:rStyle w:val="cf01"/>
                <w:sz w:val="20"/>
                <w:szCs w:val="20"/>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Style w:val="cf01"/>
                <w:sz w:val="20"/>
                <w:szCs w:val="20"/>
              </w:rPr>
              <w:fldChar w:fldCharType="end"/>
            </w:r>
            <w:r w:rsidR="00760E1F" w:rsidRPr="00E61E42">
              <w:rPr>
                <w:rStyle w:val="cf01"/>
                <w:sz w:val="20"/>
                <w:szCs w:val="20"/>
              </w:rPr>
              <w:t xml:space="preserve"> expert panel will </w:t>
            </w:r>
            <w:r w:rsidR="005E4A88" w:rsidRPr="00E61E42">
              <w:rPr>
                <w:rStyle w:val="cf01"/>
                <w:sz w:val="20"/>
                <w:szCs w:val="20"/>
              </w:rPr>
              <w:t xml:space="preserve">inform </w:t>
            </w:r>
            <w:r w:rsidR="000977C3" w:rsidRPr="00E61E42">
              <w:rPr>
                <w:rStyle w:val="cf01"/>
                <w:sz w:val="20"/>
                <w:szCs w:val="20"/>
              </w:rPr>
              <w:t xml:space="preserve">and support </w:t>
            </w:r>
            <w:r w:rsidR="00424898" w:rsidRPr="00E61E42">
              <w:rPr>
                <w:rStyle w:val="cf01"/>
                <w:sz w:val="20"/>
                <w:szCs w:val="20"/>
              </w:rPr>
              <w:t xml:space="preserve">decisions </w:t>
            </w:r>
            <w:r w:rsidR="002468F1" w:rsidRPr="00E61E42">
              <w:rPr>
                <w:rStyle w:val="cf01"/>
                <w:sz w:val="20"/>
                <w:szCs w:val="20"/>
              </w:rPr>
              <w:t xml:space="preserve">regarding </w:t>
            </w:r>
            <w:r w:rsidR="00EA1DBC" w:rsidRPr="00E61E42">
              <w:rPr>
                <w:rStyle w:val="cf01"/>
                <w:sz w:val="20"/>
                <w:szCs w:val="20"/>
              </w:rPr>
              <w:t>therapies for ultra</w:t>
            </w:r>
            <w:r w:rsidR="000F414A" w:rsidRPr="00E61E42">
              <w:rPr>
                <w:rStyle w:val="cf01"/>
                <w:sz w:val="20"/>
                <w:szCs w:val="20"/>
              </w:rPr>
              <w:t>-rare diseases.</w:t>
            </w:r>
          </w:p>
          <w:p w14:paraId="0E6806AF" w14:textId="5D9E1546" w:rsidR="005F065C" w:rsidRPr="005F065C" w:rsidRDefault="6C64EA69" w:rsidP="008505D7">
            <w:pPr>
              <w:pStyle w:val="ListParagraph"/>
              <w:numPr>
                <w:ilvl w:val="0"/>
                <w:numId w:val="166"/>
              </w:numPr>
              <w:spacing w:after="0"/>
              <w:rPr>
                <w:rFonts w:eastAsia="Times New Roman" w:cs="Segoe UI"/>
                <w:sz w:val="20"/>
                <w:szCs w:val="20"/>
                <w:lang w:eastAsia="en-AU"/>
              </w:rPr>
            </w:pPr>
            <w:r w:rsidRPr="00E61E42">
              <w:rPr>
                <w:rStyle w:val="cf01"/>
                <w:sz w:val="20"/>
                <w:szCs w:val="20"/>
              </w:rPr>
              <w:t>PBAC advises the Minister on key requirements to enable listing on the LSDP</w:t>
            </w:r>
            <w:r w:rsidR="00E37312">
              <w:rPr>
                <w:rStyle w:val="cf01"/>
                <w:sz w:val="20"/>
                <w:szCs w:val="20"/>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Style w:val="cf01"/>
                <w:sz w:val="20"/>
                <w:szCs w:val="20"/>
              </w:rPr>
              <w:fldChar w:fldCharType="end"/>
            </w:r>
            <w:r w:rsidRPr="00E61E42">
              <w:rPr>
                <w:rStyle w:val="cf01"/>
                <w:sz w:val="20"/>
                <w:szCs w:val="20"/>
              </w:rPr>
              <w:t xml:space="preserve"> based on a comparative assessment of effectiveness and cost.</w:t>
            </w:r>
          </w:p>
        </w:tc>
      </w:tr>
      <w:tr w:rsidR="0013010E" w:rsidRPr="006647C5" w14:paraId="2646DA31" w14:textId="77777777" w:rsidTr="00534579">
        <w:trPr>
          <w:trHeight w:val="996"/>
        </w:trPr>
        <w:tc>
          <w:tcPr>
            <w:tcW w:w="1055" w:type="dxa"/>
            <w:tcBorders>
              <w:left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tcPr>
          <w:p w14:paraId="786734F9" w14:textId="77777777" w:rsidR="006F5B0D" w:rsidRPr="009D14F6" w:rsidRDefault="006F5B0D" w:rsidP="009D14F6">
            <w:pPr>
              <w:pStyle w:val="Heading7"/>
              <w:keepNext w:val="0"/>
              <w:keepLines w:val="0"/>
              <w:rPr>
                <w:lang w:eastAsia="en-AU"/>
              </w:rPr>
            </w:pPr>
          </w:p>
        </w:tc>
        <w:tc>
          <w:tcPr>
            <w:tcW w:w="1901"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tcPr>
          <w:p w14:paraId="2A6837A8" w14:textId="59D28D6F" w:rsidR="006F5B0D" w:rsidRPr="009D14F6" w:rsidRDefault="006F5B0D" w:rsidP="009D14F6">
            <w:pPr>
              <w:pStyle w:val="Heading7"/>
              <w:keepNext w:val="0"/>
              <w:keepLines w:val="0"/>
              <w:ind w:left="-143"/>
              <w:rPr>
                <w:lang w:eastAsia="en-AU"/>
              </w:rPr>
            </w:pPr>
            <w:r w:rsidRPr="00687095">
              <w:rPr>
                <w:lang w:eastAsia="en-AU"/>
              </w:rPr>
              <w:t>Vaccine pathway</w:t>
            </w:r>
          </w:p>
        </w:tc>
        <w:tc>
          <w:tcPr>
            <w:tcW w:w="12779"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tcPr>
          <w:p w14:paraId="603FB5CA" w14:textId="6C9EF64D" w:rsidR="006F5B0D" w:rsidRPr="003D341E" w:rsidRDefault="00067931" w:rsidP="008505D7">
            <w:pPr>
              <w:pStyle w:val="ListParagraph"/>
              <w:numPr>
                <w:ilvl w:val="0"/>
                <w:numId w:val="63"/>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Streamline</w:t>
            </w:r>
            <w:r w:rsidRPr="00EE10FE">
              <w:rPr>
                <w:rFonts w:eastAsia="Times New Roman" w:cs="Segoe UI"/>
                <w:color w:val="222A35"/>
                <w:kern w:val="24"/>
                <w:sz w:val="20"/>
                <w:szCs w:val="20"/>
                <w:lang w:eastAsia="en-AU"/>
              </w:rPr>
              <w:t xml:space="preserve"> </w:t>
            </w:r>
            <w:r w:rsidR="006F5B0D" w:rsidRPr="00EE10FE">
              <w:rPr>
                <w:rFonts w:eastAsia="Times New Roman" w:cs="Segoe UI"/>
                <w:color w:val="222A35"/>
                <w:kern w:val="24"/>
                <w:sz w:val="20"/>
                <w:szCs w:val="20"/>
                <w:lang w:eastAsia="en-AU"/>
              </w:rPr>
              <w:t xml:space="preserve">the pathway for listing of a vaccine on the </w:t>
            </w:r>
            <w:r w:rsidR="00304358" w:rsidRPr="00304358">
              <w:rPr>
                <w:rFonts w:eastAsia="Times New Roman" w:cs="Segoe UI"/>
                <w:color w:val="222A35"/>
                <w:kern w:val="24"/>
                <w:sz w:val="20"/>
                <w:szCs w:val="20"/>
                <w:lang w:eastAsia="en-AU"/>
              </w:rPr>
              <w:t>National Immunisation Program (</w:t>
            </w:r>
            <w:r w:rsidR="006F5B0D" w:rsidRPr="00EE10FE">
              <w:rPr>
                <w:rFonts w:eastAsia="Times New Roman" w:cs="Segoe UI"/>
                <w:color w:val="222A35"/>
                <w:kern w:val="24"/>
                <w:sz w:val="20"/>
                <w:szCs w:val="20"/>
                <w:lang w:eastAsia="en-AU"/>
              </w:rPr>
              <w:t>NIP</w:t>
            </w:r>
            <w:r w:rsidR="00041982">
              <w:rPr>
                <w:rFonts w:eastAsia="Times New Roman" w:cs="Segoe UI"/>
                <w:color w:val="222A35"/>
                <w:kern w:val="24"/>
                <w:sz w:val="20"/>
                <w:szCs w:val="20"/>
                <w:lang w:eastAsia="en-AU"/>
              </w:rPr>
              <w:t>)</w:t>
            </w:r>
            <w:r w:rsidR="006F5B0D" w:rsidRPr="00EE10FE">
              <w:rPr>
                <w:rFonts w:eastAsia="Times New Roman" w:cs="Segoe UI"/>
                <w:color w:val="222A35"/>
                <w:kern w:val="24"/>
                <w:sz w:val="20"/>
                <w:szCs w:val="20"/>
                <w:lang w:eastAsia="en-AU"/>
              </w:rPr>
              <w:t xml:space="preserve"> </w:t>
            </w:r>
            <w:r>
              <w:rPr>
                <w:rFonts w:eastAsia="Times New Roman" w:cs="Segoe UI"/>
                <w:color w:val="222A35"/>
                <w:kern w:val="24"/>
                <w:sz w:val="20"/>
                <w:szCs w:val="20"/>
                <w:lang w:eastAsia="en-AU"/>
              </w:rPr>
              <w:t>by</w:t>
            </w:r>
            <w:r w:rsidR="006F5B0D" w:rsidRPr="00EE10FE">
              <w:rPr>
                <w:rFonts w:eastAsia="Times New Roman" w:cs="Segoe UI"/>
                <w:color w:val="222A35"/>
                <w:kern w:val="24"/>
                <w:sz w:val="20"/>
                <w:szCs w:val="20"/>
                <w:lang w:eastAsia="en-AU"/>
              </w:rPr>
              <w:t xml:space="preserve"> remov</w:t>
            </w:r>
            <w:r>
              <w:rPr>
                <w:rFonts w:eastAsia="Times New Roman" w:cs="Segoe UI"/>
                <w:color w:val="222A35"/>
                <w:kern w:val="24"/>
                <w:sz w:val="20"/>
                <w:szCs w:val="20"/>
                <w:lang w:eastAsia="en-AU"/>
              </w:rPr>
              <w:t>ing</w:t>
            </w:r>
            <w:r w:rsidR="006F5B0D" w:rsidRPr="00EE10FE">
              <w:rPr>
                <w:rFonts w:eastAsia="Times New Roman" w:cs="Segoe UI"/>
                <w:color w:val="222A35"/>
                <w:kern w:val="24"/>
                <w:sz w:val="20"/>
                <w:szCs w:val="20"/>
                <w:lang w:eastAsia="en-AU"/>
              </w:rPr>
              <w:t xml:space="preserve"> the requirement for the sponsor to get </w:t>
            </w:r>
            <w:r w:rsidR="00456909" w:rsidRPr="00456909">
              <w:rPr>
                <w:rFonts w:eastAsia="Times New Roman" w:cs="Segoe UI"/>
                <w:color w:val="222A35"/>
                <w:kern w:val="24"/>
                <w:sz w:val="20"/>
                <w:szCs w:val="20"/>
                <w:lang w:eastAsia="en-AU"/>
              </w:rPr>
              <w:t xml:space="preserve">Australian Technical Advisory Group on Immunisation (ATAGI) </w:t>
            </w:r>
            <w:r w:rsidR="006F5B0D" w:rsidRPr="00EE10FE">
              <w:rPr>
                <w:rFonts w:eastAsia="Times New Roman" w:cs="Segoe UI"/>
                <w:color w:val="222A35"/>
                <w:kern w:val="24"/>
                <w:sz w:val="20"/>
                <w:szCs w:val="20"/>
                <w:lang w:eastAsia="en-AU"/>
              </w:rPr>
              <w:t>advice prior to submission</w:t>
            </w:r>
            <w:r w:rsidR="00441B67">
              <w:rPr>
                <w:rFonts w:eastAsia="Times New Roman" w:cs="Segoe UI"/>
                <w:color w:val="222A35"/>
                <w:kern w:val="24"/>
                <w:sz w:val="20"/>
                <w:szCs w:val="20"/>
                <w:lang w:eastAsia="en-AU"/>
              </w:rPr>
              <w:t xml:space="preserve">. The revised process would be as follows. </w:t>
            </w:r>
          </w:p>
          <w:p w14:paraId="072DE6D2" w14:textId="31665230" w:rsidR="006F5B0D" w:rsidRPr="00D70C8D" w:rsidRDefault="00441B67" w:rsidP="008505D7">
            <w:pPr>
              <w:pStyle w:val="ListParagraph"/>
              <w:numPr>
                <w:ilvl w:val="0"/>
                <w:numId w:val="62"/>
              </w:numPr>
              <w:spacing w:after="0"/>
              <w:ind w:left="782" w:hanging="425"/>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6F5B0D" w:rsidRPr="00687095">
              <w:rPr>
                <w:rFonts w:eastAsia="Times New Roman" w:cs="Segoe UI"/>
                <w:color w:val="222A35"/>
                <w:kern w:val="24"/>
                <w:sz w:val="20"/>
                <w:szCs w:val="20"/>
                <w:lang w:eastAsia="en-AU"/>
              </w:rPr>
              <w:t xml:space="preserve">he sponsor of a vaccine makes </w:t>
            </w:r>
            <w:r w:rsidR="003A6651">
              <w:rPr>
                <w:rFonts w:eastAsia="Times New Roman" w:cs="Segoe UI"/>
                <w:color w:val="222A35"/>
                <w:kern w:val="24"/>
                <w:sz w:val="20"/>
                <w:szCs w:val="20"/>
                <w:lang w:eastAsia="en-AU"/>
              </w:rPr>
              <w:t>a submission</w:t>
            </w:r>
            <w:r w:rsidR="006F5B0D" w:rsidRPr="00687095">
              <w:rPr>
                <w:rFonts w:eastAsia="Times New Roman" w:cs="Segoe UI"/>
                <w:color w:val="222A35"/>
                <w:kern w:val="24"/>
                <w:sz w:val="20"/>
                <w:szCs w:val="20"/>
                <w:lang w:eastAsia="en-AU"/>
              </w:rPr>
              <w:t xml:space="preserve"> to the PBAC for the </w:t>
            </w:r>
            <w:r w:rsidR="00E5603C">
              <w:rPr>
                <w:rFonts w:eastAsia="Times New Roman" w:cs="Segoe UI"/>
                <w:color w:val="222A35"/>
                <w:kern w:val="24"/>
                <w:sz w:val="20"/>
                <w:szCs w:val="20"/>
                <w:lang w:eastAsia="en-AU"/>
              </w:rPr>
              <w:t>NIP</w:t>
            </w:r>
            <w:r w:rsidR="006F5B0D" w:rsidRPr="00687095">
              <w:rPr>
                <w:rFonts w:eastAsia="Times New Roman" w:cs="Segoe UI"/>
                <w:color w:val="222A35"/>
                <w:kern w:val="24"/>
                <w:sz w:val="20"/>
                <w:szCs w:val="20"/>
                <w:lang w:eastAsia="en-AU"/>
              </w:rPr>
              <w:t xml:space="preserve"> </w:t>
            </w:r>
          </w:p>
          <w:p w14:paraId="271F1502" w14:textId="12A63B2A" w:rsidR="006F5B0D" w:rsidRPr="00D70C8D" w:rsidRDefault="00441B67" w:rsidP="008505D7">
            <w:pPr>
              <w:pStyle w:val="ListParagraph"/>
              <w:numPr>
                <w:ilvl w:val="0"/>
                <w:numId w:val="62"/>
              </w:numPr>
              <w:spacing w:after="0"/>
              <w:ind w:left="782" w:hanging="425"/>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6F5B0D" w:rsidRPr="00687095">
              <w:rPr>
                <w:rFonts w:eastAsia="Times New Roman" w:cs="Segoe UI"/>
                <w:color w:val="222A35"/>
                <w:kern w:val="24"/>
                <w:sz w:val="20"/>
                <w:szCs w:val="20"/>
                <w:lang w:eastAsia="en-AU"/>
              </w:rPr>
              <w:t xml:space="preserve">he PBAC evaluators and vaccine evaluation experts evaluate the sponsors submission and produce a single comprehensive assessment </w:t>
            </w:r>
            <w:proofErr w:type="gramStart"/>
            <w:r w:rsidR="006F5B0D" w:rsidRPr="00687095">
              <w:rPr>
                <w:rFonts w:eastAsia="Times New Roman" w:cs="Segoe UI"/>
                <w:color w:val="222A35"/>
                <w:kern w:val="24"/>
                <w:sz w:val="20"/>
                <w:szCs w:val="20"/>
                <w:lang w:eastAsia="en-AU"/>
              </w:rPr>
              <w:t>report</w:t>
            </w:r>
            <w:proofErr w:type="gramEnd"/>
            <w:r w:rsidR="006F5B0D" w:rsidRPr="00687095">
              <w:rPr>
                <w:rFonts w:eastAsia="Times New Roman" w:cs="Segoe UI"/>
                <w:color w:val="222A35"/>
                <w:kern w:val="24"/>
                <w:sz w:val="20"/>
                <w:szCs w:val="20"/>
                <w:lang w:eastAsia="en-AU"/>
              </w:rPr>
              <w:t xml:space="preserve"> </w:t>
            </w:r>
          </w:p>
          <w:p w14:paraId="34E954B5" w14:textId="141D5571" w:rsidR="006F5B0D" w:rsidRPr="00D70C8D" w:rsidRDefault="006F5B0D" w:rsidP="008505D7">
            <w:pPr>
              <w:pStyle w:val="ListParagraph"/>
              <w:numPr>
                <w:ilvl w:val="0"/>
                <w:numId w:val="62"/>
              </w:numPr>
              <w:spacing w:after="0"/>
              <w:ind w:left="782" w:hanging="425"/>
              <w:rPr>
                <w:rFonts w:eastAsia="Times New Roman" w:cs="Segoe UI"/>
                <w:color w:val="222A35"/>
                <w:kern w:val="24"/>
                <w:sz w:val="20"/>
                <w:szCs w:val="20"/>
                <w:lang w:eastAsia="en-AU"/>
              </w:rPr>
            </w:pPr>
            <w:r w:rsidRPr="00687095">
              <w:rPr>
                <w:rFonts w:eastAsia="Times New Roman" w:cs="Segoe UI"/>
                <w:color w:val="222A35"/>
                <w:kern w:val="24"/>
                <w:sz w:val="20"/>
                <w:szCs w:val="20"/>
                <w:lang w:eastAsia="en-AU"/>
              </w:rPr>
              <w:t xml:space="preserve">The PBAC </w:t>
            </w:r>
            <w:r w:rsidR="005E5CB8" w:rsidRPr="00A63CA0">
              <w:rPr>
                <w:rFonts w:eastAsia="Times New Roman" w:cs="Segoe UI"/>
                <w:kern w:val="24"/>
                <w:sz w:val="20"/>
                <w:szCs w:val="20"/>
                <w:lang w:eastAsia="en-AU"/>
              </w:rPr>
              <w:t>Economic Sub-Committee (</w:t>
            </w:r>
            <w:r w:rsidRPr="00687095">
              <w:rPr>
                <w:rFonts w:eastAsia="Times New Roman" w:cs="Segoe UI"/>
                <w:color w:val="222A35"/>
                <w:kern w:val="24"/>
                <w:sz w:val="20"/>
                <w:szCs w:val="20"/>
                <w:lang w:eastAsia="en-AU"/>
              </w:rPr>
              <w:t>ESC</w:t>
            </w:r>
            <w:r w:rsidR="005E5CB8">
              <w:rPr>
                <w:rFonts w:eastAsia="Times New Roman" w:cs="Segoe UI"/>
                <w:color w:val="222A35"/>
                <w:kern w:val="24"/>
                <w:sz w:val="20"/>
                <w:szCs w:val="20"/>
                <w:lang w:eastAsia="en-AU"/>
              </w:rPr>
              <w:t>)</w:t>
            </w:r>
            <w:r w:rsidRPr="00687095">
              <w:rPr>
                <w:rFonts w:eastAsia="Times New Roman" w:cs="Segoe UI"/>
                <w:color w:val="222A35"/>
                <w:kern w:val="24"/>
                <w:sz w:val="20"/>
                <w:szCs w:val="20"/>
                <w:lang w:eastAsia="en-AU"/>
              </w:rPr>
              <w:t xml:space="preserve"> is supplemented by the appropriate ATAGI representatives (specialists for particular type of vaccine and disease) to provide formal (ESC + ATAGI) advice to </w:t>
            </w:r>
            <w:proofErr w:type="gramStart"/>
            <w:r w:rsidRPr="00687095">
              <w:rPr>
                <w:rFonts w:eastAsia="Times New Roman" w:cs="Segoe UI"/>
                <w:color w:val="222A35"/>
                <w:kern w:val="24"/>
                <w:sz w:val="20"/>
                <w:szCs w:val="20"/>
                <w:lang w:eastAsia="en-AU"/>
              </w:rPr>
              <w:t>PBAC</w:t>
            </w:r>
            <w:proofErr w:type="gramEnd"/>
          </w:p>
          <w:p w14:paraId="5E3E2B46" w14:textId="3515D4FF" w:rsidR="006F5B0D" w:rsidRPr="00D70C8D" w:rsidRDefault="006F5B0D" w:rsidP="008505D7">
            <w:pPr>
              <w:pStyle w:val="ListParagraph"/>
              <w:numPr>
                <w:ilvl w:val="0"/>
                <w:numId w:val="62"/>
              </w:numPr>
              <w:spacing w:after="0"/>
              <w:ind w:left="782" w:hanging="425"/>
              <w:rPr>
                <w:rFonts w:eastAsia="Times New Roman" w:cs="Segoe UI"/>
                <w:color w:val="222A35"/>
                <w:kern w:val="24"/>
                <w:sz w:val="20"/>
                <w:szCs w:val="20"/>
                <w:lang w:eastAsia="en-AU"/>
              </w:rPr>
            </w:pPr>
            <w:r w:rsidRPr="00E61E42">
              <w:rPr>
                <w:rFonts w:eastAsia="Times New Roman" w:cs="Segoe UI"/>
                <w:color w:val="222A35"/>
                <w:kern w:val="24"/>
                <w:sz w:val="20"/>
                <w:szCs w:val="20"/>
                <w:lang w:eastAsia="en-AU"/>
              </w:rPr>
              <w:lastRenderedPageBreak/>
              <w:t xml:space="preserve">PBAC provides advice and recommendation to government on the clinical and cost effectiveness of the vaccine for the NIP. </w:t>
            </w:r>
          </w:p>
          <w:p w14:paraId="21959D7F" w14:textId="4877D79F" w:rsidR="006F5B0D" w:rsidRPr="003D341E" w:rsidRDefault="00CD3147" w:rsidP="008C10BB">
            <w:pPr>
              <w:pStyle w:val="ListParagraph"/>
              <w:spacing w:after="120"/>
              <w:ind w:left="782"/>
              <w:rPr>
                <w:rFonts w:eastAsia="Times New Roman" w:cs="Segoe UI"/>
                <w:color w:val="222A35"/>
                <w:kern w:val="24"/>
                <w:sz w:val="20"/>
                <w:szCs w:val="20"/>
                <w:lang w:eastAsia="en-AU"/>
              </w:rPr>
            </w:pPr>
            <w:r>
              <w:rPr>
                <w:rFonts w:eastAsia="Times New Roman" w:cs="Segoe UI"/>
                <w:i/>
                <w:iCs/>
                <w:color w:val="222A35"/>
                <w:kern w:val="24"/>
                <w:sz w:val="20"/>
                <w:szCs w:val="20"/>
                <w:lang w:eastAsia="en-AU"/>
              </w:rPr>
              <w:t xml:space="preserve">Note: A review of the </w:t>
            </w:r>
            <w:r w:rsidR="00063187" w:rsidRPr="00063187">
              <w:rPr>
                <w:rFonts w:eastAsia="Times New Roman" w:cs="Segoe UI"/>
                <w:i/>
                <w:iCs/>
                <w:color w:val="222A35"/>
                <w:kern w:val="24"/>
                <w:sz w:val="20"/>
                <w:szCs w:val="20"/>
                <w:lang w:eastAsia="en-AU"/>
              </w:rPr>
              <w:t>NIP</w:t>
            </w:r>
            <w:r>
              <w:rPr>
                <w:rFonts w:eastAsia="Times New Roman" w:cs="Segoe UI"/>
                <w:i/>
                <w:iCs/>
                <w:color w:val="222A35"/>
                <w:kern w:val="24"/>
                <w:sz w:val="20"/>
                <w:szCs w:val="20"/>
                <w:lang w:eastAsia="en-AU"/>
              </w:rPr>
              <w:t xml:space="preserve"> is </w:t>
            </w:r>
            <w:proofErr w:type="gramStart"/>
            <w:r>
              <w:rPr>
                <w:rFonts w:eastAsia="Times New Roman" w:cs="Segoe UI"/>
                <w:i/>
                <w:iCs/>
                <w:color w:val="222A35"/>
                <w:kern w:val="24"/>
                <w:sz w:val="20"/>
                <w:szCs w:val="20"/>
                <w:lang w:eastAsia="en-AU"/>
              </w:rPr>
              <w:t>underway</w:t>
            </w:r>
            <w:proofErr w:type="gramEnd"/>
            <w:r w:rsidR="006F5B0D">
              <w:rPr>
                <w:rFonts w:eastAsia="Times New Roman" w:cs="Segoe UI"/>
                <w:i/>
                <w:color w:val="222A35"/>
                <w:kern w:val="24"/>
                <w:sz w:val="20"/>
                <w:szCs w:val="20"/>
                <w:lang w:eastAsia="en-AU"/>
              </w:rPr>
              <w:t xml:space="preserve"> and </w:t>
            </w:r>
            <w:r>
              <w:rPr>
                <w:rFonts w:eastAsia="Times New Roman" w:cs="Segoe UI"/>
                <w:i/>
                <w:iCs/>
                <w:color w:val="222A35"/>
                <w:kern w:val="24"/>
                <w:sz w:val="20"/>
                <w:szCs w:val="20"/>
                <w:lang w:eastAsia="en-AU"/>
              </w:rPr>
              <w:t>it is expected this will include consideration of</w:t>
            </w:r>
            <w:r w:rsidR="006F5B0D">
              <w:rPr>
                <w:rFonts w:eastAsia="Times New Roman" w:cs="Segoe UI"/>
                <w:i/>
                <w:color w:val="222A35"/>
                <w:kern w:val="24"/>
                <w:sz w:val="20"/>
                <w:szCs w:val="20"/>
                <w:lang w:eastAsia="en-AU"/>
              </w:rPr>
              <w:t xml:space="preserve"> </w:t>
            </w:r>
            <w:r w:rsidR="006F5B0D" w:rsidRPr="009D14F6">
              <w:rPr>
                <w:rFonts w:eastAsia="Times New Roman" w:cs="Segoe UI"/>
                <w:i/>
                <w:color w:val="222A35"/>
                <w:kern w:val="24"/>
                <w:sz w:val="20"/>
                <w:szCs w:val="20"/>
                <w:lang w:eastAsia="en-AU"/>
              </w:rPr>
              <w:t xml:space="preserve">the procurement process </w:t>
            </w:r>
            <w:r w:rsidRPr="009D14F6">
              <w:rPr>
                <w:rFonts w:eastAsia="Times New Roman" w:cs="Segoe UI"/>
                <w:i/>
                <w:color w:val="222A35"/>
                <w:kern w:val="24"/>
                <w:sz w:val="20"/>
                <w:szCs w:val="20"/>
                <w:lang w:eastAsia="en-AU"/>
              </w:rPr>
              <w:t xml:space="preserve">and strategies to </w:t>
            </w:r>
            <w:r w:rsidR="006F5B0D" w:rsidRPr="009D14F6">
              <w:rPr>
                <w:rFonts w:eastAsia="Times New Roman" w:cs="Segoe UI"/>
                <w:i/>
                <w:color w:val="222A35"/>
                <w:kern w:val="24"/>
                <w:sz w:val="20"/>
                <w:szCs w:val="20"/>
                <w:lang w:eastAsia="en-AU"/>
              </w:rPr>
              <w:t>better coordinate and streamline</w:t>
            </w:r>
            <w:r w:rsidR="006F5B0D" w:rsidRPr="009D14F6">
              <w:rPr>
                <w:rFonts w:eastAsia="Times New Roman" w:cs="Segoe UI"/>
                <w:color w:val="222A35"/>
                <w:kern w:val="24"/>
                <w:sz w:val="20"/>
                <w:szCs w:val="20"/>
                <w:lang w:eastAsia="en-AU"/>
              </w:rPr>
              <w:t xml:space="preserve"> </w:t>
            </w:r>
            <w:r w:rsidR="00BE6636" w:rsidRPr="009D14F6">
              <w:rPr>
                <w:rFonts w:eastAsia="Times New Roman" w:cs="Segoe UI"/>
                <w:i/>
                <w:color w:val="222A35"/>
                <w:kern w:val="24"/>
                <w:sz w:val="20"/>
                <w:szCs w:val="20"/>
                <w:lang w:eastAsia="en-AU"/>
              </w:rPr>
              <w:t>the</w:t>
            </w:r>
            <w:r w:rsidR="007B2670" w:rsidRPr="009D14F6">
              <w:rPr>
                <w:rFonts w:eastAsia="Times New Roman" w:cs="Segoe UI"/>
                <w:i/>
                <w:color w:val="222A35"/>
                <w:kern w:val="24"/>
                <w:sz w:val="20"/>
                <w:szCs w:val="20"/>
                <w:lang w:eastAsia="en-AU"/>
              </w:rPr>
              <w:t xml:space="preserve"> procurement and </w:t>
            </w:r>
            <w:r w:rsidR="00806434" w:rsidRPr="009D14F6">
              <w:rPr>
                <w:rFonts w:eastAsia="Times New Roman" w:cs="Segoe UI"/>
                <w:i/>
                <w:color w:val="222A35"/>
                <w:kern w:val="24"/>
                <w:sz w:val="20"/>
                <w:szCs w:val="20"/>
                <w:lang w:eastAsia="en-AU"/>
              </w:rPr>
              <w:t xml:space="preserve">implementation </w:t>
            </w:r>
            <w:r w:rsidR="0077735E" w:rsidRPr="009D14F6">
              <w:rPr>
                <w:rFonts w:eastAsia="Times New Roman" w:cs="Segoe UI"/>
                <w:i/>
                <w:color w:val="222A35"/>
                <w:kern w:val="24"/>
                <w:sz w:val="20"/>
                <w:szCs w:val="20"/>
                <w:lang w:eastAsia="en-AU"/>
              </w:rPr>
              <w:t>of vaccines</w:t>
            </w:r>
            <w:r w:rsidR="004D283C">
              <w:rPr>
                <w:rFonts w:eastAsia="Times New Roman" w:cs="Segoe UI"/>
                <w:i/>
                <w:color w:val="222A35"/>
                <w:kern w:val="24"/>
                <w:sz w:val="20"/>
                <w:szCs w:val="20"/>
                <w:lang w:eastAsia="en-AU"/>
              </w:rPr>
              <w:fldChar w:fldCharType="begin"/>
            </w:r>
            <w:r w:rsidR="004D283C">
              <w:instrText xml:space="preserve"> XE "</w:instrText>
            </w:r>
            <w:r w:rsidR="004D283C" w:rsidRPr="0001709C">
              <w:instrText>vaccines</w:instrText>
            </w:r>
            <w:r w:rsidR="004D283C">
              <w:instrText xml:space="preserve">" \b </w:instrText>
            </w:r>
            <w:r w:rsidR="004D283C">
              <w:rPr>
                <w:rFonts w:eastAsia="Times New Roman" w:cs="Segoe UI"/>
                <w:i/>
                <w:color w:val="222A35"/>
                <w:kern w:val="24"/>
                <w:sz w:val="20"/>
                <w:szCs w:val="20"/>
                <w:lang w:eastAsia="en-AU"/>
              </w:rPr>
              <w:fldChar w:fldCharType="end"/>
            </w:r>
            <w:r w:rsidR="00714629">
              <w:rPr>
                <w:rFonts w:eastAsia="Times New Roman" w:cs="Segoe UI"/>
                <w:i/>
                <w:iCs/>
                <w:color w:val="222A35"/>
                <w:kern w:val="24"/>
                <w:sz w:val="20"/>
                <w:szCs w:val="20"/>
                <w:lang w:eastAsia="en-AU"/>
              </w:rPr>
              <w:t>.</w:t>
            </w:r>
          </w:p>
          <w:p w14:paraId="24DF4967" w14:textId="03D02197" w:rsidR="006F5B0D" w:rsidRPr="00EE10FE" w:rsidRDefault="006F5B0D" w:rsidP="008505D7">
            <w:pPr>
              <w:pStyle w:val="ListParagraph"/>
              <w:numPr>
                <w:ilvl w:val="0"/>
                <w:numId w:val="63"/>
              </w:numPr>
              <w:spacing w:after="0"/>
              <w:rPr>
                <w:rFonts w:eastAsia="Times New Roman" w:cs="Segoe UI"/>
                <w:color w:val="222A35"/>
                <w:kern w:val="24"/>
                <w:sz w:val="20"/>
                <w:szCs w:val="20"/>
                <w:lang w:eastAsia="en-AU"/>
              </w:rPr>
            </w:pPr>
            <w:r w:rsidRPr="00D70C8D">
              <w:rPr>
                <w:rFonts w:eastAsia="Times New Roman" w:cs="Segoe UI"/>
                <w:color w:val="222A35"/>
                <w:kern w:val="24"/>
                <w:sz w:val="20"/>
                <w:szCs w:val="20"/>
                <w:lang w:eastAsia="en-AU"/>
              </w:rPr>
              <w:t>Horizon scanning for vaccines</w:t>
            </w:r>
            <w:r w:rsidR="004D283C">
              <w:rPr>
                <w:rFonts w:eastAsia="Times New Roman" w:cs="Segoe UI"/>
                <w:color w:val="222A35"/>
                <w:kern w:val="24"/>
                <w:sz w:val="20"/>
                <w:szCs w:val="20"/>
                <w:lang w:eastAsia="en-AU"/>
              </w:rPr>
              <w:fldChar w:fldCharType="begin"/>
            </w:r>
            <w:r w:rsidR="004D283C" w:rsidRPr="00E61E42">
              <w:rPr>
                <w:rFonts w:eastAsia="Times New Roman" w:cs="Segoe UI"/>
                <w:color w:val="222A35"/>
                <w:kern w:val="24"/>
                <w:sz w:val="20"/>
                <w:szCs w:val="20"/>
                <w:lang w:eastAsia="en-AU"/>
              </w:rPr>
              <w:instrText xml:space="preserve"> XE "vaccines" \b </w:instrText>
            </w:r>
            <w:r w:rsidR="004D283C">
              <w:rPr>
                <w:rFonts w:eastAsia="Times New Roman" w:cs="Segoe UI"/>
                <w:color w:val="222A35"/>
                <w:kern w:val="24"/>
                <w:sz w:val="20"/>
                <w:szCs w:val="20"/>
                <w:lang w:eastAsia="en-AU"/>
              </w:rPr>
              <w:fldChar w:fldCharType="end"/>
            </w:r>
            <w:r w:rsidRPr="00D70C8D">
              <w:rPr>
                <w:rFonts w:eastAsia="Times New Roman" w:cs="Segoe UI"/>
                <w:color w:val="222A35"/>
                <w:kern w:val="24"/>
                <w:sz w:val="20"/>
                <w:szCs w:val="20"/>
                <w:lang w:eastAsia="en-AU"/>
              </w:rPr>
              <w:t xml:space="preserve"> is established including appropriate stakeholders to ensure that ATAGI can be prepared to provide advice. </w:t>
            </w:r>
          </w:p>
          <w:p w14:paraId="4E30ADA9" w14:textId="3BDD552D" w:rsidR="006F5B0D" w:rsidRDefault="006F5B0D" w:rsidP="008505D7">
            <w:pPr>
              <w:pStyle w:val="ListParagraph"/>
              <w:numPr>
                <w:ilvl w:val="0"/>
                <w:numId w:val="63"/>
              </w:numPr>
              <w:spacing w:after="0"/>
              <w:rPr>
                <w:rFonts w:eastAsia="Times New Roman" w:cs="Segoe UI"/>
                <w:color w:val="222A35"/>
                <w:kern w:val="24"/>
                <w:sz w:val="20"/>
                <w:szCs w:val="20"/>
                <w:lang w:eastAsia="en-AU"/>
              </w:rPr>
            </w:pPr>
            <w:r w:rsidRPr="00D70C8D">
              <w:rPr>
                <w:rFonts w:eastAsia="Times New Roman" w:cs="Segoe UI"/>
                <w:color w:val="222A35"/>
                <w:kern w:val="24"/>
                <w:sz w:val="20"/>
                <w:szCs w:val="20"/>
                <w:lang w:eastAsia="en-AU"/>
              </w:rPr>
              <w:t>Develop a mechanism and criteria to have the assessment of vaccines</w:t>
            </w:r>
            <w:r w:rsidR="004D283C">
              <w:rPr>
                <w:rFonts w:eastAsia="Times New Roman" w:cs="Segoe UI"/>
                <w:color w:val="222A35"/>
                <w:kern w:val="24"/>
                <w:sz w:val="20"/>
                <w:szCs w:val="20"/>
                <w:lang w:eastAsia="en-AU"/>
              </w:rPr>
              <w:fldChar w:fldCharType="begin"/>
            </w:r>
            <w:r w:rsidR="004D283C" w:rsidRPr="00E61E42">
              <w:rPr>
                <w:rFonts w:eastAsia="Times New Roman" w:cs="Segoe UI"/>
                <w:color w:val="222A35"/>
                <w:kern w:val="24"/>
                <w:sz w:val="20"/>
                <w:szCs w:val="20"/>
                <w:lang w:eastAsia="en-AU"/>
              </w:rPr>
              <w:instrText xml:space="preserve"> XE "vaccines" \b </w:instrText>
            </w:r>
            <w:r w:rsidR="004D283C">
              <w:rPr>
                <w:rFonts w:eastAsia="Times New Roman" w:cs="Segoe UI"/>
                <w:color w:val="222A35"/>
                <w:kern w:val="24"/>
                <w:sz w:val="20"/>
                <w:szCs w:val="20"/>
                <w:lang w:eastAsia="en-AU"/>
              </w:rPr>
              <w:fldChar w:fldCharType="end"/>
            </w:r>
            <w:r w:rsidRPr="00D70C8D">
              <w:rPr>
                <w:rFonts w:eastAsia="Times New Roman" w:cs="Segoe UI"/>
                <w:color w:val="222A35"/>
                <w:kern w:val="24"/>
                <w:sz w:val="20"/>
                <w:szCs w:val="20"/>
                <w:lang w:eastAsia="en-AU"/>
              </w:rPr>
              <w:t xml:space="preserve"> be proportionate to the level of risk of the product.</w:t>
            </w:r>
          </w:p>
          <w:p w14:paraId="7B2C03F7" w14:textId="06F1FE3F" w:rsidR="006F5B0D" w:rsidRPr="007B7DD1" w:rsidRDefault="007B4127" w:rsidP="00E61E42">
            <w:pPr>
              <w:pStyle w:val="ListParagraph"/>
              <w:spacing w:after="0"/>
              <w:ind w:left="360"/>
              <w:rPr>
                <w:rFonts w:eastAsia="Times New Roman" w:cs="Segoe UI"/>
                <w:color w:val="222A35"/>
                <w:kern w:val="24"/>
                <w:sz w:val="20"/>
                <w:szCs w:val="20"/>
                <w:lang w:eastAsia="en-AU"/>
              </w:rPr>
            </w:pPr>
            <w:r w:rsidRPr="00E61E42">
              <w:rPr>
                <w:rFonts w:eastAsia="Times New Roman" w:cs="Segoe UI"/>
                <w:color w:val="222A35"/>
                <w:kern w:val="24"/>
                <w:sz w:val="20"/>
                <w:szCs w:val="20"/>
                <w:lang w:eastAsia="en-AU"/>
              </w:rPr>
              <w:t>Note</w:t>
            </w:r>
            <w:r w:rsidRPr="009D14F6">
              <w:rPr>
                <w:rFonts w:eastAsia="Times New Roman" w:cs="Segoe UI"/>
                <w:i/>
                <w:color w:val="222A35"/>
                <w:kern w:val="24"/>
                <w:sz w:val="20"/>
                <w:szCs w:val="20"/>
                <w:lang w:eastAsia="en-AU"/>
              </w:rPr>
              <w:t xml:space="preserve">: </w:t>
            </w:r>
            <w:r w:rsidR="00957646" w:rsidRPr="009D14F6">
              <w:rPr>
                <w:rFonts w:eastAsia="Times New Roman" w:cs="Segoe UI"/>
                <w:i/>
                <w:color w:val="222A35"/>
                <w:kern w:val="24"/>
                <w:sz w:val="20"/>
                <w:szCs w:val="20"/>
                <w:lang w:eastAsia="en-AU"/>
              </w:rPr>
              <w:t xml:space="preserve">These changes </w:t>
            </w:r>
            <w:r w:rsidR="00D42161" w:rsidRPr="009D14F6">
              <w:rPr>
                <w:rFonts w:eastAsia="Times New Roman" w:cs="Segoe UI"/>
                <w:i/>
                <w:color w:val="222A35"/>
                <w:kern w:val="24"/>
                <w:sz w:val="20"/>
                <w:szCs w:val="20"/>
                <w:lang w:eastAsia="en-AU"/>
              </w:rPr>
              <w:t>are</w:t>
            </w:r>
            <w:r w:rsidR="00957646" w:rsidRPr="009D14F6">
              <w:rPr>
                <w:rFonts w:eastAsia="Times New Roman" w:cs="Segoe UI"/>
                <w:i/>
                <w:color w:val="222A35"/>
                <w:kern w:val="24"/>
                <w:sz w:val="20"/>
                <w:szCs w:val="20"/>
                <w:lang w:eastAsia="en-AU"/>
              </w:rPr>
              <w:t xml:space="preserve"> not </w:t>
            </w:r>
            <w:r w:rsidR="00D42161" w:rsidRPr="009D14F6">
              <w:rPr>
                <w:rFonts w:eastAsia="Times New Roman" w:cs="Segoe UI"/>
                <w:i/>
                <w:color w:val="222A35"/>
                <w:kern w:val="24"/>
                <w:sz w:val="20"/>
                <w:szCs w:val="20"/>
                <w:lang w:eastAsia="en-AU"/>
              </w:rPr>
              <w:t>intended to</w:t>
            </w:r>
            <w:r w:rsidR="00957646" w:rsidRPr="009D14F6">
              <w:rPr>
                <w:rFonts w:eastAsia="Times New Roman" w:cs="Segoe UI"/>
                <w:i/>
                <w:color w:val="222A35"/>
                <w:kern w:val="24"/>
                <w:sz w:val="20"/>
                <w:szCs w:val="20"/>
                <w:lang w:eastAsia="en-AU"/>
              </w:rPr>
              <w:t xml:space="preserve"> </w:t>
            </w:r>
            <w:r w:rsidR="006F5B0D" w:rsidRPr="009D14F6">
              <w:rPr>
                <w:rFonts w:eastAsia="Times New Roman" w:cs="Segoe UI"/>
                <w:i/>
                <w:color w:val="222A35"/>
                <w:kern w:val="24"/>
                <w:sz w:val="20"/>
                <w:szCs w:val="20"/>
                <w:lang w:eastAsia="en-AU"/>
              </w:rPr>
              <w:t xml:space="preserve">preclude </w:t>
            </w:r>
            <w:r w:rsidR="000B1812" w:rsidRPr="009D14F6">
              <w:rPr>
                <w:rFonts w:eastAsia="Times New Roman" w:cs="Segoe UI"/>
                <w:i/>
                <w:color w:val="222A35"/>
                <w:kern w:val="24"/>
                <w:sz w:val="20"/>
                <w:szCs w:val="20"/>
                <w:lang w:eastAsia="en-AU"/>
              </w:rPr>
              <w:t xml:space="preserve">the ability for </w:t>
            </w:r>
            <w:r w:rsidR="00626053" w:rsidRPr="009D14F6">
              <w:rPr>
                <w:rFonts w:eastAsia="Times New Roman" w:cs="Segoe UI"/>
                <w:i/>
                <w:color w:val="222A35"/>
                <w:kern w:val="24"/>
                <w:sz w:val="20"/>
                <w:szCs w:val="20"/>
                <w:lang w:eastAsia="en-AU"/>
              </w:rPr>
              <w:t xml:space="preserve">sponsors to seek </w:t>
            </w:r>
            <w:r w:rsidR="000B1812" w:rsidRPr="009D14F6">
              <w:rPr>
                <w:rFonts w:eastAsia="Times New Roman" w:cs="Segoe UI"/>
                <w:i/>
                <w:color w:val="222A35"/>
                <w:kern w:val="24"/>
                <w:sz w:val="20"/>
                <w:szCs w:val="20"/>
                <w:lang w:eastAsia="en-AU"/>
              </w:rPr>
              <w:t xml:space="preserve">early </w:t>
            </w:r>
            <w:r w:rsidR="00626053" w:rsidRPr="009D14F6">
              <w:rPr>
                <w:rFonts w:eastAsia="Times New Roman" w:cs="Segoe UI"/>
                <w:i/>
                <w:color w:val="222A35"/>
                <w:kern w:val="24"/>
                <w:sz w:val="20"/>
                <w:szCs w:val="20"/>
                <w:lang w:eastAsia="en-AU"/>
              </w:rPr>
              <w:t xml:space="preserve">advice from ATAGI </w:t>
            </w:r>
            <w:r w:rsidR="003639AF" w:rsidRPr="009D14F6">
              <w:rPr>
                <w:rFonts w:eastAsia="Times New Roman" w:cs="Segoe UI"/>
                <w:i/>
                <w:color w:val="222A35"/>
                <w:kern w:val="24"/>
                <w:sz w:val="20"/>
                <w:szCs w:val="20"/>
                <w:lang w:eastAsia="en-AU"/>
              </w:rPr>
              <w:t xml:space="preserve">or </w:t>
            </w:r>
            <w:r w:rsidR="000B1812" w:rsidRPr="009D14F6">
              <w:rPr>
                <w:rFonts w:eastAsia="Times New Roman" w:cs="Segoe UI"/>
                <w:i/>
                <w:color w:val="222A35"/>
                <w:kern w:val="24"/>
                <w:sz w:val="20"/>
                <w:szCs w:val="20"/>
                <w:lang w:eastAsia="en-AU"/>
              </w:rPr>
              <w:t>modify</w:t>
            </w:r>
            <w:r w:rsidR="00EA0BDD" w:rsidRPr="009D14F6">
              <w:rPr>
                <w:rFonts w:eastAsia="Times New Roman" w:cs="Segoe UI"/>
                <w:i/>
                <w:iCs/>
                <w:color w:val="222A35"/>
                <w:kern w:val="24"/>
                <w:sz w:val="20"/>
                <w:szCs w:val="20"/>
                <w:lang w:eastAsia="en-AU"/>
              </w:rPr>
              <w:t>/remove</w:t>
            </w:r>
            <w:r w:rsidR="000B1812" w:rsidRPr="009D14F6">
              <w:rPr>
                <w:rFonts w:eastAsia="Times New Roman" w:cs="Segoe UI"/>
                <w:i/>
                <w:color w:val="222A35"/>
                <w:kern w:val="24"/>
                <w:sz w:val="20"/>
                <w:szCs w:val="20"/>
                <w:lang w:eastAsia="en-AU"/>
              </w:rPr>
              <w:t xml:space="preserve"> any of</w:t>
            </w:r>
            <w:r w:rsidR="003639AF" w:rsidRPr="009D14F6">
              <w:rPr>
                <w:rFonts w:eastAsia="Times New Roman" w:cs="Segoe UI"/>
                <w:i/>
                <w:color w:val="222A35"/>
                <w:kern w:val="24"/>
                <w:sz w:val="20"/>
                <w:szCs w:val="20"/>
                <w:lang w:eastAsia="en-AU"/>
              </w:rPr>
              <w:t xml:space="preserve"> </w:t>
            </w:r>
            <w:r w:rsidR="008D7A12" w:rsidRPr="009D14F6">
              <w:rPr>
                <w:rFonts w:eastAsia="Times New Roman" w:cs="Segoe UI"/>
                <w:i/>
                <w:color w:val="222A35"/>
                <w:kern w:val="24"/>
                <w:sz w:val="20"/>
                <w:szCs w:val="20"/>
                <w:lang w:eastAsia="en-AU"/>
              </w:rPr>
              <w:t>functions of ATAGI</w:t>
            </w:r>
            <w:r w:rsidR="00694EE4" w:rsidRPr="009D14F6">
              <w:rPr>
                <w:rFonts w:eastAsia="Times New Roman" w:cs="Segoe UI"/>
                <w:i/>
                <w:color w:val="222A35"/>
                <w:kern w:val="24"/>
                <w:sz w:val="20"/>
                <w:szCs w:val="20"/>
                <w:lang w:eastAsia="en-AU"/>
              </w:rPr>
              <w:t>.</w:t>
            </w:r>
            <w:r w:rsidR="006F5B0D">
              <w:rPr>
                <w:rFonts w:eastAsia="Times New Roman" w:cs="Segoe UI"/>
                <w:color w:val="222A35"/>
                <w:kern w:val="24"/>
                <w:sz w:val="20"/>
                <w:szCs w:val="20"/>
                <w:lang w:eastAsia="en-AU"/>
              </w:rPr>
              <w:t xml:space="preserve"> </w:t>
            </w:r>
          </w:p>
        </w:tc>
      </w:tr>
      <w:tr w:rsidR="001B7FBB" w:rsidRPr="006647C5" w14:paraId="2B5AEC57" w14:textId="77777777" w:rsidTr="00534579">
        <w:trPr>
          <w:trHeight w:val="624"/>
        </w:trPr>
        <w:tc>
          <w:tcPr>
            <w:tcW w:w="1055" w:type="dxa"/>
            <w:tcBorders>
              <w:left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tcPr>
          <w:p w14:paraId="61FBE6D8" w14:textId="77777777" w:rsidR="001B7FBB" w:rsidRPr="009D14F6" w:rsidRDefault="001B7FBB" w:rsidP="009D14F6">
            <w:pPr>
              <w:pStyle w:val="Heading7"/>
              <w:keepNext w:val="0"/>
              <w:keepLines w:val="0"/>
              <w:rPr>
                <w:lang w:eastAsia="en-AU"/>
              </w:rPr>
            </w:pPr>
          </w:p>
        </w:tc>
        <w:tc>
          <w:tcPr>
            <w:tcW w:w="1901"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tcPr>
          <w:p w14:paraId="482056E6" w14:textId="77777777" w:rsidR="00876616" w:rsidRDefault="00876616" w:rsidP="00876616">
            <w:pPr>
              <w:pStyle w:val="Heading7"/>
              <w:keepNext w:val="0"/>
              <w:keepLines w:val="0"/>
              <w:ind w:left="-143"/>
              <w:rPr>
                <w:lang w:eastAsia="en-AU"/>
              </w:rPr>
            </w:pPr>
            <w:r>
              <w:rPr>
                <w:lang w:eastAsia="en-AU"/>
              </w:rPr>
              <w:t>Expanding role of PBAC</w:t>
            </w:r>
          </w:p>
          <w:p w14:paraId="17D3C603" w14:textId="77777777" w:rsidR="001B7FBB" w:rsidRPr="00687095" w:rsidRDefault="001B7FBB" w:rsidP="00563D26">
            <w:pPr>
              <w:rPr>
                <w:lang w:eastAsia="en-AU"/>
              </w:rPr>
            </w:pPr>
          </w:p>
        </w:tc>
        <w:tc>
          <w:tcPr>
            <w:tcW w:w="12779" w:type="dxa"/>
            <w:gridSpan w:val="2"/>
            <w:tcBorders>
              <w:top w:val="single" w:sz="4" w:space="0" w:color="E7E6E6" w:themeColor="background2"/>
              <w:left w:val="single" w:sz="8" w:space="0" w:color="FFFFFF" w:themeColor="background1"/>
              <w:bottom w:val="single" w:sz="4" w:space="0" w:color="E6E6E6"/>
              <w:right w:val="single" w:sz="8" w:space="0" w:color="FFFFFF" w:themeColor="background1"/>
            </w:tcBorders>
            <w:shd w:val="clear" w:color="auto" w:fill="FFFFFF" w:themeFill="background1"/>
            <w:tcMar>
              <w:top w:w="72" w:type="dxa"/>
              <w:left w:w="144" w:type="dxa"/>
              <w:bottom w:w="72" w:type="dxa"/>
              <w:right w:w="144" w:type="dxa"/>
            </w:tcMar>
          </w:tcPr>
          <w:p w14:paraId="441D6CEB" w14:textId="77777777" w:rsidR="001B7FBB" w:rsidRDefault="00876616" w:rsidP="008505D7">
            <w:pPr>
              <w:pStyle w:val="ListParagraph"/>
              <w:numPr>
                <w:ilvl w:val="0"/>
                <w:numId w:val="167"/>
              </w:numPr>
              <w:spacing w:after="0"/>
              <w:rPr>
                <w:rFonts w:eastAsia="Times New Roman" w:cs="Segoe UI"/>
                <w:color w:val="000000" w:themeColor="text1"/>
                <w:sz w:val="20"/>
                <w:szCs w:val="20"/>
                <w:lang w:eastAsia="en-AU"/>
              </w:rPr>
            </w:pPr>
            <w:r w:rsidRPr="00384379">
              <w:rPr>
                <w:rFonts w:eastAsia="Times New Roman" w:cs="Segoe UI"/>
                <w:color w:val="000000" w:themeColor="text1"/>
                <w:sz w:val="20"/>
                <w:szCs w:val="20"/>
                <w:lang w:eastAsia="en-AU"/>
              </w:rPr>
              <w:t xml:space="preserve">Further expanding the advisory role of the PBAC to enable it to make the HTA recommendation to the Minister for Health </w:t>
            </w:r>
            <w:r w:rsidR="000E7E67" w:rsidRPr="00384379">
              <w:rPr>
                <w:rFonts w:eastAsia="Times New Roman" w:cs="Segoe UI"/>
                <w:color w:val="000000" w:themeColor="text1"/>
                <w:sz w:val="20"/>
                <w:szCs w:val="20"/>
                <w:lang w:eastAsia="en-AU"/>
              </w:rPr>
              <w:t xml:space="preserve">and Aged Care </w:t>
            </w:r>
            <w:r w:rsidRPr="00384379">
              <w:rPr>
                <w:rFonts w:eastAsia="Times New Roman" w:cs="Segoe UI"/>
                <w:color w:val="000000" w:themeColor="text1"/>
                <w:sz w:val="20"/>
                <w:szCs w:val="20"/>
                <w:lang w:eastAsia="en-AU"/>
              </w:rPr>
              <w:t>for a broader range of health technologies including codependent health technologies. (</w:t>
            </w:r>
            <w:proofErr w:type="gramStart"/>
            <w:r w:rsidRPr="00384379">
              <w:rPr>
                <w:rFonts w:eastAsia="Times New Roman" w:cs="Segoe UI"/>
                <w:color w:val="000000" w:themeColor="text1"/>
                <w:sz w:val="20"/>
                <w:szCs w:val="20"/>
                <w:lang w:eastAsia="en-AU"/>
              </w:rPr>
              <w:t>short</w:t>
            </w:r>
            <w:proofErr w:type="gramEnd"/>
            <w:r w:rsidRPr="00384379">
              <w:rPr>
                <w:rFonts w:eastAsia="Times New Roman" w:cs="Segoe UI"/>
                <w:color w:val="000000" w:themeColor="text1"/>
                <w:sz w:val="20"/>
                <w:szCs w:val="20"/>
                <w:lang w:eastAsia="en-AU"/>
              </w:rPr>
              <w:t xml:space="preserve"> term)</w:t>
            </w:r>
          </w:p>
          <w:p w14:paraId="37BEBD99" w14:textId="77777777" w:rsidR="00384379" w:rsidRPr="00384379" w:rsidRDefault="00384379" w:rsidP="008505D7">
            <w:pPr>
              <w:pStyle w:val="ListParagraph"/>
              <w:numPr>
                <w:ilvl w:val="0"/>
                <w:numId w:val="167"/>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Pr="00384379">
              <w:rPr>
                <w:rFonts w:eastAsia="Times New Roman" w:cs="Segoe UI"/>
                <w:color w:val="222A35"/>
                <w:kern w:val="24"/>
                <w:sz w:val="20"/>
                <w:szCs w:val="20"/>
                <w:lang w:eastAsia="en-AU"/>
              </w:rPr>
              <w:t>he HTA advice does not presume all subsequent funding decisions would take effect through the PBS.</w:t>
            </w:r>
          </w:p>
          <w:p w14:paraId="326016E4" w14:textId="37C2334A" w:rsidR="00384379" w:rsidRPr="00F006AD" w:rsidDel="00067931" w:rsidRDefault="00384379" w:rsidP="00F006AD">
            <w:pPr>
              <w:spacing w:after="0"/>
              <w:ind w:left="360"/>
              <w:rPr>
                <w:rFonts w:eastAsia="Times New Roman" w:cs="Segoe UI"/>
                <w:color w:val="000000" w:themeColor="text1"/>
                <w:sz w:val="20"/>
                <w:szCs w:val="20"/>
                <w:lang w:eastAsia="en-AU"/>
              </w:rPr>
            </w:pPr>
          </w:p>
        </w:tc>
      </w:tr>
      <w:tr w:rsidR="00EA7E0F" w:rsidRPr="006647C5" w14:paraId="25D15C15" w14:textId="77777777" w:rsidTr="00534579">
        <w:trPr>
          <w:trHeight w:val="492"/>
        </w:trPr>
        <w:tc>
          <w:tcPr>
            <w:tcW w:w="1055" w:type="dxa"/>
            <w:tcBorders>
              <w:left w:val="single" w:sz="8" w:space="0" w:color="FFFFFF" w:themeColor="background1"/>
              <w:bottom w:val="single" w:sz="2" w:space="0" w:color="1D437F" w:themeColor="accent1"/>
              <w:right w:val="single" w:sz="8" w:space="0" w:color="FFFFFF" w:themeColor="background1"/>
            </w:tcBorders>
            <w:shd w:val="clear" w:color="auto" w:fill="FFFFFF" w:themeFill="background1"/>
            <w:tcMar>
              <w:top w:w="72" w:type="dxa"/>
              <w:left w:w="144" w:type="dxa"/>
              <w:bottom w:w="72" w:type="dxa"/>
              <w:right w:w="144" w:type="dxa"/>
            </w:tcMar>
          </w:tcPr>
          <w:p w14:paraId="4C967353" w14:textId="77777777" w:rsidR="00EA7E0F" w:rsidRPr="006647C5" w:rsidRDefault="00EA7E0F" w:rsidP="008C10BB">
            <w:pPr>
              <w:spacing w:after="120"/>
              <w:rPr>
                <w:rFonts w:eastAsia="Times New Roman" w:cs="Segoe UI"/>
                <w:sz w:val="20"/>
                <w:szCs w:val="20"/>
                <w:lang w:eastAsia="en-AU"/>
              </w:rPr>
            </w:pPr>
          </w:p>
        </w:tc>
        <w:tc>
          <w:tcPr>
            <w:tcW w:w="1901" w:type="dxa"/>
            <w:gridSpan w:val="2"/>
            <w:tcBorders>
              <w:top w:val="single" w:sz="4" w:space="0" w:color="E6E6E6"/>
              <w:left w:val="single" w:sz="8" w:space="0" w:color="FFFFFF" w:themeColor="background1"/>
              <w:bottom w:val="single" w:sz="2" w:space="0" w:color="1D437F" w:themeColor="accent1"/>
              <w:right w:val="single" w:sz="8" w:space="0" w:color="FFFFFF" w:themeColor="background1"/>
            </w:tcBorders>
            <w:shd w:val="clear" w:color="auto" w:fill="FFFFFF" w:themeFill="background1"/>
            <w:tcMar>
              <w:top w:w="72" w:type="dxa"/>
              <w:left w:w="144" w:type="dxa"/>
              <w:bottom w:w="72" w:type="dxa"/>
              <w:right w:w="144" w:type="dxa"/>
            </w:tcMar>
          </w:tcPr>
          <w:p w14:paraId="42D3096C" w14:textId="1A717645" w:rsidR="00EA7E0F" w:rsidRPr="006647C5" w:rsidRDefault="00EA7E0F" w:rsidP="009D14F6">
            <w:pPr>
              <w:pStyle w:val="Heading7"/>
              <w:keepNext w:val="0"/>
              <w:keepLines w:val="0"/>
              <w:ind w:left="-143"/>
              <w:rPr>
                <w:lang w:eastAsia="en-AU"/>
              </w:rPr>
            </w:pPr>
            <w:bookmarkStart w:id="37" w:name="_Unified_HTA_pathway"/>
            <w:bookmarkStart w:id="38" w:name="_Ref156862035"/>
            <w:bookmarkEnd w:id="37"/>
            <w:r w:rsidRPr="006647C5">
              <w:rPr>
                <w:lang w:eastAsia="en-AU"/>
              </w:rPr>
              <w:t>Unified HTA pathway for all health technologies with Commonwealth funding</w:t>
            </w:r>
            <w:bookmarkEnd w:id="38"/>
          </w:p>
        </w:tc>
        <w:tc>
          <w:tcPr>
            <w:tcW w:w="12779" w:type="dxa"/>
            <w:gridSpan w:val="2"/>
            <w:tcBorders>
              <w:top w:val="single" w:sz="4" w:space="0" w:color="E6E6E6"/>
              <w:left w:val="single" w:sz="8" w:space="0" w:color="FFFFFF" w:themeColor="background1"/>
              <w:bottom w:val="single" w:sz="2" w:space="0" w:color="1D437F" w:themeColor="accent1"/>
              <w:right w:val="single" w:sz="8" w:space="0" w:color="FFFFFF" w:themeColor="background1"/>
            </w:tcBorders>
            <w:shd w:val="clear" w:color="auto" w:fill="FFFFFF" w:themeFill="background1"/>
            <w:tcMar>
              <w:top w:w="72" w:type="dxa"/>
              <w:left w:w="144" w:type="dxa"/>
              <w:bottom w:w="72" w:type="dxa"/>
              <w:right w:w="144" w:type="dxa"/>
            </w:tcMar>
          </w:tcPr>
          <w:p w14:paraId="31608AEA" w14:textId="1DA6A98B" w:rsidR="004D4B81" w:rsidRPr="00A63CA0" w:rsidRDefault="002A7AE4" w:rsidP="008C10BB">
            <w:pPr>
              <w:spacing w:after="120"/>
              <w:ind w:left="-150" w:right="-101"/>
              <w:rPr>
                <w:rFonts w:eastAsia="Times New Roman" w:cs="Segoe UI"/>
                <w:color w:val="000000"/>
                <w:kern w:val="24"/>
                <w:sz w:val="20"/>
                <w:szCs w:val="20"/>
                <w:lang w:eastAsia="en-AU"/>
              </w:rPr>
            </w:pPr>
            <w:r w:rsidRPr="00A63CA0">
              <w:rPr>
                <w:rFonts w:eastAsia="Times New Roman" w:cs="Segoe UI"/>
                <w:color w:val="000000"/>
                <w:kern w:val="24"/>
                <w:sz w:val="20"/>
                <w:szCs w:val="20"/>
                <w:lang w:eastAsia="en-AU"/>
              </w:rPr>
              <w:t xml:space="preserve">Develop a unified, national, HTA pathway for </w:t>
            </w:r>
            <w:r w:rsidR="00B34297" w:rsidRPr="00A63CA0">
              <w:rPr>
                <w:rFonts w:eastAsia="Times New Roman" w:cs="Segoe UI"/>
                <w:color w:val="000000"/>
                <w:kern w:val="24"/>
                <w:sz w:val="20"/>
                <w:szCs w:val="20"/>
                <w:lang w:eastAsia="en-AU"/>
              </w:rPr>
              <w:t xml:space="preserve">all </w:t>
            </w:r>
            <w:r w:rsidRPr="00A63CA0">
              <w:rPr>
                <w:rFonts w:eastAsia="Times New Roman" w:cs="Segoe UI"/>
                <w:color w:val="000000"/>
                <w:kern w:val="24"/>
                <w:sz w:val="20"/>
                <w:szCs w:val="20"/>
                <w:lang w:eastAsia="en-AU"/>
              </w:rPr>
              <w:t>health technology evaluation (medium to long-term)</w:t>
            </w:r>
          </w:p>
          <w:p w14:paraId="5FBDF4F1" w14:textId="72C5E8B0" w:rsidR="004D4B81" w:rsidRPr="00563D26" w:rsidRDefault="00A03852" w:rsidP="008505D7">
            <w:pPr>
              <w:pStyle w:val="ListParagraph"/>
              <w:numPr>
                <w:ilvl w:val="0"/>
                <w:numId w:val="67"/>
              </w:numPr>
              <w:spacing w:after="0"/>
              <w:rPr>
                <w:rFonts w:eastAsia="Times New Roman" w:cs="Segoe UI"/>
                <w:color w:val="222A35"/>
                <w:kern w:val="24"/>
                <w:sz w:val="20"/>
                <w:szCs w:val="20"/>
                <w:lang w:eastAsia="en-AU"/>
              </w:rPr>
            </w:pPr>
            <w:r w:rsidRPr="00563D26">
              <w:rPr>
                <w:rFonts w:eastAsia="Times New Roman" w:cs="Segoe UI"/>
                <w:color w:val="222A35"/>
                <w:kern w:val="24"/>
                <w:sz w:val="20"/>
                <w:szCs w:val="20"/>
                <w:lang w:eastAsia="en-AU"/>
              </w:rPr>
              <w:t xml:space="preserve">To meet this aim, </w:t>
            </w:r>
            <w:r w:rsidR="00704E8F" w:rsidRPr="00563D26">
              <w:rPr>
                <w:rFonts w:eastAsia="Times New Roman" w:cs="Segoe UI"/>
                <w:color w:val="222A35"/>
                <w:kern w:val="24"/>
                <w:sz w:val="20"/>
                <w:szCs w:val="20"/>
                <w:lang w:eastAsia="en-AU"/>
              </w:rPr>
              <w:t>i</w:t>
            </w:r>
            <w:r w:rsidR="002A7AE4" w:rsidRPr="00563D26">
              <w:rPr>
                <w:rFonts w:eastAsia="Times New Roman" w:cs="Segoe UI"/>
                <w:color w:val="222A35"/>
                <w:kern w:val="24"/>
                <w:sz w:val="20"/>
                <w:szCs w:val="20"/>
                <w:lang w:eastAsia="en-AU"/>
              </w:rPr>
              <w:t>nvestigate</w:t>
            </w:r>
            <w:r w:rsidR="00F64FD2" w:rsidRPr="00563D26">
              <w:rPr>
                <w:rFonts w:eastAsia="Times New Roman" w:cs="Segoe UI"/>
                <w:color w:val="222A35"/>
                <w:kern w:val="24"/>
                <w:sz w:val="20"/>
                <w:szCs w:val="20"/>
                <w:lang w:eastAsia="en-AU"/>
              </w:rPr>
              <w:t xml:space="preserve"> </w:t>
            </w:r>
            <w:r w:rsidR="00A92E0E" w:rsidRPr="00563D26">
              <w:rPr>
                <w:rFonts w:eastAsia="Times New Roman" w:cs="Segoe UI"/>
                <w:color w:val="222A35"/>
                <w:kern w:val="24"/>
                <w:sz w:val="20"/>
                <w:szCs w:val="20"/>
                <w:lang w:eastAsia="en-AU"/>
              </w:rPr>
              <w:t>approache</w:t>
            </w:r>
            <w:r w:rsidR="00934214" w:rsidRPr="00563D26">
              <w:rPr>
                <w:rFonts w:eastAsia="Times New Roman" w:cs="Segoe UI"/>
                <w:color w:val="222A35"/>
                <w:kern w:val="24"/>
                <w:sz w:val="20"/>
                <w:szCs w:val="20"/>
                <w:lang w:eastAsia="en-AU"/>
              </w:rPr>
              <w:t>s</w:t>
            </w:r>
            <w:r w:rsidR="00A92E0E" w:rsidRPr="00563D26">
              <w:rPr>
                <w:rFonts w:eastAsia="Times New Roman" w:cs="Segoe UI"/>
                <w:color w:val="222A35"/>
                <w:kern w:val="24"/>
                <w:sz w:val="20"/>
                <w:szCs w:val="20"/>
                <w:lang w:eastAsia="en-AU"/>
              </w:rPr>
              <w:t xml:space="preserve"> </w:t>
            </w:r>
            <w:r w:rsidR="00AE782F" w:rsidRPr="00563D26">
              <w:rPr>
                <w:rFonts w:eastAsia="Times New Roman" w:cs="Segoe UI"/>
                <w:color w:val="222A35"/>
                <w:kern w:val="24"/>
                <w:sz w:val="20"/>
                <w:szCs w:val="20"/>
                <w:lang w:eastAsia="en-AU"/>
              </w:rPr>
              <w:t xml:space="preserve">for </w:t>
            </w:r>
            <w:r w:rsidR="00580893" w:rsidRPr="00563D26">
              <w:rPr>
                <w:rFonts w:eastAsia="Times New Roman" w:cs="Segoe UI"/>
                <w:color w:val="222A35"/>
                <w:kern w:val="24"/>
                <w:sz w:val="20"/>
                <w:szCs w:val="20"/>
                <w:lang w:eastAsia="en-AU"/>
              </w:rPr>
              <w:t xml:space="preserve">having </w:t>
            </w:r>
            <w:r w:rsidR="002A7AE4" w:rsidRPr="00563D26">
              <w:rPr>
                <w:rFonts w:eastAsia="Times New Roman" w:cs="Segoe UI"/>
                <w:color w:val="222A35"/>
                <w:kern w:val="24"/>
                <w:sz w:val="20"/>
                <w:szCs w:val="20"/>
                <w:lang w:eastAsia="en-AU"/>
              </w:rPr>
              <w:t>one</w:t>
            </w:r>
            <w:r w:rsidR="00934214" w:rsidRPr="00563D26">
              <w:rPr>
                <w:rFonts w:eastAsia="Times New Roman" w:cs="Segoe UI"/>
                <w:color w:val="222A35"/>
                <w:kern w:val="24"/>
                <w:sz w:val="20"/>
                <w:szCs w:val="20"/>
                <w:lang w:eastAsia="en-AU"/>
              </w:rPr>
              <w:t xml:space="preserve"> </w:t>
            </w:r>
            <w:r w:rsidR="002A7AE4" w:rsidRPr="00563D26">
              <w:rPr>
                <w:rFonts w:eastAsia="Times New Roman" w:cs="Segoe UI"/>
                <w:color w:val="222A35"/>
                <w:kern w:val="24"/>
                <w:sz w:val="20"/>
                <w:szCs w:val="20"/>
                <w:lang w:eastAsia="en-AU"/>
              </w:rPr>
              <w:t>committee</w:t>
            </w:r>
            <w:r w:rsidR="00630547">
              <w:rPr>
                <w:rFonts w:eastAsia="Times New Roman" w:cs="Segoe UI"/>
                <w:color w:val="222A35"/>
                <w:kern w:val="24"/>
                <w:sz w:val="20"/>
                <w:szCs w:val="20"/>
                <w:lang w:eastAsia="en-AU"/>
              </w:rPr>
              <w:t>*</w:t>
            </w:r>
            <w:r w:rsidR="002A7AE4" w:rsidRPr="00563D26">
              <w:rPr>
                <w:rFonts w:eastAsia="Times New Roman" w:cs="Segoe UI"/>
                <w:color w:val="222A35"/>
                <w:kern w:val="24"/>
                <w:sz w:val="20"/>
                <w:szCs w:val="20"/>
                <w:lang w:eastAsia="en-AU"/>
              </w:rPr>
              <w:t xml:space="preserve"> </w:t>
            </w:r>
            <w:r w:rsidR="00934214" w:rsidRPr="00563D26">
              <w:rPr>
                <w:rFonts w:eastAsia="Times New Roman" w:cs="Segoe UI"/>
                <w:color w:val="222A35"/>
                <w:kern w:val="24"/>
                <w:sz w:val="20"/>
                <w:szCs w:val="20"/>
                <w:lang w:eastAsia="en-AU"/>
              </w:rPr>
              <w:t xml:space="preserve">that is appropriately resourced </w:t>
            </w:r>
            <w:r w:rsidR="002A7AE4" w:rsidRPr="00563D26">
              <w:rPr>
                <w:rFonts w:eastAsia="Times New Roman" w:cs="Segoe UI"/>
                <w:color w:val="222A35"/>
                <w:kern w:val="24"/>
                <w:sz w:val="20"/>
                <w:szCs w:val="20"/>
                <w:lang w:eastAsia="en-AU"/>
              </w:rPr>
              <w:t xml:space="preserve">(including adjustments to Committee composition and scope) that could progress all HTA </w:t>
            </w:r>
            <w:r w:rsidR="00C02028" w:rsidRPr="00563D26">
              <w:rPr>
                <w:rFonts w:eastAsia="Times New Roman" w:cs="Segoe UI"/>
                <w:color w:val="222A35"/>
                <w:kern w:val="24"/>
                <w:sz w:val="20"/>
                <w:szCs w:val="20"/>
                <w:lang w:eastAsia="en-AU"/>
              </w:rPr>
              <w:t xml:space="preserve">by </w:t>
            </w:r>
            <w:r w:rsidR="002A7AE4" w:rsidRPr="00563D26">
              <w:rPr>
                <w:rFonts w:eastAsia="Times New Roman" w:cs="Segoe UI"/>
                <w:color w:val="222A35"/>
                <w:kern w:val="24"/>
                <w:sz w:val="20"/>
                <w:szCs w:val="20"/>
                <w:lang w:eastAsia="en-AU"/>
              </w:rPr>
              <w:t>draw</w:t>
            </w:r>
            <w:r w:rsidR="00C02028" w:rsidRPr="00563D26">
              <w:rPr>
                <w:rFonts w:eastAsia="Times New Roman" w:cs="Segoe UI"/>
                <w:color w:val="222A35"/>
                <w:kern w:val="24"/>
                <w:sz w:val="20"/>
                <w:szCs w:val="20"/>
                <w:lang w:eastAsia="en-AU"/>
              </w:rPr>
              <w:t>ing</w:t>
            </w:r>
            <w:r w:rsidR="002A7AE4" w:rsidRPr="00563D26">
              <w:rPr>
                <w:rFonts w:eastAsia="Times New Roman" w:cs="Segoe UI"/>
                <w:color w:val="222A35"/>
                <w:kern w:val="24"/>
                <w:sz w:val="20"/>
                <w:szCs w:val="20"/>
                <w:lang w:eastAsia="en-AU"/>
              </w:rPr>
              <w:t xml:space="preserve"> on pools of appropriate specialists as needed, including for medicines, </w:t>
            </w:r>
            <w:r w:rsidR="00CF5EB0">
              <w:rPr>
                <w:rFonts w:eastAsia="Times New Roman" w:cs="Segoe UI"/>
                <w:color w:val="222A35"/>
                <w:kern w:val="24"/>
                <w:sz w:val="20"/>
                <w:szCs w:val="20"/>
                <w:lang w:eastAsia="en-AU"/>
              </w:rPr>
              <w:t>advanced therapies</w:t>
            </w:r>
            <w:r w:rsidR="00700B73">
              <w:rPr>
                <w:rFonts w:eastAsia="Times New Roman" w:cs="Segoe UI"/>
                <w:color w:val="222A35"/>
                <w:kern w:val="24"/>
                <w:sz w:val="20"/>
                <w:szCs w:val="20"/>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sz w:val="20"/>
                <w:szCs w:val="20"/>
                <w:lang w:eastAsia="en-AU"/>
              </w:rPr>
              <w:fldChar w:fldCharType="end"/>
            </w:r>
            <w:r w:rsidR="002A7AE4" w:rsidRPr="00563D26">
              <w:rPr>
                <w:rFonts w:eastAsia="Times New Roman" w:cs="Segoe UI"/>
                <w:color w:val="222A35"/>
                <w:kern w:val="24"/>
                <w:sz w:val="20"/>
                <w:szCs w:val="20"/>
                <w:lang w:eastAsia="en-AU"/>
              </w:rPr>
              <w:t>, blood and blood products and other types of technologies seeking public funding</w:t>
            </w:r>
            <w:r w:rsidR="00646EFF">
              <w:rPr>
                <w:rFonts w:eastAsia="Times New Roman" w:cs="Segoe UI"/>
                <w:color w:val="222A35"/>
                <w:kern w:val="24"/>
                <w:sz w:val="20"/>
                <w:szCs w:val="20"/>
                <w:lang w:eastAsia="en-AU"/>
              </w:rPr>
              <w:t>.</w:t>
            </w:r>
          </w:p>
          <w:p w14:paraId="6121D59F" w14:textId="2D7C8AC5" w:rsidR="00233374" w:rsidRPr="00687095" w:rsidRDefault="00233374" w:rsidP="008505D7">
            <w:pPr>
              <w:pStyle w:val="ListParagraph"/>
              <w:numPr>
                <w:ilvl w:val="0"/>
                <w:numId w:val="67"/>
              </w:numPr>
              <w:spacing w:after="0"/>
              <w:rPr>
                <w:rFonts w:eastAsia="Times New Roman" w:cs="Segoe UI"/>
                <w:color w:val="222A35"/>
                <w:kern w:val="24"/>
                <w:sz w:val="20"/>
                <w:szCs w:val="20"/>
                <w:lang w:eastAsia="en-AU"/>
              </w:rPr>
            </w:pPr>
            <w:r w:rsidRPr="00687095">
              <w:rPr>
                <w:rFonts w:eastAsia="Times New Roman" w:cs="Segoe UI"/>
                <w:color w:val="222A35"/>
                <w:kern w:val="24"/>
                <w:sz w:val="20"/>
                <w:szCs w:val="20"/>
                <w:lang w:eastAsia="en-AU"/>
              </w:rPr>
              <w:t>The Committee responsible for assessing a submission should have the flexibility to recommend the most suitable funding pathway for that product</w:t>
            </w:r>
            <w:r w:rsidR="00646EFF">
              <w:rPr>
                <w:rFonts w:eastAsia="Times New Roman" w:cs="Segoe UI"/>
                <w:color w:val="222A35"/>
                <w:kern w:val="24"/>
                <w:sz w:val="20"/>
                <w:szCs w:val="20"/>
                <w:lang w:eastAsia="en-AU"/>
              </w:rPr>
              <w:t>.</w:t>
            </w:r>
          </w:p>
          <w:p w14:paraId="07DE55B4" w14:textId="1DE47186" w:rsidR="00384379" w:rsidRDefault="002A7AE4" w:rsidP="008505D7">
            <w:pPr>
              <w:pStyle w:val="ListParagraph"/>
              <w:numPr>
                <w:ilvl w:val="0"/>
                <w:numId w:val="67"/>
              </w:numPr>
              <w:spacing w:after="0"/>
              <w:rPr>
                <w:rFonts w:eastAsia="Times New Roman" w:cs="Segoe UI"/>
                <w:color w:val="222A35"/>
                <w:kern w:val="24"/>
                <w:sz w:val="20"/>
                <w:szCs w:val="20"/>
                <w:lang w:eastAsia="en-AU"/>
              </w:rPr>
            </w:pPr>
            <w:r w:rsidRPr="00563D26">
              <w:rPr>
                <w:rFonts w:eastAsia="Times New Roman" w:cs="Segoe UI"/>
                <w:color w:val="222A35"/>
                <w:kern w:val="24"/>
                <w:sz w:val="20"/>
                <w:szCs w:val="20"/>
                <w:lang w:eastAsia="en-AU"/>
              </w:rPr>
              <w:t>It is noted that the committee structure may need to be augmented to ensure that it appropriately resourced both with expertise and workload</w:t>
            </w:r>
            <w:r w:rsidR="00646EFF">
              <w:rPr>
                <w:rFonts w:eastAsia="Times New Roman" w:cs="Segoe UI"/>
                <w:color w:val="222A35"/>
                <w:kern w:val="24"/>
                <w:sz w:val="20"/>
                <w:szCs w:val="20"/>
                <w:lang w:eastAsia="en-AU"/>
              </w:rPr>
              <w:t>.</w:t>
            </w:r>
          </w:p>
          <w:p w14:paraId="156ABBC3" w14:textId="31042A7A" w:rsidR="004D4B81" w:rsidRPr="00384379" w:rsidRDefault="00384379" w:rsidP="008505D7">
            <w:pPr>
              <w:pStyle w:val="ListParagraph"/>
              <w:numPr>
                <w:ilvl w:val="0"/>
                <w:numId w:val="67"/>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2A7AE4" w:rsidRPr="00384379">
              <w:rPr>
                <w:rFonts w:eastAsia="Times New Roman" w:cs="Segoe UI"/>
                <w:color w:val="222A35"/>
                <w:kern w:val="24"/>
                <w:sz w:val="20"/>
                <w:szCs w:val="20"/>
                <w:lang w:eastAsia="en-AU"/>
              </w:rPr>
              <w:t>he HTA advice does not presume all subsequent funding decisions would take effect through the PBS.</w:t>
            </w:r>
          </w:p>
          <w:p w14:paraId="351D5F02" w14:textId="2D1AE685" w:rsidR="00EA7E0F" w:rsidRPr="00F47E30" w:rsidRDefault="00630547" w:rsidP="00BB4646">
            <w:pPr>
              <w:spacing w:after="0"/>
              <w:rPr>
                <w:rFonts w:eastAsia="Times New Roman" w:cs="Segoe UI"/>
                <w:sz w:val="20"/>
                <w:szCs w:val="20"/>
                <w:lang w:eastAsia="en-AU"/>
              </w:rPr>
            </w:pPr>
            <w:r w:rsidRPr="00BB4646">
              <w:rPr>
                <w:rFonts w:eastAsia="Times New Roman" w:cs="Segoe UI"/>
                <w:color w:val="222A35"/>
                <w:kern w:val="24"/>
                <w:sz w:val="20"/>
                <w:szCs w:val="20"/>
                <w:lang w:eastAsia="en-AU"/>
              </w:rPr>
              <w:t>*</w:t>
            </w:r>
            <w:r w:rsidR="006001B1" w:rsidRPr="00BB4646">
              <w:rPr>
                <w:rFonts w:eastAsia="Times New Roman" w:cs="Segoe UI"/>
                <w:color w:val="222A35"/>
                <w:kern w:val="24"/>
                <w:sz w:val="20"/>
                <w:szCs w:val="20"/>
                <w:lang w:eastAsia="en-AU"/>
              </w:rPr>
              <w:t>The goal</w:t>
            </w:r>
            <w:r w:rsidR="00D4370C" w:rsidRPr="00BB4646">
              <w:rPr>
                <w:rFonts w:eastAsia="Times New Roman" w:cs="Segoe UI"/>
                <w:color w:val="222A35"/>
                <w:kern w:val="24"/>
                <w:sz w:val="20"/>
                <w:szCs w:val="20"/>
                <w:lang w:eastAsia="en-AU"/>
              </w:rPr>
              <w:t xml:space="preserve"> of this is to have a unified HTA </w:t>
            </w:r>
            <w:r w:rsidR="00CE2550">
              <w:rPr>
                <w:rFonts w:eastAsia="Times New Roman" w:cs="Segoe UI"/>
                <w:color w:val="222A35"/>
                <w:kern w:val="24"/>
                <w:sz w:val="20"/>
                <w:szCs w:val="20"/>
                <w:lang w:eastAsia="en-AU"/>
              </w:rPr>
              <w:t xml:space="preserve">committee </w:t>
            </w:r>
            <w:r w:rsidR="00D4370C" w:rsidRPr="00BB4646">
              <w:rPr>
                <w:rFonts w:eastAsia="Times New Roman" w:cs="Segoe UI"/>
                <w:color w:val="222A35"/>
                <w:kern w:val="24"/>
                <w:sz w:val="20"/>
                <w:szCs w:val="20"/>
                <w:lang w:eastAsia="en-AU"/>
              </w:rPr>
              <w:t>approach however w</w:t>
            </w:r>
            <w:r w:rsidR="002A7AE4" w:rsidRPr="00BB4646">
              <w:rPr>
                <w:rFonts w:eastAsia="Times New Roman" w:cs="Segoe UI"/>
                <w:color w:val="222A35"/>
                <w:kern w:val="24"/>
                <w:sz w:val="20"/>
                <w:szCs w:val="20"/>
                <w:lang w:eastAsia="en-AU"/>
              </w:rPr>
              <w:t>ith respect to</w:t>
            </w:r>
            <w:r w:rsidR="00EA7E0F" w:rsidRPr="00BB4646">
              <w:rPr>
                <w:rFonts w:eastAsia="Times New Roman" w:cs="Segoe UI"/>
                <w:color w:val="222A35"/>
                <w:kern w:val="24"/>
                <w:sz w:val="20"/>
                <w:szCs w:val="20"/>
                <w:lang w:eastAsia="en-AU"/>
              </w:rPr>
              <w:t xml:space="preserve"> workload, </w:t>
            </w:r>
            <w:r w:rsidR="0086131F" w:rsidRPr="00BB4646">
              <w:rPr>
                <w:rFonts w:eastAsia="Times New Roman" w:cs="Segoe UI"/>
                <w:color w:val="222A35"/>
                <w:kern w:val="24"/>
                <w:sz w:val="20"/>
                <w:szCs w:val="20"/>
                <w:lang w:eastAsia="en-AU"/>
              </w:rPr>
              <w:t>this</w:t>
            </w:r>
            <w:r w:rsidR="00EA7E0F" w:rsidRPr="00BB4646">
              <w:rPr>
                <w:rFonts w:eastAsia="Times New Roman" w:cs="Segoe UI"/>
                <w:color w:val="222A35"/>
                <w:kern w:val="24"/>
                <w:sz w:val="20"/>
                <w:szCs w:val="20"/>
                <w:lang w:eastAsia="en-AU"/>
              </w:rPr>
              <w:t xml:space="preserve"> could be done through more frequent meetings or having </w:t>
            </w:r>
            <w:r w:rsidR="00496E1E" w:rsidRPr="00BB4646">
              <w:rPr>
                <w:rFonts w:eastAsia="Times New Roman" w:cs="Segoe UI"/>
                <w:color w:val="222A35"/>
                <w:kern w:val="24"/>
                <w:sz w:val="20"/>
                <w:szCs w:val="20"/>
                <w:lang w:eastAsia="en-AU"/>
              </w:rPr>
              <w:t>multiple</w:t>
            </w:r>
            <w:r w:rsidR="007349FE" w:rsidRPr="00BB4646">
              <w:rPr>
                <w:rFonts w:eastAsia="Times New Roman" w:cs="Segoe UI"/>
                <w:color w:val="222A35"/>
                <w:kern w:val="24"/>
                <w:sz w:val="20"/>
                <w:szCs w:val="20"/>
                <w:lang w:eastAsia="en-AU"/>
              </w:rPr>
              <w:t xml:space="preserve"> </w:t>
            </w:r>
            <w:r w:rsidR="00EA7E0F" w:rsidRPr="00BB4646">
              <w:rPr>
                <w:rFonts w:eastAsia="Times New Roman" w:cs="Segoe UI"/>
                <w:color w:val="222A35"/>
                <w:kern w:val="24"/>
                <w:sz w:val="20"/>
                <w:szCs w:val="20"/>
                <w:lang w:eastAsia="en-AU"/>
              </w:rPr>
              <w:t>committees with a unified approach</w:t>
            </w:r>
            <w:r w:rsidR="00AB0FBE" w:rsidRPr="00BB4646">
              <w:rPr>
                <w:rFonts w:eastAsia="Times New Roman" w:cs="Segoe UI"/>
                <w:color w:val="222A35"/>
                <w:kern w:val="24"/>
                <w:sz w:val="20"/>
                <w:szCs w:val="20"/>
                <w:lang w:eastAsia="en-AU"/>
              </w:rPr>
              <w:t xml:space="preserve"> and offset meeting </w:t>
            </w:r>
            <w:r w:rsidR="00466D7B" w:rsidRPr="00BB4646">
              <w:rPr>
                <w:rFonts w:eastAsia="Times New Roman" w:cs="Segoe UI"/>
                <w:color w:val="222A35"/>
                <w:kern w:val="24"/>
                <w:sz w:val="20"/>
                <w:szCs w:val="20"/>
                <w:lang w:eastAsia="en-AU"/>
              </w:rPr>
              <w:t>cycles</w:t>
            </w:r>
            <w:r w:rsidR="00EA7E0F" w:rsidRPr="00BB4646">
              <w:rPr>
                <w:rFonts w:eastAsia="Times New Roman" w:cs="Segoe UI"/>
                <w:color w:val="222A35"/>
                <w:kern w:val="24"/>
                <w:sz w:val="20"/>
                <w:szCs w:val="20"/>
                <w:lang w:eastAsia="en-AU"/>
              </w:rPr>
              <w:t xml:space="preserve">. </w:t>
            </w:r>
            <w:r w:rsidR="00C56F88" w:rsidRPr="00BB4646">
              <w:rPr>
                <w:rFonts w:eastAsia="Times New Roman" w:cs="Segoe UI"/>
                <w:color w:val="222A35"/>
                <w:kern w:val="24"/>
                <w:sz w:val="20"/>
                <w:szCs w:val="20"/>
                <w:lang w:eastAsia="en-AU"/>
              </w:rPr>
              <w:t xml:space="preserve">Additionally, </w:t>
            </w:r>
            <w:r w:rsidR="3E74555E" w:rsidRPr="00BB4646">
              <w:rPr>
                <w:rFonts w:eastAsia="Times New Roman" w:cs="Segoe UI"/>
                <w:color w:val="222A35"/>
                <w:kern w:val="24"/>
                <w:sz w:val="20"/>
                <w:szCs w:val="20"/>
                <w:lang w:eastAsia="en-AU"/>
              </w:rPr>
              <w:t>the</w:t>
            </w:r>
            <w:r w:rsidR="00EA7E0F" w:rsidRPr="00BB4646">
              <w:rPr>
                <w:rFonts w:eastAsia="Times New Roman" w:cs="Segoe UI"/>
                <w:color w:val="222A35"/>
                <w:kern w:val="24"/>
                <w:sz w:val="20"/>
                <w:szCs w:val="20"/>
                <w:lang w:eastAsia="en-AU"/>
              </w:rPr>
              <w:t xml:space="preserve"> committee expertise could be augmented through additional permanent members</w:t>
            </w:r>
            <w:r w:rsidR="001339C2" w:rsidRPr="00BB4646">
              <w:rPr>
                <w:rFonts w:eastAsia="Times New Roman" w:cs="Segoe UI"/>
                <w:color w:val="222A35"/>
                <w:kern w:val="24"/>
                <w:sz w:val="20"/>
                <w:szCs w:val="20"/>
                <w:lang w:eastAsia="en-AU"/>
              </w:rPr>
              <w:t xml:space="preserve">, </w:t>
            </w:r>
            <w:r w:rsidR="007B5D26" w:rsidRPr="00BB4646">
              <w:rPr>
                <w:rFonts w:eastAsia="Times New Roman" w:cs="Segoe UI"/>
                <w:color w:val="222A35"/>
                <w:kern w:val="24"/>
                <w:sz w:val="20"/>
                <w:szCs w:val="20"/>
                <w:lang w:eastAsia="en-AU"/>
              </w:rPr>
              <w:t xml:space="preserve">having </w:t>
            </w:r>
            <w:r w:rsidR="00EA7E0F" w:rsidRPr="00BB4646">
              <w:rPr>
                <w:rFonts w:eastAsia="Times New Roman" w:cs="Segoe UI"/>
                <w:color w:val="222A35"/>
                <w:kern w:val="24"/>
                <w:sz w:val="20"/>
                <w:szCs w:val="20"/>
                <w:lang w:eastAsia="en-AU"/>
              </w:rPr>
              <w:t xml:space="preserve">topic specific </w:t>
            </w:r>
            <w:r w:rsidR="002E147F" w:rsidRPr="00BB4646">
              <w:rPr>
                <w:rFonts w:eastAsia="Times New Roman" w:cs="Segoe UI"/>
                <w:color w:val="222A35"/>
                <w:kern w:val="24"/>
                <w:sz w:val="20"/>
                <w:szCs w:val="20"/>
                <w:lang w:eastAsia="en-AU"/>
              </w:rPr>
              <w:t>groups</w:t>
            </w:r>
            <w:r w:rsidR="003326A1" w:rsidRPr="00BB4646">
              <w:rPr>
                <w:rFonts w:eastAsia="Times New Roman" w:cs="Segoe UI"/>
                <w:color w:val="222A35"/>
                <w:kern w:val="24"/>
                <w:sz w:val="20"/>
                <w:szCs w:val="20"/>
                <w:lang w:eastAsia="en-AU"/>
              </w:rPr>
              <w:t xml:space="preserve"> </w:t>
            </w:r>
            <w:r w:rsidR="00EA7E0F" w:rsidRPr="00BB4646">
              <w:rPr>
                <w:rFonts w:eastAsia="Times New Roman" w:cs="Segoe UI"/>
                <w:color w:val="222A35"/>
                <w:kern w:val="24"/>
                <w:sz w:val="20"/>
                <w:szCs w:val="20"/>
                <w:lang w:eastAsia="en-AU"/>
              </w:rPr>
              <w:t>that can be drawn on to provide advice</w:t>
            </w:r>
            <w:r w:rsidR="001339C2" w:rsidRPr="00BB4646">
              <w:rPr>
                <w:rFonts w:eastAsia="Times New Roman" w:cs="Segoe UI"/>
                <w:color w:val="222A35"/>
                <w:kern w:val="24"/>
                <w:sz w:val="20"/>
                <w:szCs w:val="20"/>
                <w:lang w:eastAsia="en-AU"/>
              </w:rPr>
              <w:t>,</w:t>
            </w:r>
            <w:r w:rsidR="00EA7E0F" w:rsidRPr="00BB4646">
              <w:rPr>
                <w:rFonts w:eastAsia="Times New Roman" w:cs="Segoe UI"/>
                <w:color w:val="222A35"/>
                <w:kern w:val="24"/>
                <w:sz w:val="20"/>
                <w:szCs w:val="20"/>
                <w:lang w:eastAsia="en-AU"/>
              </w:rPr>
              <w:t xml:space="preserve"> or </w:t>
            </w:r>
            <w:r w:rsidR="00441364" w:rsidRPr="00BB4646">
              <w:rPr>
                <w:rFonts w:eastAsia="Times New Roman" w:cs="Segoe UI"/>
                <w:color w:val="222A35"/>
                <w:kern w:val="24"/>
                <w:sz w:val="20"/>
                <w:szCs w:val="20"/>
                <w:lang w:eastAsia="en-AU"/>
              </w:rPr>
              <w:t xml:space="preserve">pools of </w:t>
            </w:r>
            <w:r w:rsidR="009B7DC0" w:rsidRPr="00BB4646">
              <w:rPr>
                <w:rFonts w:eastAsia="Times New Roman" w:cs="Segoe UI"/>
                <w:color w:val="222A35"/>
                <w:kern w:val="24"/>
                <w:sz w:val="20"/>
                <w:szCs w:val="20"/>
                <w:lang w:eastAsia="en-AU"/>
              </w:rPr>
              <w:t xml:space="preserve">topic specific </w:t>
            </w:r>
            <w:r w:rsidR="00441364" w:rsidRPr="00BB4646">
              <w:rPr>
                <w:rFonts w:eastAsia="Times New Roman" w:cs="Segoe UI"/>
                <w:color w:val="222A35"/>
                <w:kern w:val="24"/>
                <w:sz w:val="20"/>
                <w:szCs w:val="20"/>
                <w:lang w:eastAsia="en-AU"/>
              </w:rPr>
              <w:t xml:space="preserve">experts </w:t>
            </w:r>
            <w:r w:rsidR="009B7DC0" w:rsidRPr="00BB4646">
              <w:rPr>
                <w:rFonts w:eastAsia="Times New Roman" w:cs="Segoe UI"/>
                <w:color w:val="222A35"/>
                <w:kern w:val="24"/>
                <w:sz w:val="20"/>
                <w:szCs w:val="20"/>
                <w:lang w:eastAsia="en-AU"/>
              </w:rPr>
              <w:t xml:space="preserve">that can be drawn on to </w:t>
            </w:r>
            <w:r w:rsidR="00EA7E0F" w:rsidRPr="00BB4646">
              <w:rPr>
                <w:rFonts w:eastAsia="Times New Roman" w:cs="Segoe UI"/>
                <w:color w:val="222A35"/>
                <w:kern w:val="24"/>
                <w:sz w:val="20"/>
                <w:szCs w:val="20"/>
                <w:lang w:eastAsia="en-AU"/>
              </w:rPr>
              <w:t>supplementary members as the expertise is required.</w:t>
            </w:r>
          </w:p>
        </w:tc>
      </w:tr>
      <w:tr w:rsidR="0013010E" w:rsidRPr="006647C5" w14:paraId="3A2D28C5" w14:textId="77777777" w:rsidTr="00C93D28">
        <w:trPr>
          <w:trHeight w:val="492"/>
        </w:trPr>
        <w:tc>
          <w:tcPr>
            <w:tcW w:w="15735" w:type="dxa"/>
            <w:gridSpan w:val="5"/>
            <w:tcBorders>
              <w:top w:val="single" w:sz="2" w:space="0" w:color="1D437F" w:themeColor="accent1"/>
              <w:left w:val="single" w:sz="8" w:space="0" w:color="FFFFFF" w:themeColor="background1"/>
              <w:right w:val="single" w:sz="8" w:space="0" w:color="FFFFFF" w:themeColor="background1"/>
            </w:tcBorders>
            <w:shd w:val="clear" w:color="auto" w:fill="FFFFFF" w:themeFill="background1"/>
            <w:tcMar>
              <w:top w:w="72" w:type="dxa"/>
              <w:left w:w="144" w:type="dxa"/>
              <w:bottom w:w="72" w:type="dxa"/>
              <w:right w:w="144" w:type="dxa"/>
            </w:tcMar>
          </w:tcPr>
          <w:p w14:paraId="40828994" w14:textId="09326D13" w:rsidR="006F5B0D" w:rsidRPr="00A63CA0" w:rsidRDefault="006F5B0D" w:rsidP="008505D7">
            <w:pPr>
              <w:pStyle w:val="Heading6"/>
              <w:numPr>
                <w:ilvl w:val="1"/>
                <w:numId w:val="35"/>
              </w:numPr>
              <w:ind w:left="274" w:right="30"/>
              <w:rPr>
                <w:rFonts w:eastAsia="Times New Roman" w:cs="Segoe UI"/>
                <w:color w:val="000000"/>
                <w:kern w:val="24"/>
              </w:rPr>
            </w:pPr>
            <w:r w:rsidRPr="009D14F6">
              <w:rPr>
                <w:color w:val="1D437F" w:themeColor="accent1"/>
              </w:rPr>
              <w:t>Proportionate appraisal pathways: Development of pathways to calibrate the level of appraisal required for HTA submissions to the level of risk (levels of uncertainty and potential fiscal impact) and clinical need that the submission represents.</w:t>
            </w:r>
          </w:p>
        </w:tc>
      </w:tr>
      <w:tr w:rsidR="00312492" w:rsidRPr="006647C5" w14:paraId="6A100E7D" w14:textId="77777777" w:rsidTr="00534579">
        <w:trPr>
          <w:trHeight w:val="996"/>
        </w:trPr>
        <w:tc>
          <w:tcPr>
            <w:tcW w:w="1055" w:type="dxa"/>
            <w:shd w:val="clear" w:color="auto" w:fill="FFFFFF" w:themeFill="background1"/>
            <w:tcMar>
              <w:top w:w="72" w:type="dxa"/>
              <w:left w:w="144" w:type="dxa"/>
              <w:bottom w:w="72" w:type="dxa"/>
              <w:right w:w="144" w:type="dxa"/>
            </w:tcMar>
          </w:tcPr>
          <w:p w14:paraId="57C28716" w14:textId="77777777" w:rsidR="00312492" w:rsidRPr="00825299" w:rsidRDefault="00312492"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447EBA6E" w14:textId="1B7E488B" w:rsidR="00312492" w:rsidRPr="00825299" w:rsidRDefault="006F5B0D" w:rsidP="006F5B0D">
            <w:pPr>
              <w:pStyle w:val="Heading7"/>
              <w:keepNext w:val="0"/>
              <w:keepLines w:val="0"/>
              <w:rPr>
                <w:lang w:eastAsia="en-AU"/>
              </w:rPr>
            </w:pPr>
            <w:r>
              <w:rPr>
                <w:lang w:eastAsia="en-AU"/>
              </w:rPr>
              <w:t>Triaging submissions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0039257" w14:textId="799C358B" w:rsidR="006F5B0D" w:rsidRPr="000C14B3" w:rsidRDefault="006F5B0D"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As a part of both the proportionate appraisal</w:t>
            </w:r>
            <w:r w:rsidR="007E17CC">
              <w:rPr>
                <w:rFonts w:eastAsia="Times New Roman" w:cs="Segoe UI"/>
                <w:color w:val="222A35"/>
                <w:kern w:val="24"/>
                <w:sz w:val="20"/>
                <w:szCs w:val="20"/>
                <w:lang w:eastAsia="en-AU"/>
              </w:rPr>
              <w:fldChar w:fldCharType="begin"/>
            </w:r>
            <w:r w:rsidR="007E17CC">
              <w:instrText xml:space="preserve"> XE "</w:instrText>
            </w:r>
            <w:r w:rsidR="007E17CC" w:rsidRPr="002737EE">
              <w:rPr>
                <w:rFonts w:eastAsia="Times New Roman" w:cs="Segoe UI"/>
                <w:color w:val="222A35"/>
                <w:kern w:val="24"/>
                <w:sz w:val="20"/>
                <w:szCs w:val="20"/>
                <w:lang w:eastAsia="en-AU"/>
              </w:rPr>
              <w:instrText>proportionate appraisal</w:instrText>
            </w:r>
            <w:r w:rsidR="007E17CC">
              <w:instrText xml:space="preserve">" \b </w:instrText>
            </w:r>
            <w:r w:rsidR="007E17CC">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and streamlining</w:t>
            </w:r>
            <w:r w:rsidR="00A6569F">
              <w:rPr>
                <w:rFonts w:eastAsia="Times New Roman" w:cs="Segoe UI"/>
                <w:color w:val="222A35"/>
                <w:kern w:val="24"/>
                <w:sz w:val="20"/>
                <w:szCs w:val="20"/>
                <w:lang w:eastAsia="en-AU"/>
              </w:rPr>
              <w:fldChar w:fldCharType="begin"/>
            </w:r>
            <w:r w:rsidR="00A6569F">
              <w:instrText xml:space="preserve"> XE "</w:instrText>
            </w:r>
            <w:r w:rsidR="00A6569F" w:rsidRPr="00A1229E">
              <w:rPr>
                <w:rFonts w:eastAsia="Times New Roman" w:cs="Segoe UI"/>
                <w:color w:val="222A35"/>
                <w:kern w:val="24"/>
                <w:lang w:eastAsia="en-AU"/>
              </w:rPr>
              <w:instrText>streamlining</w:instrText>
            </w:r>
            <w:r w:rsidR="00A6569F">
              <w:instrText xml:space="preserve">" \b </w:instrText>
            </w:r>
            <w:r w:rsidR="00A6569F">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of HTA pathways and committees, HTA submissions for Australian Government Subsidy should utilise a ‘single front door’ approach </w:t>
            </w:r>
            <w:r w:rsidR="00191B2C">
              <w:rPr>
                <w:rFonts w:eastAsia="Times New Roman" w:cs="Segoe UI"/>
                <w:color w:val="222A35"/>
                <w:kern w:val="24"/>
                <w:sz w:val="20"/>
                <w:szCs w:val="20"/>
                <w:lang w:eastAsia="en-AU"/>
              </w:rPr>
              <w:t xml:space="preserve">so </w:t>
            </w:r>
            <w:r>
              <w:rPr>
                <w:rFonts w:eastAsia="Times New Roman" w:cs="Segoe UI"/>
                <w:color w:val="222A35"/>
                <w:kern w:val="24"/>
                <w:sz w:val="20"/>
                <w:szCs w:val="20"/>
                <w:lang w:eastAsia="en-AU"/>
              </w:rPr>
              <w:t xml:space="preserve">submissions </w:t>
            </w:r>
            <w:r w:rsidR="00191B2C">
              <w:rPr>
                <w:rFonts w:eastAsia="Times New Roman" w:cs="Segoe UI"/>
                <w:color w:val="222A35"/>
                <w:kern w:val="24"/>
                <w:sz w:val="20"/>
                <w:szCs w:val="20"/>
                <w:lang w:eastAsia="en-AU"/>
              </w:rPr>
              <w:t>may be triaged</w:t>
            </w:r>
            <w:r>
              <w:rPr>
                <w:rFonts w:eastAsia="Times New Roman" w:cs="Segoe UI"/>
                <w:color w:val="222A35"/>
                <w:kern w:val="24"/>
                <w:sz w:val="20"/>
                <w:szCs w:val="20"/>
                <w:lang w:eastAsia="en-AU"/>
              </w:rPr>
              <w:t xml:space="preserve"> to determine the appropriate evaluation and appraisal mechanisms. </w:t>
            </w:r>
            <w:r w:rsidR="00265821">
              <w:rPr>
                <w:rFonts w:eastAsia="Times New Roman" w:cs="Segoe UI"/>
                <w:color w:val="222A35"/>
                <w:kern w:val="24"/>
                <w:sz w:val="20"/>
                <w:szCs w:val="20"/>
                <w:lang w:eastAsia="en-AU"/>
              </w:rPr>
              <w:t>The t</w:t>
            </w:r>
            <w:r w:rsidRPr="000C14B3">
              <w:rPr>
                <w:rFonts w:eastAsia="Times New Roman" w:cs="Segoe UI"/>
                <w:color w:val="222A35"/>
                <w:kern w:val="24"/>
                <w:sz w:val="20"/>
                <w:szCs w:val="20"/>
                <w:lang w:eastAsia="en-AU"/>
              </w:rPr>
              <w:t xml:space="preserve">riaging </w:t>
            </w:r>
            <w:r>
              <w:rPr>
                <w:rFonts w:eastAsia="Times New Roman" w:cs="Segoe UI"/>
                <w:color w:val="222A35"/>
                <w:kern w:val="24"/>
                <w:sz w:val="20"/>
                <w:szCs w:val="20"/>
                <w:lang w:eastAsia="en-AU"/>
              </w:rPr>
              <w:t xml:space="preserve">stage </w:t>
            </w:r>
            <w:r w:rsidRPr="000C14B3">
              <w:rPr>
                <w:rFonts w:eastAsia="Times New Roman" w:cs="Segoe UI"/>
                <w:color w:val="222A35"/>
                <w:kern w:val="24"/>
                <w:sz w:val="20"/>
                <w:szCs w:val="20"/>
                <w:lang w:eastAsia="en-AU"/>
              </w:rPr>
              <w:t xml:space="preserve">would determine: </w:t>
            </w:r>
          </w:p>
          <w:p w14:paraId="2411D4B8" w14:textId="141D061D" w:rsidR="006F5B0D" w:rsidRPr="000C14B3" w:rsidRDefault="001A6737" w:rsidP="008505D7">
            <w:pPr>
              <w:pStyle w:val="ListParagraph"/>
              <w:numPr>
                <w:ilvl w:val="0"/>
                <w:numId w:val="69"/>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6F5B0D">
              <w:rPr>
                <w:rFonts w:eastAsia="Times New Roman" w:cs="Segoe UI"/>
                <w:color w:val="222A35"/>
                <w:kern w:val="24"/>
                <w:sz w:val="20"/>
                <w:szCs w:val="20"/>
                <w:lang w:eastAsia="en-AU"/>
              </w:rPr>
              <w:t xml:space="preserve">he appropriate appraisal </w:t>
            </w:r>
            <w:r w:rsidR="006D7970">
              <w:rPr>
                <w:rFonts w:eastAsia="Times New Roman" w:cs="Segoe UI"/>
                <w:color w:val="222A35"/>
                <w:kern w:val="24"/>
                <w:sz w:val="20"/>
                <w:szCs w:val="20"/>
                <w:lang w:eastAsia="en-AU"/>
              </w:rPr>
              <w:t>pathway</w:t>
            </w:r>
            <w:r w:rsidR="00782A64">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for the HTA submission</w:t>
            </w:r>
            <w:r w:rsidR="006F5B0D" w:rsidRPr="000C14B3">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w:t>
            </w:r>
            <w:r w:rsidR="006F5B0D" w:rsidRPr="000C14B3">
              <w:rPr>
                <w:rFonts w:eastAsia="Times New Roman" w:cs="Segoe UI"/>
                <w:color w:val="222A35"/>
                <w:kern w:val="24"/>
                <w:sz w:val="20"/>
                <w:szCs w:val="20"/>
                <w:lang w:eastAsia="en-AU"/>
              </w:rPr>
              <w:t>based on risk</w:t>
            </w:r>
            <w:r w:rsidR="006F5B0D">
              <w:rPr>
                <w:rFonts w:eastAsia="Times New Roman" w:cs="Segoe UI"/>
                <w:color w:val="222A35"/>
                <w:kern w:val="24"/>
                <w:sz w:val="20"/>
                <w:szCs w:val="20"/>
                <w:lang w:eastAsia="en-AU"/>
              </w:rPr>
              <w:t xml:space="preserve"> and other factors)</w:t>
            </w:r>
          </w:p>
          <w:p w14:paraId="5B1A6AC3" w14:textId="205A3371" w:rsidR="006F5B0D" w:rsidRPr="000C14B3" w:rsidRDefault="001A6737" w:rsidP="008505D7">
            <w:pPr>
              <w:pStyle w:val="ListParagraph"/>
              <w:numPr>
                <w:ilvl w:val="0"/>
                <w:numId w:val="69"/>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lastRenderedPageBreak/>
              <w:t>a</w:t>
            </w:r>
            <w:r w:rsidR="006F5B0D" w:rsidRPr="000C14B3">
              <w:rPr>
                <w:rFonts w:eastAsia="Times New Roman" w:cs="Segoe UI"/>
                <w:color w:val="222A35"/>
                <w:kern w:val="24"/>
                <w:sz w:val="20"/>
                <w:szCs w:val="20"/>
                <w:lang w:eastAsia="en-AU"/>
              </w:rPr>
              <w:t>ppropriate constitution/membership required for HTA committee and technical sub-committees based on type of technology and other factors (</w:t>
            </w:r>
            <w:proofErr w:type="gramStart"/>
            <w:r w:rsidR="00572F9E" w:rsidRPr="000C14B3">
              <w:rPr>
                <w:rFonts w:eastAsia="Times New Roman" w:cs="Segoe UI"/>
                <w:color w:val="222A35"/>
                <w:kern w:val="24"/>
                <w:sz w:val="20"/>
                <w:szCs w:val="20"/>
                <w:lang w:eastAsia="en-AU"/>
              </w:rPr>
              <w:t>e.</w:t>
            </w:r>
            <w:r w:rsidR="00572F9E">
              <w:rPr>
                <w:rFonts w:eastAsia="Times New Roman" w:cs="Segoe UI"/>
                <w:color w:val="222A35"/>
                <w:kern w:val="24"/>
                <w:sz w:val="20"/>
                <w:szCs w:val="20"/>
                <w:lang w:eastAsia="en-AU"/>
              </w:rPr>
              <w:t>g</w:t>
            </w:r>
            <w:r w:rsidR="006F5B0D">
              <w:rPr>
                <w:rFonts w:eastAsia="Times New Roman" w:cs="Segoe UI"/>
                <w:color w:val="222A35"/>
                <w:kern w:val="24"/>
                <w:sz w:val="20"/>
                <w:szCs w:val="20"/>
                <w:lang w:eastAsia="en-AU"/>
              </w:rPr>
              <w:t>.</w:t>
            </w:r>
            <w:proofErr w:type="gramEnd"/>
            <w:r w:rsidR="006F5B0D" w:rsidRPr="000C14B3">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 xml:space="preserve">for consideration of </w:t>
            </w:r>
            <w:r w:rsidR="006F5B0D" w:rsidRPr="000C14B3">
              <w:rPr>
                <w:rFonts w:eastAsia="Times New Roman" w:cs="Segoe UI"/>
                <w:color w:val="222A35"/>
                <w:kern w:val="24"/>
                <w:sz w:val="20"/>
                <w:szCs w:val="20"/>
                <w:lang w:eastAsia="en-AU"/>
              </w:rPr>
              <w:t>vaccines</w:t>
            </w:r>
            <w:r w:rsidR="004D283C">
              <w:rPr>
                <w:rFonts w:eastAsia="Times New Roman" w:cs="Segoe UI"/>
                <w:color w:val="222A35"/>
                <w:kern w:val="24"/>
                <w:sz w:val="20"/>
                <w:szCs w:val="20"/>
                <w:lang w:eastAsia="en-AU"/>
              </w:rPr>
              <w:fldChar w:fldCharType="begin"/>
            </w:r>
            <w:r w:rsidR="004D283C" w:rsidRPr="00DB623D">
              <w:rPr>
                <w:rFonts w:eastAsia="Times New Roman" w:cs="Segoe UI"/>
                <w:color w:val="222A35"/>
                <w:kern w:val="24"/>
                <w:sz w:val="20"/>
                <w:szCs w:val="20"/>
                <w:lang w:eastAsia="en-AU"/>
              </w:rPr>
              <w:instrText xml:space="preserve"> XE "vaccines" \b </w:instrText>
            </w:r>
            <w:r w:rsidR="004D283C">
              <w:rPr>
                <w:rFonts w:eastAsia="Times New Roman" w:cs="Segoe UI"/>
                <w:color w:val="222A35"/>
                <w:kern w:val="24"/>
                <w:sz w:val="20"/>
                <w:szCs w:val="20"/>
                <w:lang w:eastAsia="en-AU"/>
              </w:rPr>
              <w:fldChar w:fldCharType="end"/>
            </w:r>
            <w:r w:rsidR="006F5B0D" w:rsidRPr="000C14B3">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or specific diagnostic tests)</w:t>
            </w:r>
            <w:r w:rsidR="006F5B0D" w:rsidRPr="000C14B3">
              <w:rPr>
                <w:rFonts w:eastAsia="Times New Roman" w:cs="Segoe UI"/>
                <w:color w:val="222A35"/>
                <w:kern w:val="24"/>
                <w:sz w:val="20"/>
                <w:szCs w:val="20"/>
                <w:lang w:eastAsia="en-AU"/>
              </w:rPr>
              <w:t xml:space="preserve"> </w:t>
            </w:r>
          </w:p>
          <w:p w14:paraId="1F7EB34A" w14:textId="66CE3273" w:rsidR="006F5B0D" w:rsidRPr="000C14B3" w:rsidRDefault="001A6737" w:rsidP="008505D7">
            <w:pPr>
              <w:pStyle w:val="ListParagraph"/>
              <w:numPr>
                <w:ilvl w:val="0"/>
                <w:numId w:val="69"/>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6F5B0D" w:rsidRPr="000C14B3">
              <w:rPr>
                <w:rFonts w:eastAsia="Times New Roman" w:cs="Segoe UI"/>
                <w:color w:val="222A35"/>
                <w:kern w:val="24"/>
                <w:sz w:val="20"/>
                <w:szCs w:val="20"/>
                <w:lang w:eastAsia="en-AU"/>
              </w:rPr>
              <w:t>he PICO</w:t>
            </w:r>
            <w:r w:rsidR="0068258A">
              <w:rPr>
                <w:rFonts w:eastAsia="Times New Roman" w:cs="Segoe UI"/>
                <w:color w:val="222A35"/>
                <w:kern w:val="24"/>
                <w:sz w:val="20"/>
                <w:szCs w:val="20"/>
                <w:lang w:eastAsia="en-AU"/>
              </w:rPr>
              <w:fldChar w:fldCharType="begin"/>
            </w:r>
            <w:r w:rsidR="0068258A" w:rsidRPr="00DB623D">
              <w:rPr>
                <w:rFonts w:eastAsia="Times New Roman" w:cs="Segoe UI"/>
                <w:color w:val="222A35"/>
                <w:kern w:val="24"/>
                <w:sz w:val="20"/>
                <w:szCs w:val="20"/>
                <w:lang w:eastAsia="en-AU"/>
              </w:rPr>
              <w:instrText xml:space="preserve"> XE "</w:instrText>
            </w:r>
            <w:r w:rsidR="0068258A" w:rsidRPr="00F75973">
              <w:rPr>
                <w:rFonts w:eastAsia="Times New Roman" w:cs="Segoe UI"/>
                <w:color w:val="222A35"/>
                <w:kern w:val="24"/>
                <w:sz w:val="20"/>
                <w:szCs w:val="20"/>
                <w:lang w:eastAsia="en-AU"/>
              </w:rPr>
              <w:instrText>PICO</w:instrText>
            </w:r>
            <w:r w:rsidR="0068258A" w:rsidRPr="00DB623D">
              <w:rPr>
                <w:rFonts w:eastAsia="Times New Roman" w:cs="Segoe UI"/>
                <w:color w:val="222A35"/>
                <w:kern w:val="24"/>
                <w:sz w:val="20"/>
                <w:szCs w:val="20"/>
                <w:lang w:eastAsia="en-AU"/>
              </w:rPr>
              <w:instrText xml:space="preserve">" \b </w:instrText>
            </w:r>
            <w:r w:rsidR="0068258A">
              <w:rPr>
                <w:rFonts w:eastAsia="Times New Roman" w:cs="Segoe UI"/>
                <w:color w:val="222A35"/>
                <w:kern w:val="24"/>
                <w:sz w:val="20"/>
                <w:szCs w:val="20"/>
                <w:lang w:eastAsia="en-AU"/>
              </w:rPr>
              <w:fldChar w:fldCharType="end"/>
            </w:r>
            <w:r w:rsidR="006F5B0D" w:rsidRPr="000C14B3">
              <w:rPr>
                <w:rFonts w:eastAsia="Times New Roman" w:cs="Segoe UI"/>
                <w:color w:val="222A35"/>
                <w:kern w:val="24"/>
                <w:sz w:val="20"/>
                <w:szCs w:val="20"/>
                <w:lang w:eastAsia="en-AU"/>
              </w:rPr>
              <w:t xml:space="preserve"> scoping/consultation/confirmation </w:t>
            </w:r>
            <w:proofErr w:type="gramStart"/>
            <w:r w:rsidR="006F5B0D" w:rsidRPr="000C14B3">
              <w:rPr>
                <w:rFonts w:eastAsia="Times New Roman" w:cs="Segoe UI"/>
                <w:color w:val="222A35"/>
                <w:kern w:val="24"/>
                <w:sz w:val="20"/>
                <w:szCs w:val="20"/>
                <w:lang w:eastAsia="en-AU"/>
              </w:rPr>
              <w:t>required</w:t>
            </w:r>
            <w:proofErr w:type="gramEnd"/>
            <w:r w:rsidR="006F5B0D" w:rsidRPr="000C14B3">
              <w:rPr>
                <w:rFonts w:eastAsia="Times New Roman" w:cs="Segoe UI"/>
                <w:color w:val="222A35"/>
                <w:kern w:val="24"/>
                <w:sz w:val="20"/>
                <w:szCs w:val="20"/>
                <w:lang w:eastAsia="en-AU"/>
              </w:rPr>
              <w:t xml:space="preserve"> </w:t>
            </w:r>
          </w:p>
          <w:p w14:paraId="5AB0E404" w14:textId="306EFA7F" w:rsidR="006F5B0D" w:rsidRDefault="001A6737" w:rsidP="008505D7">
            <w:pPr>
              <w:pStyle w:val="ListParagraph"/>
              <w:numPr>
                <w:ilvl w:val="0"/>
                <w:numId w:val="69"/>
              </w:numPr>
              <w:rPr>
                <w:rFonts w:eastAsia="Times New Roman" w:cs="Segoe UI"/>
                <w:color w:val="222A35"/>
                <w:kern w:val="24"/>
                <w:sz w:val="20"/>
                <w:szCs w:val="20"/>
                <w:lang w:eastAsia="en-AU"/>
              </w:rPr>
            </w:pPr>
            <w:r>
              <w:rPr>
                <w:rFonts w:eastAsia="Times New Roman" w:cs="Segoe UI"/>
                <w:color w:val="222A35"/>
                <w:kern w:val="24"/>
                <w:sz w:val="20"/>
                <w:szCs w:val="20"/>
                <w:lang w:eastAsia="en-AU"/>
              </w:rPr>
              <w:t>t</w:t>
            </w:r>
            <w:r w:rsidR="006F5B0D" w:rsidRPr="000C14B3">
              <w:rPr>
                <w:rFonts w:eastAsia="Times New Roman" w:cs="Segoe UI"/>
                <w:color w:val="222A35"/>
                <w:kern w:val="24"/>
                <w:sz w:val="20"/>
                <w:szCs w:val="20"/>
                <w:lang w:eastAsia="en-AU"/>
              </w:rPr>
              <w:t>he meeting date for the HTA consideration (based on the above)</w:t>
            </w:r>
            <w:r w:rsidR="005A1180">
              <w:rPr>
                <w:rFonts w:eastAsia="Times New Roman" w:cs="Segoe UI"/>
                <w:color w:val="222A35"/>
                <w:kern w:val="24"/>
                <w:sz w:val="20"/>
                <w:szCs w:val="20"/>
                <w:lang w:eastAsia="en-AU"/>
              </w:rPr>
              <w:t>.</w:t>
            </w:r>
          </w:p>
          <w:p w14:paraId="4CC2D91D" w14:textId="5EEDE770" w:rsidR="00312492" w:rsidRPr="00CF0DFE" w:rsidRDefault="006F5B0D" w:rsidP="008C10BB">
            <w:pPr>
              <w:spacing w:after="120"/>
              <w:rPr>
                <w:lang w:eastAsia="en-AU"/>
              </w:rPr>
            </w:pPr>
            <w:r>
              <w:rPr>
                <w:rFonts w:eastAsia="Times New Roman" w:cs="Segoe UI"/>
                <w:color w:val="222A35"/>
                <w:kern w:val="24"/>
                <w:sz w:val="20"/>
                <w:szCs w:val="20"/>
                <w:lang w:eastAsia="en-AU"/>
              </w:rPr>
              <w:t xml:space="preserve">While the decision of the appropriate HTA pathway would be through consideration of a triaging body (could be </w:t>
            </w:r>
            <w:proofErr w:type="gramStart"/>
            <w:r>
              <w:rPr>
                <w:rFonts w:eastAsia="Times New Roman" w:cs="Segoe UI"/>
                <w:color w:val="222A35"/>
                <w:kern w:val="24"/>
                <w:sz w:val="20"/>
                <w:szCs w:val="20"/>
                <w:lang w:eastAsia="en-AU"/>
              </w:rPr>
              <w:t>similar to</w:t>
            </w:r>
            <w:proofErr w:type="gramEnd"/>
            <w:r>
              <w:rPr>
                <w:rFonts w:eastAsia="Times New Roman" w:cs="Segoe UI"/>
                <w:color w:val="222A35"/>
                <w:kern w:val="24"/>
                <w:sz w:val="20"/>
                <w:szCs w:val="20"/>
                <w:lang w:eastAsia="en-AU"/>
              </w:rPr>
              <w:t xml:space="preserve"> PBAC </w:t>
            </w:r>
            <w:r w:rsidR="00C31B9F">
              <w:rPr>
                <w:rFonts w:eastAsia="Times New Roman" w:cs="Segoe UI"/>
                <w:color w:val="222A35"/>
                <w:kern w:val="24"/>
                <w:sz w:val="20"/>
                <w:szCs w:val="20"/>
                <w:lang w:eastAsia="en-AU"/>
              </w:rPr>
              <w:t>E</w:t>
            </w:r>
            <w:r>
              <w:rPr>
                <w:rFonts w:eastAsia="Times New Roman" w:cs="Segoe UI"/>
                <w:color w:val="222A35"/>
                <w:kern w:val="24"/>
                <w:sz w:val="20"/>
                <w:szCs w:val="20"/>
                <w:lang w:eastAsia="en-AU"/>
              </w:rPr>
              <w:t>xecutive</w:t>
            </w:r>
            <w:r w:rsidR="00C93D28">
              <w:rPr>
                <w:rFonts w:eastAsia="Times New Roman" w:cs="Segoe UI"/>
                <w:color w:val="222A35"/>
                <w:kern w:val="24"/>
                <w:sz w:val="20"/>
                <w:szCs w:val="20"/>
                <w:lang w:eastAsia="en-AU"/>
              </w:rPr>
              <w:t xml:space="preserve"> </w:t>
            </w:r>
            <w:r w:rsidR="00146BA9">
              <w:rPr>
                <w:rFonts w:eastAsia="Times New Roman" w:cs="Segoe UI"/>
                <w:color w:val="222A35"/>
                <w:kern w:val="24"/>
                <w:sz w:val="20"/>
                <w:szCs w:val="20"/>
                <w:lang w:eastAsia="en-AU"/>
              </w:rPr>
              <w:t>or other constituted triaging body</w:t>
            </w:r>
            <w:r>
              <w:rPr>
                <w:rFonts w:eastAsia="Times New Roman" w:cs="Segoe UI"/>
                <w:color w:val="222A35"/>
                <w:kern w:val="24"/>
                <w:sz w:val="20"/>
                <w:szCs w:val="20"/>
                <w:lang w:eastAsia="en-AU"/>
              </w:rPr>
              <w:t xml:space="preserve">), the development of a clear and transparent decision tool such as a decision tree would improve consistency, reduce workload, and help support fit-for-purpose submissions. </w:t>
            </w:r>
          </w:p>
        </w:tc>
      </w:tr>
      <w:tr w:rsidR="005A3221" w:rsidRPr="006647C5" w14:paraId="0DC102CC" w14:textId="77777777" w:rsidTr="00534579">
        <w:trPr>
          <w:trHeight w:val="621"/>
        </w:trPr>
        <w:tc>
          <w:tcPr>
            <w:tcW w:w="1055" w:type="dxa"/>
            <w:shd w:val="clear" w:color="auto" w:fill="FFFFFF" w:themeFill="background1"/>
            <w:tcMar>
              <w:top w:w="72" w:type="dxa"/>
              <w:left w:w="144" w:type="dxa"/>
              <w:bottom w:w="72" w:type="dxa"/>
              <w:right w:w="144" w:type="dxa"/>
            </w:tcMar>
          </w:tcPr>
          <w:p w14:paraId="0975D44F" w14:textId="77777777" w:rsidR="006F5B0D" w:rsidRPr="00825299" w:rsidRDefault="006F5B0D"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085E851D" w14:textId="3724E63A" w:rsidR="006F5B0D" w:rsidRPr="00825299" w:rsidRDefault="006F5B0D" w:rsidP="006F5B0D">
            <w:pPr>
              <w:pStyle w:val="Heading7"/>
              <w:keepNext w:val="0"/>
              <w:keepLines w:val="0"/>
              <w:rPr>
                <w:lang w:eastAsia="en-AU"/>
              </w:rPr>
            </w:pPr>
            <w:r w:rsidRPr="00825299">
              <w:rPr>
                <w:lang w:eastAsia="en-AU"/>
              </w:rPr>
              <w:t xml:space="preserve">Streamlined </w:t>
            </w:r>
            <w:r>
              <w:rPr>
                <w:lang w:eastAsia="en-AU"/>
              </w:rPr>
              <w:t xml:space="preserve">pathway for </w:t>
            </w:r>
            <w:r w:rsidRPr="00825299">
              <w:rPr>
                <w:lang w:eastAsia="en-AU"/>
              </w:rPr>
              <w:t>cost</w:t>
            </w:r>
            <w:r>
              <w:rPr>
                <w:lang w:eastAsia="en-AU"/>
              </w:rPr>
              <w:t>-</w:t>
            </w:r>
            <w:r w:rsidRPr="00825299">
              <w:rPr>
                <w:lang w:eastAsia="en-AU"/>
              </w:rPr>
              <w:t>minimisation</w:t>
            </w:r>
            <w:r w:rsidR="007A17DF">
              <w:rPr>
                <w:lang w:eastAsia="en-AU"/>
              </w:rPr>
              <w:fldChar w:fldCharType="begin"/>
            </w:r>
            <w:r w:rsidR="007A17DF">
              <w:instrText xml:space="preserve"> XE "</w:instrText>
            </w:r>
            <w:r w:rsidR="007A17DF" w:rsidRPr="00B423D2">
              <w:rPr>
                <w:lang w:eastAsia="en-AU"/>
              </w:rPr>
              <w:instrText>cost-minimisation</w:instrText>
            </w:r>
            <w:r w:rsidR="007A17DF">
              <w:instrText xml:space="preserve">" \b </w:instrText>
            </w:r>
            <w:r w:rsidR="007A17DF">
              <w:rPr>
                <w:lang w:eastAsia="en-AU"/>
              </w:rPr>
              <w:fldChar w:fldCharType="end"/>
            </w:r>
            <w:r w:rsidRPr="00825299">
              <w:rPr>
                <w:lang w:eastAsia="en-AU"/>
              </w:rPr>
              <w:t xml:space="preserve"> submissions</w:t>
            </w:r>
            <w:r>
              <w:rPr>
                <w:lang w:eastAsia="en-AU"/>
              </w:rPr>
              <w:t xml:space="preserve"> (therapies not claiming a significant improvement in health outcomes or reduction in toxicity)</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A313DF0" w14:textId="3F085DEA" w:rsidR="006F5B0D" w:rsidRPr="00A63CA0" w:rsidRDefault="006F5B0D" w:rsidP="008505D7">
            <w:pPr>
              <w:pStyle w:val="ListParagraph"/>
              <w:numPr>
                <w:ilvl w:val="0"/>
                <w:numId w:val="36"/>
              </w:numPr>
              <w:spacing w:after="120"/>
              <w:ind w:left="274"/>
              <w:rPr>
                <w:rFonts w:eastAsia="Times New Roman" w:cs="Segoe UI"/>
                <w:kern w:val="24"/>
                <w:sz w:val="20"/>
                <w:szCs w:val="20"/>
                <w:lang w:eastAsia="en-AU"/>
              </w:rPr>
            </w:pPr>
            <w:r w:rsidRPr="7191BAD4">
              <w:rPr>
                <w:rFonts w:eastAsia="Times New Roman" w:cs="Segoe UI"/>
                <w:sz w:val="20"/>
                <w:szCs w:val="20"/>
                <w:lang w:eastAsia="en-AU"/>
              </w:rPr>
              <w:t xml:space="preserve">Develop criteria for therapies </w:t>
            </w:r>
            <w:r w:rsidR="00886E61">
              <w:rPr>
                <w:rFonts w:eastAsia="Times New Roman" w:cs="Segoe UI"/>
                <w:sz w:val="20"/>
                <w:szCs w:val="20"/>
                <w:lang w:eastAsia="en-AU"/>
              </w:rPr>
              <w:t>to be eligible for streamlined cost-minimisation pathway</w:t>
            </w:r>
            <w:r w:rsidR="000B076F">
              <w:rPr>
                <w:rFonts w:eastAsia="Times New Roman" w:cs="Segoe UI"/>
                <w:sz w:val="20"/>
                <w:szCs w:val="20"/>
                <w:lang w:eastAsia="en-AU"/>
              </w:rPr>
              <w:t>.</w:t>
            </w:r>
          </w:p>
          <w:p w14:paraId="0E21F037" w14:textId="772F2509" w:rsidR="006F5B0D" w:rsidRPr="00A63CA0" w:rsidRDefault="006F5B0D" w:rsidP="008505D7">
            <w:pPr>
              <w:pStyle w:val="ListParagraph"/>
              <w:numPr>
                <w:ilvl w:val="0"/>
                <w:numId w:val="36"/>
              </w:numPr>
              <w:spacing w:after="120"/>
              <w:ind w:left="274"/>
              <w:rPr>
                <w:rFonts w:eastAsia="Times New Roman" w:cs="Segoe UI"/>
                <w:kern w:val="24"/>
                <w:sz w:val="20"/>
                <w:szCs w:val="20"/>
                <w:lang w:eastAsia="en-AU"/>
              </w:rPr>
            </w:pPr>
            <w:r w:rsidRPr="00A63CA0">
              <w:rPr>
                <w:rFonts w:eastAsia="Times New Roman" w:cs="Segoe UI"/>
                <w:kern w:val="24"/>
                <w:sz w:val="20"/>
                <w:szCs w:val="20"/>
                <w:lang w:eastAsia="en-AU"/>
              </w:rPr>
              <w:t xml:space="preserve">Submissions for therapies not claiming a significant improvement in health outcomes, would undergo an abbreviated evaluation and consideration by the ESC; if it can be determined that the therapy meets the developed criteria it would be fast tracked to the price agreement stage after out-of-session consideration by the PBAC </w:t>
            </w:r>
            <w:r w:rsidR="009A03E9">
              <w:rPr>
                <w:rFonts w:eastAsia="Times New Roman" w:cs="Segoe UI"/>
                <w:kern w:val="24"/>
                <w:sz w:val="20"/>
                <w:szCs w:val="20"/>
                <w:lang w:eastAsia="en-AU"/>
              </w:rPr>
              <w:t>E</w:t>
            </w:r>
            <w:r w:rsidRPr="00A63CA0">
              <w:rPr>
                <w:rFonts w:eastAsia="Times New Roman" w:cs="Segoe UI"/>
                <w:kern w:val="24"/>
                <w:sz w:val="20"/>
                <w:szCs w:val="20"/>
                <w:lang w:eastAsia="en-AU"/>
              </w:rPr>
              <w:t>xecutive</w:t>
            </w:r>
            <w:r w:rsidR="0074169E">
              <w:rPr>
                <w:rFonts w:eastAsia="Times New Roman" w:cs="Segoe UI"/>
                <w:kern w:val="24"/>
                <w:sz w:val="20"/>
                <w:szCs w:val="20"/>
                <w:lang w:eastAsia="en-AU"/>
              </w:rPr>
              <w:t xml:space="preserve"> (or similar</w:t>
            </w:r>
            <w:r w:rsidR="00B46F8F">
              <w:rPr>
                <w:rFonts w:eastAsia="Times New Roman" w:cs="Segoe UI"/>
                <w:kern w:val="24"/>
                <w:sz w:val="20"/>
                <w:szCs w:val="20"/>
                <w:lang w:eastAsia="en-AU"/>
              </w:rPr>
              <w:t>)</w:t>
            </w:r>
            <w:r w:rsidRPr="00A63CA0">
              <w:rPr>
                <w:rFonts w:eastAsia="Times New Roman" w:cs="Segoe UI"/>
                <w:kern w:val="24"/>
                <w:sz w:val="20"/>
                <w:szCs w:val="20"/>
                <w:lang w:eastAsia="en-AU"/>
              </w:rPr>
              <w:t xml:space="preserve">. </w:t>
            </w:r>
          </w:p>
          <w:p w14:paraId="47092128" w14:textId="2BE2778E" w:rsidR="006F5B0D" w:rsidRPr="00A63CA0" w:rsidRDefault="006F5B0D" w:rsidP="008505D7">
            <w:pPr>
              <w:pStyle w:val="ListParagraph"/>
              <w:numPr>
                <w:ilvl w:val="0"/>
                <w:numId w:val="36"/>
              </w:numPr>
              <w:spacing w:after="120"/>
              <w:ind w:left="274"/>
              <w:rPr>
                <w:rFonts w:eastAsia="Times New Roman" w:cs="Segoe UI"/>
                <w:kern w:val="24"/>
                <w:sz w:val="20"/>
                <w:szCs w:val="20"/>
                <w:lang w:eastAsia="en-AU"/>
              </w:rPr>
            </w:pPr>
            <w:r w:rsidRPr="00A63CA0">
              <w:rPr>
                <w:rFonts w:eastAsia="Times New Roman" w:cs="Segoe UI"/>
                <w:kern w:val="24"/>
                <w:sz w:val="20"/>
                <w:szCs w:val="20"/>
                <w:lang w:eastAsia="en-AU"/>
              </w:rPr>
              <w:t xml:space="preserve">Information regarding the price of the comparator the proposed therapy is cost-minimised against would be shared with the sponsor early in the process prior to HTA committee consideration. This would allow sponsors to make an informed decision regarding whether to proceed or withdraw the submission from consideration (if the potential pricing outcome is not within sponsor expectations). Withdrawal of submissions that would unlikely proceed to implementation following a positive HTA committee recommendation may prevent the unnecessary use of valuable </w:t>
            </w:r>
            <w:r w:rsidR="00E66302">
              <w:rPr>
                <w:rFonts w:eastAsia="Times New Roman" w:cs="Segoe UI"/>
                <w:kern w:val="24"/>
                <w:sz w:val="20"/>
                <w:szCs w:val="20"/>
                <w:lang w:eastAsia="en-AU"/>
              </w:rPr>
              <w:t xml:space="preserve">HTA evaluation and administrative </w:t>
            </w:r>
            <w:r w:rsidRPr="00A63CA0">
              <w:rPr>
                <w:rFonts w:eastAsia="Times New Roman" w:cs="Segoe UI"/>
                <w:kern w:val="24"/>
                <w:sz w:val="20"/>
                <w:szCs w:val="20"/>
                <w:lang w:eastAsia="en-AU"/>
              </w:rPr>
              <w:t xml:space="preserve">resources. </w:t>
            </w:r>
          </w:p>
          <w:p w14:paraId="2D2555AB" w14:textId="632B7428" w:rsidR="006F5B0D" w:rsidRPr="7191BAD4" w:rsidRDefault="006F5B0D" w:rsidP="008505D7">
            <w:pPr>
              <w:pStyle w:val="ListParagraph"/>
              <w:numPr>
                <w:ilvl w:val="0"/>
                <w:numId w:val="36"/>
              </w:numPr>
              <w:spacing w:after="120"/>
              <w:ind w:left="274"/>
              <w:rPr>
                <w:rFonts w:eastAsia="Times New Roman" w:cs="Segoe UI"/>
                <w:sz w:val="20"/>
                <w:szCs w:val="20"/>
                <w:lang w:eastAsia="en-AU"/>
              </w:rPr>
            </w:pPr>
            <w:r w:rsidRPr="00A63CA0">
              <w:rPr>
                <w:rFonts w:eastAsia="Times New Roman" w:cs="Segoe UI"/>
                <w:kern w:val="24"/>
                <w:sz w:val="20"/>
                <w:szCs w:val="20"/>
                <w:lang w:eastAsia="en-AU"/>
              </w:rPr>
              <w:t xml:space="preserve">For submissions that do not meet the </w:t>
            </w:r>
            <w:r w:rsidR="00F53C59">
              <w:rPr>
                <w:rFonts w:eastAsia="Times New Roman" w:cs="Segoe UI"/>
                <w:kern w:val="24"/>
                <w:sz w:val="20"/>
                <w:szCs w:val="20"/>
                <w:lang w:eastAsia="en-AU"/>
              </w:rPr>
              <w:t xml:space="preserve">developed </w:t>
            </w:r>
            <w:r w:rsidRPr="00A63CA0">
              <w:rPr>
                <w:rFonts w:eastAsia="Times New Roman" w:cs="Segoe UI"/>
                <w:kern w:val="24"/>
                <w:sz w:val="20"/>
                <w:szCs w:val="20"/>
                <w:lang w:eastAsia="en-AU"/>
              </w:rPr>
              <w:t>criteria</w:t>
            </w:r>
            <w:r w:rsidR="00F53C59">
              <w:rPr>
                <w:rFonts w:eastAsia="Times New Roman" w:cs="Segoe UI"/>
                <w:kern w:val="24"/>
                <w:sz w:val="20"/>
                <w:szCs w:val="20"/>
                <w:lang w:eastAsia="en-AU"/>
              </w:rPr>
              <w:t>,</w:t>
            </w:r>
            <w:r w:rsidRPr="00A63CA0">
              <w:rPr>
                <w:rFonts w:eastAsia="Times New Roman" w:cs="Segoe UI"/>
                <w:kern w:val="24"/>
                <w:sz w:val="20"/>
                <w:szCs w:val="20"/>
                <w:lang w:eastAsia="en-AU"/>
              </w:rPr>
              <w:t xml:space="preserve"> the PBAC executive can nominate for the submission to either be considered without change by the PBAC in the current cycle or the next cycle, allowing the sponsor time to address issues raised, noting the sponsor would have the discretion to withdraw their submission.</w:t>
            </w:r>
          </w:p>
        </w:tc>
      </w:tr>
      <w:tr w:rsidR="00312492" w:rsidRPr="006647C5" w14:paraId="0384B3D2" w14:textId="77777777" w:rsidTr="00534579">
        <w:trPr>
          <w:trHeight w:val="777"/>
        </w:trPr>
        <w:tc>
          <w:tcPr>
            <w:tcW w:w="1055" w:type="dxa"/>
            <w:shd w:val="clear" w:color="auto" w:fill="FFFFFF" w:themeFill="background1"/>
            <w:tcMar>
              <w:top w:w="72" w:type="dxa"/>
              <w:left w:w="144" w:type="dxa"/>
              <w:bottom w:w="72" w:type="dxa"/>
              <w:right w:w="144" w:type="dxa"/>
            </w:tcMar>
          </w:tcPr>
          <w:p w14:paraId="3CF15EBE" w14:textId="77777777" w:rsidR="00312492" w:rsidRPr="00825299" w:rsidRDefault="00312492"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12CC7CB0" w14:textId="2A6ECAFA" w:rsidR="00312492" w:rsidRDefault="007F52FE" w:rsidP="006F5B0D">
            <w:pPr>
              <w:pStyle w:val="Heading7"/>
              <w:keepNext w:val="0"/>
              <w:keepLines w:val="0"/>
              <w:rPr>
                <w:lang w:eastAsia="en-AU"/>
              </w:rPr>
            </w:pPr>
            <w:bookmarkStart w:id="39" w:name="_Early_resolution_mechanisms"/>
            <w:bookmarkEnd w:id="39"/>
            <w:r>
              <w:rPr>
                <w:lang w:eastAsia="en-AU"/>
              </w:rPr>
              <w:t xml:space="preserve">Early resolution </w:t>
            </w:r>
            <w:r w:rsidR="4DD07E01">
              <w:rPr>
                <w:lang w:eastAsia="en-AU"/>
              </w:rPr>
              <w:t xml:space="preserve">mechanisms </w:t>
            </w:r>
            <w:r w:rsidR="008F781E">
              <w:rPr>
                <w:lang w:eastAsia="en-AU"/>
              </w:rPr>
              <w:t>for</w:t>
            </w:r>
            <w:r w:rsidR="00267366">
              <w:rPr>
                <w:lang w:eastAsia="en-AU"/>
              </w:rPr>
              <w:t xml:space="preserve"> submissions</w:t>
            </w:r>
            <w:r w:rsidR="008D6715">
              <w:rPr>
                <w:lang w:eastAsia="en-AU"/>
              </w:rPr>
              <w:t xml:space="preserve"> of </w:t>
            </w:r>
            <w:r w:rsidR="008A29CA" w:rsidRPr="008A29CA">
              <w:rPr>
                <w:lang w:eastAsia="en-AU"/>
              </w:rPr>
              <w:t>major new therapeutic advances</w:t>
            </w:r>
            <w:r w:rsidR="008A29CA">
              <w:rPr>
                <w:lang w:eastAsia="en-AU"/>
              </w:rPr>
              <w:t xml:space="preserve"> </w:t>
            </w:r>
            <w:r w:rsidR="00305A19">
              <w:rPr>
                <w:lang w:eastAsia="en-AU"/>
              </w:rPr>
              <w:t xml:space="preserve">in areas of </w:t>
            </w:r>
            <w:r w:rsidR="006A3BE9">
              <w:rPr>
                <w:lang w:eastAsia="en-AU"/>
              </w:rPr>
              <w:t>HUCN</w:t>
            </w:r>
            <w:r w:rsidR="002401F9">
              <w:rPr>
                <w:lang w:eastAsia="en-AU"/>
              </w:rPr>
              <w:fldChar w:fldCharType="begin"/>
            </w:r>
            <w:r w:rsidR="002401F9">
              <w:instrText xml:space="preserve"> XE "</w:instrText>
            </w:r>
            <w:r w:rsidR="002401F9" w:rsidRPr="002456C6">
              <w:instrText>unmet clinical need</w:instrText>
            </w:r>
            <w:r w:rsidR="002401F9">
              <w:instrText xml:space="preserve">" \b </w:instrText>
            </w:r>
            <w:r w:rsidR="002401F9">
              <w:rPr>
                <w:lang w:eastAsia="en-AU"/>
              </w:rPr>
              <w:fldChar w:fldCharType="end"/>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F1F4286" w14:textId="153070CD" w:rsidR="0044152F" w:rsidRPr="00706B33" w:rsidRDefault="00A76384" w:rsidP="008C10BB">
            <w:pPr>
              <w:spacing w:after="0"/>
              <w:ind w:left="-76"/>
              <w:rPr>
                <w:rFonts w:eastAsia="Times New Roman" w:cs="Segoe UI"/>
                <w:kern w:val="24"/>
                <w:sz w:val="20"/>
                <w:szCs w:val="20"/>
                <w:lang w:eastAsia="en-AU"/>
              </w:rPr>
            </w:pPr>
            <w:r w:rsidRPr="00706B33">
              <w:rPr>
                <w:rFonts w:eastAsia="Times New Roman" w:cs="Segoe UI"/>
                <w:kern w:val="24"/>
                <w:sz w:val="20"/>
                <w:szCs w:val="20"/>
                <w:lang w:eastAsia="en-AU"/>
              </w:rPr>
              <w:t>F</w:t>
            </w:r>
            <w:r w:rsidR="00100EEA" w:rsidRPr="00A76384">
              <w:rPr>
                <w:rFonts w:eastAsia="Times New Roman" w:cs="Segoe UI"/>
                <w:kern w:val="24"/>
                <w:sz w:val="20"/>
                <w:szCs w:val="20"/>
                <w:lang w:eastAsia="en-AU"/>
              </w:rPr>
              <w:t>or health technologies</w:t>
            </w:r>
            <w:r w:rsidR="00887847" w:rsidRPr="00A76384">
              <w:rPr>
                <w:rFonts w:eastAsia="Times New Roman" w:cs="Segoe UI"/>
                <w:kern w:val="24"/>
                <w:sz w:val="20"/>
                <w:szCs w:val="20"/>
                <w:lang w:eastAsia="en-AU"/>
              </w:rPr>
              <w:t xml:space="preserve"> that </w:t>
            </w:r>
            <w:r w:rsidR="00D51650" w:rsidRPr="00706B33">
              <w:rPr>
                <w:rFonts w:eastAsia="Times New Roman" w:cs="Segoe UI"/>
                <w:kern w:val="24"/>
                <w:sz w:val="20"/>
                <w:szCs w:val="20"/>
                <w:lang w:eastAsia="en-AU"/>
              </w:rPr>
              <w:t xml:space="preserve">are comparatively clinically safe and effective </w:t>
            </w:r>
            <w:r w:rsidR="00D7709E" w:rsidRPr="00706B33">
              <w:rPr>
                <w:rFonts w:eastAsia="Times New Roman" w:cs="Segoe UI"/>
                <w:kern w:val="24"/>
                <w:sz w:val="20"/>
                <w:szCs w:val="20"/>
                <w:lang w:eastAsia="en-AU"/>
              </w:rPr>
              <w:t xml:space="preserve">and </w:t>
            </w:r>
            <w:r w:rsidR="00887847" w:rsidRPr="00A76384">
              <w:rPr>
                <w:rFonts w:eastAsia="Times New Roman" w:cs="Segoe UI"/>
                <w:kern w:val="24"/>
                <w:sz w:val="20"/>
                <w:szCs w:val="20"/>
                <w:lang w:eastAsia="en-AU"/>
              </w:rPr>
              <w:t>represent HATV</w:t>
            </w:r>
            <w:r w:rsidR="00515DEB">
              <w:rPr>
                <w:rFonts w:eastAsia="Times New Roman" w:cs="Segoe UI"/>
                <w:kern w:val="24"/>
                <w:sz w:val="20"/>
                <w:szCs w:val="20"/>
                <w:lang w:eastAsia="en-AU"/>
              </w:rPr>
              <w:fldChar w:fldCharType="begin"/>
            </w:r>
            <w:r w:rsidR="00515DEB">
              <w:instrText xml:space="preserve"> XE "</w:instrText>
            </w:r>
            <w:r w:rsidR="00515DEB" w:rsidRPr="00C65F0A">
              <w:rPr>
                <w:rFonts w:eastAsia="Times New Roman" w:cs="Segoe UI"/>
                <w:lang w:eastAsia="en-AU"/>
              </w:rPr>
              <w:instrText xml:space="preserve">high added therapeutic </w:instrText>
            </w:r>
            <w:proofErr w:type="spellStart"/>
            <w:r w:rsidR="00515DEB" w:rsidRPr="00C65F0A">
              <w:rPr>
                <w:rFonts w:eastAsia="Times New Roman" w:cs="Segoe UI"/>
                <w:lang w:eastAsia="en-AU"/>
              </w:rPr>
              <w:instrText>value</w:instrText>
            </w:r>
            <w:r w:rsidR="00515DEB" w:rsidRPr="00C65F0A">
              <w:rPr>
                <w:rFonts w:eastAsia="Times New Roman" w:cs="Segoe UI"/>
              </w:rPr>
              <w:instrText>:</w:instrText>
            </w:r>
            <w:r w:rsidR="00515DEB" w:rsidRPr="00C65F0A">
              <w:instrText>HATV</w:instrText>
            </w:r>
            <w:proofErr w:type="spellEnd"/>
            <w:r w:rsidR="00515DEB">
              <w:instrText xml:space="preserve">" \b </w:instrText>
            </w:r>
            <w:r w:rsidR="00515DEB">
              <w:rPr>
                <w:rFonts w:eastAsia="Times New Roman" w:cs="Segoe UI"/>
                <w:kern w:val="24"/>
                <w:sz w:val="20"/>
                <w:szCs w:val="20"/>
                <w:lang w:eastAsia="en-AU"/>
              </w:rPr>
              <w:fldChar w:fldCharType="end"/>
            </w:r>
            <w:r w:rsidR="00887847" w:rsidRPr="00A76384">
              <w:rPr>
                <w:rFonts w:eastAsia="Times New Roman" w:cs="Segoe UI"/>
                <w:kern w:val="24"/>
                <w:sz w:val="20"/>
                <w:szCs w:val="20"/>
                <w:lang w:eastAsia="en-AU"/>
              </w:rPr>
              <w:t xml:space="preserve"> in an area of </w:t>
            </w:r>
            <w:r w:rsidR="00611542" w:rsidRPr="00B9329F">
              <w:rPr>
                <w:rFonts w:eastAsia="Times New Roman" w:cs="Segoe UI"/>
                <w:kern w:val="24"/>
                <w:sz w:val="20"/>
                <w:szCs w:val="20"/>
                <w:lang w:eastAsia="en-AU"/>
              </w:rPr>
              <w:t>HUCN</w:t>
            </w:r>
            <w:r w:rsidR="00D027D9">
              <w:rPr>
                <w:rFonts w:eastAsia="Times New Roman" w:cs="Segoe UI"/>
                <w:kern w:val="24"/>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kern w:val="24"/>
                <w:sz w:val="20"/>
                <w:szCs w:val="20"/>
                <w:lang w:eastAsia="en-AU"/>
              </w:rPr>
              <w:fldChar w:fldCharType="end"/>
            </w:r>
            <w:r w:rsidR="001F6E69" w:rsidRPr="009D1023">
              <w:rPr>
                <w:rFonts w:eastAsia="Times New Roman" w:cs="Segoe UI"/>
                <w:kern w:val="24"/>
                <w:sz w:val="20"/>
                <w:szCs w:val="20"/>
                <w:lang w:eastAsia="en-AU"/>
              </w:rPr>
              <w:t xml:space="preserve"> </w:t>
            </w:r>
            <w:r w:rsidR="001F6E69" w:rsidRPr="00A76384">
              <w:rPr>
                <w:rFonts w:eastAsia="Times New Roman" w:cs="Segoe UI"/>
                <w:kern w:val="24"/>
                <w:sz w:val="20"/>
                <w:szCs w:val="20"/>
                <w:lang w:eastAsia="en-AU"/>
              </w:rPr>
              <w:t>(where submission meets set criteria)</w:t>
            </w:r>
            <w:r w:rsidR="00206C67" w:rsidRPr="00706B33">
              <w:rPr>
                <w:rFonts w:eastAsia="Times New Roman" w:cs="Segoe UI"/>
                <w:kern w:val="24"/>
                <w:sz w:val="20"/>
                <w:szCs w:val="20"/>
                <w:lang w:eastAsia="en-AU"/>
              </w:rPr>
              <w:t xml:space="preserve">, </w:t>
            </w:r>
            <w:r w:rsidR="04F92464" w:rsidRPr="4295222F">
              <w:rPr>
                <w:rFonts w:eastAsia="Times New Roman" w:cs="Segoe UI"/>
                <w:sz w:val="20"/>
                <w:szCs w:val="20"/>
                <w:lang w:eastAsia="en-AU"/>
              </w:rPr>
              <w:t>but</w:t>
            </w:r>
            <w:r w:rsidR="00D7709E" w:rsidRPr="00706B33">
              <w:rPr>
                <w:rFonts w:eastAsia="Times New Roman" w:cs="Segoe UI"/>
                <w:kern w:val="24"/>
                <w:sz w:val="20"/>
                <w:szCs w:val="20"/>
                <w:lang w:eastAsia="en-AU"/>
              </w:rPr>
              <w:t xml:space="preserve"> where there is uncertainty related to the economic model</w:t>
            </w:r>
            <w:r w:rsidR="009D0A6B" w:rsidRPr="00706B33">
              <w:rPr>
                <w:rFonts w:eastAsia="Times New Roman" w:cs="Segoe UI"/>
                <w:kern w:val="24"/>
                <w:sz w:val="20"/>
                <w:szCs w:val="20"/>
                <w:lang w:eastAsia="en-AU"/>
              </w:rPr>
              <w:t xml:space="preserve"> or the </w:t>
            </w:r>
            <w:r w:rsidR="00D7709E" w:rsidRPr="00706B33">
              <w:rPr>
                <w:rFonts w:eastAsia="Times New Roman" w:cs="Segoe UI"/>
                <w:kern w:val="24"/>
                <w:sz w:val="20"/>
                <w:szCs w:val="20"/>
                <w:lang w:eastAsia="en-AU"/>
              </w:rPr>
              <w:t>price.</w:t>
            </w:r>
            <w:r w:rsidR="009D0A6B" w:rsidRPr="00706B33">
              <w:rPr>
                <w:rFonts w:eastAsia="Times New Roman" w:cs="Segoe UI"/>
                <w:kern w:val="24"/>
                <w:sz w:val="20"/>
                <w:szCs w:val="20"/>
                <w:lang w:eastAsia="en-AU"/>
              </w:rPr>
              <w:t xml:space="preserve"> </w:t>
            </w:r>
          </w:p>
          <w:p w14:paraId="6CA5479F" w14:textId="77777777" w:rsidR="00D84F09" w:rsidRPr="00706B33" w:rsidRDefault="00D84F09" w:rsidP="008C10BB">
            <w:pPr>
              <w:spacing w:after="0"/>
              <w:ind w:left="276"/>
              <w:rPr>
                <w:rFonts w:eastAsia="Times New Roman" w:cs="Segoe UI"/>
                <w:kern w:val="24"/>
                <w:sz w:val="20"/>
                <w:szCs w:val="20"/>
                <w:lang w:eastAsia="en-AU"/>
              </w:rPr>
            </w:pPr>
          </w:p>
          <w:p w14:paraId="0A8DE362" w14:textId="0E4840D0" w:rsidR="00681640" w:rsidRPr="009D14F6" w:rsidRDefault="00681640" w:rsidP="008C10BB">
            <w:pPr>
              <w:spacing w:after="0"/>
              <w:ind w:left="-30"/>
              <w:rPr>
                <w:rFonts w:eastAsia="Times New Roman" w:cs="Segoe UI"/>
                <w:kern w:val="24"/>
                <w:sz w:val="20"/>
                <w:szCs w:val="20"/>
                <w:u w:val="single"/>
                <w:lang w:eastAsia="en-AU"/>
              </w:rPr>
            </w:pPr>
            <w:r w:rsidRPr="009D14F6">
              <w:rPr>
                <w:rFonts w:eastAsia="Times New Roman" w:cs="Segoe UI"/>
                <w:kern w:val="24"/>
                <w:sz w:val="20"/>
                <w:szCs w:val="20"/>
                <w:u w:val="single"/>
                <w:lang w:eastAsia="en-AU"/>
              </w:rPr>
              <w:t xml:space="preserve">Criteria: </w:t>
            </w:r>
          </w:p>
          <w:p w14:paraId="797809C0" w14:textId="774EB933" w:rsidR="00681640" w:rsidRPr="00DB623D" w:rsidRDefault="00681640" w:rsidP="008505D7">
            <w:pPr>
              <w:pStyle w:val="ListParagraph"/>
              <w:numPr>
                <w:ilvl w:val="0"/>
                <w:numId w:val="7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Therapies that offer likely HATV</w:t>
            </w:r>
            <w:r w:rsidR="00515DEB" w:rsidRPr="00DB623D">
              <w:rPr>
                <w:rFonts w:eastAsia="Times New Roman" w:cs="Segoe UI"/>
                <w:color w:val="222A35"/>
                <w:kern w:val="24"/>
                <w:sz w:val="20"/>
                <w:szCs w:val="20"/>
                <w:lang w:eastAsia="en-AU"/>
              </w:rPr>
              <w:fldChar w:fldCharType="begin"/>
            </w:r>
            <w:r w:rsidR="00515DEB" w:rsidRPr="00DB623D">
              <w:rPr>
                <w:rFonts w:eastAsia="Times New Roman" w:cs="Segoe UI"/>
                <w:color w:val="222A35"/>
                <w:kern w:val="24"/>
                <w:sz w:val="20"/>
                <w:szCs w:val="20"/>
                <w:lang w:eastAsia="en-AU"/>
              </w:rPr>
              <w:instrText xml:space="preserve"> XE "high added therapeutic </w:instrText>
            </w:r>
            <w:proofErr w:type="spellStart"/>
            <w:r w:rsidR="00515DEB" w:rsidRPr="00DB623D">
              <w:rPr>
                <w:rFonts w:eastAsia="Times New Roman" w:cs="Segoe UI"/>
                <w:color w:val="222A35"/>
                <w:kern w:val="24"/>
                <w:sz w:val="20"/>
                <w:szCs w:val="20"/>
                <w:lang w:eastAsia="en-AU"/>
              </w:rPr>
              <w:instrText>value:HATV</w:instrText>
            </w:r>
            <w:proofErr w:type="spellEnd"/>
            <w:r w:rsidR="00515DEB" w:rsidRPr="00DB623D">
              <w:rPr>
                <w:rFonts w:eastAsia="Times New Roman" w:cs="Segoe UI"/>
                <w:color w:val="222A35"/>
                <w:kern w:val="24"/>
                <w:sz w:val="20"/>
                <w:szCs w:val="20"/>
                <w:lang w:eastAsia="en-AU"/>
              </w:rPr>
              <w:instrText xml:space="preserve">" \b </w:instrText>
            </w:r>
            <w:r w:rsidR="00515DEB"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in areas where there is </w:t>
            </w:r>
            <w:r w:rsidR="3FDCD5DC" w:rsidRPr="009D1023">
              <w:rPr>
                <w:rFonts w:eastAsia="Times New Roman" w:cs="Segoe UI"/>
                <w:color w:val="222A35"/>
                <w:kern w:val="24"/>
                <w:sz w:val="20"/>
                <w:szCs w:val="20"/>
                <w:lang w:eastAsia="en-AU"/>
              </w:rPr>
              <w:t>HUCN</w:t>
            </w:r>
            <w:r w:rsidR="00D027D9">
              <w:rPr>
                <w:rFonts w:eastAsia="Times New Roman" w:cs="Segoe UI"/>
                <w:color w:val="222A35"/>
                <w:kern w:val="24"/>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w:t>
            </w:r>
            <w:r w:rsidR="00470C0C" w:rsidRPr="00DB623D">
              <w:rPr>
                <w:rFonts w:eastAsia="Times New Roman" w:cs="Segoe UI"/>
                <w:color w:val="222A35"/>
                <w:kern w:val="24"/>
                <w:sz w:val="20"/>
                <w:szCs w:val="20"/>
                <w:lang w:eastAsia="en-AU"/>
              </w:rPr>
              <w:t>and</w:t>
            </w:r>
          </w:p>
          <w:p w14:paraId="4EE705A9" w14:textId="439C3E46" w:rsidR="00681640" w:rsidRPr="00DB623D" w:rsidRDefault="002A7AE4" w:rsidP="008505D7">
            <w:pPr>
              <w:pStyle w:val="ListParagraph"/>
              <w:numPr>
                <w:ilvl w:val="0"/>
                <w:numId w:val="7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Submission made to the PBAC at the same time</w:t>
            </w:r>
            <w:r w:rsidR="001242CD" w:rsidRPr="00DB623D">
              <w:rPr>
                <w:rFonts w:eastAsia="Times New Roman" w:cs="Segoe UI"/>
                <w:color w:val="222A35"/>
                <w:kern w:val="24"/>
                <w:sz w:val="20"/>
                <w:szCs w:val="20"/>
                <w:lang w:eastAsia="en-AU"/>
              </w:rPr>
              <w:t xml:space="preserve"> as TGA application is made,</w:t>
            </w:r>
            <w:r w:rsidR="00B17528" w:rsidRPr="00DB623D">
              <w:rPr>
                <w:rFonts w:eastAsia="Times New Roman" w:cs="Segoe UI"/>
                <w:color w:val="222A35"/>
                <w:kern w:val="24"/>
                <w:sz w:val="20"/>
                <w:szCs w:val="20"/>
                <w:lang w:eastAsia="en-AU"/>
              </w:rPr>
              <w:t xml:space="preserve"> or at the earliest opportunity after TGA application</w:t>
            </w:r>
            <w:r w:rsidR="001242CD" w:rsidRPr="00DB623D">
              <w:rPr>
                <w:rFonts w:eastAsia="Times New Roman" w:cs="Segoe UI"/>
                <w:color w:val="222A35"/>
                <w:kern w:val="24"/>
                <w:sz w:val="20"/>
                <w:szCs w:val="20"/>
                <w:lang w:eastAsia="en-AU"/>
              </w:rPr>
              <w:t xml:space="preserve"> is made</w:t>
            </w:r>
            <w:r w:rsidRPr="00DB623D">
              <w:rPr>
                <w:rFonts w:eastAsia="Times New Roman" w:cs="Segoe UI"/>
                <w:color w:val="222A35"/>
                <w:kern w:val="24"/>
                <w:sz w:val="20"/>
                <w:szCs w:val="20"/>
                <w:lang w:eastAsia="en-AU"/>
              </w:rPr>
              <w:t xml:space="preserve">, </w:t>
            </w:r>
            <w:r w:rsidR="00470C0C" w:rsidRPr="00DB623D">
              <w:rPr>
                <w:rFonts w:eastAsia="Times New Roman" w:cs="Segoe UI"/>
                <w:color w:val="222A35"/>
                <w:kern w:val="24"/>
                <w:sz w:val="20"/>
                <w:szCs w:val="20"/>
                <w:lang w:eastAsia="en-AU"/>
              </w:rPr>
              <w:t>and</w:t>
            </w:r>
          </w:p>
          <w:p w14:paraId="785B0A31" w14:textId="409C0EE3" w:rsidR="008E6F7F" w:rsidRPr="00DB623D" w:rsidRDefault="00681640" w:rsidP="008505D7">
            <w:pPr>
              <w:pStyle w:val="ListParagraph"/>
              <w:numPr>
                <w:ilvl w:val="0"/>
                <w:numId w:val="7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Submission lodged within 6 months of </w:t>
            </w:r>
            <w:r w:rsidR="00610794" w:rsidRPr="00DB623D">
              <w:rPr>
                <w:rFonts w:eastAsia="Times New Roman" w:cs="Segoe UI"/>
                <w:color w:val="222A35"/>
                <w:kern w:val="24"/>
                <w:sz w:val="20"/>
                <w:szCs w:val="20"/>
                <w:lang w:eastAsia="en-AU"/>
              </w:rPr>
              <w:t xml:space="preserve">receiving </w:t>
            </w:r>
            <w:r w:rsidRPr="00DB623D">
              <w:rPr>
                <w:rFonts w:eastAsia="Times New Roman" w:cs="Segoe UI"/>
                <w:color w:val="222A35"/>
                <w:kern w:val="24"/>
                <w:sz w:val="20"/>
                <w:szCs w:val="20"/>
                <w:lang w:eastAsia="en-AU"/>
              </w:rPr>
              <w:t>first regulat</w:t>
            </w:r>
            <w:r w:rsidR="00EB1E78" w:rsidRPr="00DB623D">
              <w:rPr>
                <w:rFonts w:eastAsia="Times New Roman" w:cs="Segoe UI"/>
                <w:color w:val="222A35"/>
                <w:kern w:val="24"/>
                <w:sz w:val="20"/>
                <w:szCs w:val="20"/>
                <w:lang w:eastAsia="en-AU"/>
              </w:rPr>
              <w:t>ory</w:t>
            </w:r>
            <w:r w:rsidRPr="00DB623D">
              <w:rPr>
                <w:rFonts w:eastAsia="Times New Roman" w:cs="Segoe UI"/>
                <w:color w:val="222A35"/>
                <w:kern w:val="24"/>
                <w:sz w:val="20"/>
                <w:szCs w:val="20"/>
                <w:lang w:eastAsia="en-AU"/>
              </w:rPr>
              <w:t xml:space="preserve"> approval </w:t>
            </w:r>
            <w:r w:rsidR="00806BAF">
              <w:rPr>
                <w:rFonts w:eastAsia="Times New Roman" w:cs="Segoe UI"/>
                <w:color w:val="222A35"/>
                <w:kern w:val="24"/>
                <w:sz w:val="20"/>
                <w:szCs w:val="20"/>
                <w:lang w:eastAsia="en-AU"/>
              </w:rPr>
              <w:t>from a comparable overseas regulator</w:t>
            </w:r>
            <w:r w:rsidRPr="00DB623D">
              <w:rPr>
                <w:rFonts w:eastAsia="Times New Roman" w:cs="Segoe UI"/>
                <w:color w:val="222A35"/>
                <w:kern w:val="24"/>
                <w:sz w:val="20"/>
                <w:szCs w:val="20"/>
                <w:lang w:eastAsia="en-AU"/>
              </w:rPr>
              <w:t xml:space="preserve"> (</w:t>
            </w:r>
            <w:proofErr w:type="gramStart"/>
            <w:r w:rsidR="00806BAF">
              <w:rPr>
                <w:rFonts w:eastAsia="Times New Roman" w:cs="Segoe UI"/>
                <w:color w:val="222A35"/>
                <w:kern w:val="24"/>
                <w:sz w:val="20"/>
                <w:szCs w:val="20"/>
                <w:lang w:eastAsia="en-AU"/>
              </w:rPr>
              <w:t>e.g.</w:t>
            </w:r>
            <w:proofErr w:type="gramEnd"/>
            <w:r w:rsidR="00806BAF">
              <w:rPr>
                <w:rFonts w:eastAsia="Times New Roman" w:cs="Segoe UI"/>
                <w:color w:val="222A35"/>
                <w:kern w:val="24"/>
                <w:sz w:val="20"/>
                <w:szCs w:val="20"/>
                <w:lang w:eastAsia="en-AU"/>
              </w:rPr>
              <w:t xml:space="preserve"> </w:t>
            </w:r>
            <w:r w:rsidR="519FE322" w:rsidRPr="00DB623D">
              <w:rPr>
                <w:rFonts w:eastAsia="Times New Roman" w:cs="Segoe UI"/>
                <w:color w:val="222A35"/>
                <w:kern w:val="24"/>
                <w:sz w:val="20"/>
                <w:szCs w:val="20"/>
                <w:lang w:eastAsia="en-AU"/>
              </w:rPr>
              <w:t>Food and Drug Administration (</w:t>
            </w:r>
            <w:r w:rsidRPr="00DB623D">
              <w:rPr>
                <w:rFonts w:eastAsia="Times New Roman" w:cs="Segoe UI"/>
                <w:color w:val="222A35"/>
                <w:kern w:val="24"/>
                <w:sz w:val="20"/>
                <w:szCs w:val="20"/>
                <w:lang w:eastAsia="en-AU"/>
              </w:rPr>
              <w:t>FDA</w:t>
            </w:r>
            <w:r w:rsidR="44368B55" w:rsidRPr="00DB623D">
              <w:rPr>
                <w:rFonts w:eastAsia="Times New Roman" w:cs="Segoe UI"/>
                <w:color w:val="222A35"/>
                <w:kern w:val="24"/>
                <w:sz w:val="20"/>
                <w:szCs w:val="20"/>
                <w:lang w:eastAsia="en-AU"/>
              </w:rPr>
              <w:t>)</w:t>
            </w:r>
            <w:r w:rsidRPr="00DB623D">
              <w:rPr>
                <w:rFonts w:eastAsia="Times New Roman" w:cs="Segoe UI"/>
                <w:color w:val="222A35"/>
                <w:kern w:val="24"/>
                <w:sz w:val="20"/>
                <w:szCs w:val="20"/>
                <w:lang w:eastAsia="en-AU"/>
              </w:rPr>
              <w:t>/</w:t>
            </w:r>
            <w:r w:rsidR="6725E277" w:rsidRPr="00DB623D">
              <w:rPr>
                <w:rFonts w:eastAsia="Times New Roman" w:cs="Segoe UI"/>
                <w:color w:val="222A35"/>
                <w:kern w:val="24"/>
                <w:sz w:val="20"/>
                <w:szCs w:val="20"/>
                <w:lang w:eastAsia="en-AU"/>
              </w:rPr>
              <w:t>European Medicines Agency (</w:t>
            </w:r>
            <w:r w:rsidRPr="00DB623D">
              <w:rPr>
                <w:rFonts w:eastAsia="Times New Roman" w:cs="Segoe UI"/>
                <w:color w:val="222A35"/>
                <w:kern w:val="24"/>
                <w:sz w:val="20"/>
                <w:szCs w:val="20"/>
                <w:lang w:eastAsia="en-AU"/>
              </w:rPr>
              <w:t>EMA</w:t>
            </w:r>
            <w:r w:rsidR="46C5D59F" w:rsidRPr="00DB623D">
              <w:rPr>
                <w:rFonts w:eastAsia="Times New Roman" w:cs="Segoe UI"/>
                <w:color w:val="222A35"/>
                <w:kern w:val="24"/>
                <w:sz w:val="20"/>
                <w:szCs w:val="20"/>
                <w:lang w:eastAsia="en-AU"/>
              </w:rPr>
              <w:t>)</w:t>
            </w:r>
            <w:r w:rsidRPr="00DB623D">
              <w:rPr>
                <w:rFonts w:eastAsia="Times New Roman" w:cs="Segoe UI"/>
                <w:color w:val="222A35"/>
                <w:kern w:val="24"/>
                <w:sz w:val="20"/>
                <w:szCs w:val="20"/>
                <w:lang w:eastAsia="en-AU"/>
              </w:rPr>
              <w:t>)</w:t>
            </w:r>
            <w:r w:rsidR="000E1192" w:rsidRPr="00DB623D">
              <w:rPr>
                <w:rFonts w:eastAsia="Times New Roman" w:cs="Segoe UI"/>
                <w:color w:val="222A35"/>
                <w:kern w:val="24"/>
                <w:sz w:val="20"/>
                <w:szCs w:val="20"/>
                <w:lang w:eastAsia="en-AU"/>
              </w:rPr>
              <w:t xml:space="preserve"> </w:t>
            </w:r>
          </w:p>
          <w:p w14:paraId="74021D58" w14:textId="77777777" w:rsidR="00D22ECE" w:rsidRDefault="00D22ECE" w:rsidP="008C10BB">
            <w:pPr>
              <w:spacing w:after="0"/>
              <w:rPr>
                <w:rFonts w:eastAsia="Times New Roman" w:cs="Segoe UI"/>
                <w:kern w:val="24"/>
                <w:sz w:val="20"/>
                <w:szCs w:val="20"/>
                <w:lang w:eastAsia="en-AU"/>
              </w:rPr>
            </w:pPr>
          </w:p>
          <w:p w14:paraId="1D305435" w14:textId="029AEE49" w:rsidR="00363188" w:rsidRPr="009D14F6" w:rsidRDefault="008E6F7F" w:rsidP="009D14F6">
            <w:pPr>
              <w:rPr>
                <w:rFonts w:eastAsia="Times New Roman" w:cs="Segoe UI"/>
                <w:kern w:val="24"/>
                <w:sz w:val="20"/>
                <w:szCs w:val="20"/>
                <w:u w:val="single"/>
                <w:lang w:eastAsia="en-AU"/>
              </w:rPr>
            </w:pPr>
            <w:r w:rsidRPr="0337427D">
              <w:rPr>
                <w:rFonts w:eastAsia="Times New Roman" w:cs="Segoe UI"/>
                <w:sz w:val="20"/>
                <w:szCs w:val="20"/>
                <w:u w:val="single"/>
                <w:lang w:eastAsia="en-AU"/>
              </w:rPr>
              <w:t>Altern</w:t>
            </w:r>
            <w:r w:rsidR="001A4686">
              <w:rPr>
                <w:rFonts w:eastAsia="Times New Roman" w:cs="Segoe UI"/>
                <w:sz w:val="20"/>
                <w:szCs w:val="20"/>
                <w:u w:val="single"/>
                <w:lang w:eastAsia="en-AU"/>
              </w:rPr>
              <w:t>a</w:t>
            </w:r>
            <w:r w:rsidRPr="0337427D">
              <w:rPr>
                <w:rFonts w:eastAsia="Times New Roman" w:cs="Segoe UI"/>
                <w:sz w:val="20"/>
                <w:szCs w:val="20"/>
                <w:u w:val="single"/>
                <w:lang w:eastAsia="en-AU"/>
              </w:rPr>
              <w:t xml:space="preserve">tive </w:t>
            </w:r>
            <w:r w:rsidR="00C16522" w:rsidRPr="0337427D">
              <w:rPr>
                <w:rFonts w:eastAsia="Times New Roman" w:cs="Segoe UI"/>
                <w:sz w:val="20"/>
                <w:szCs w:val="20"/>
                <w:u w:val="single"/>
                <w:lang w:eastAsia="en-AU"/>
              </w:rPr>
              <w:t>option</w:t>
            </w:r>
            <w:r w:rsidR="00757408" w:rsidRPr="0337427D">
              <w:rPr>
                <w:rFonts w:eastAsia="Times New Roman" w:cs="Segoe UI"/>
                <w:sz w:val="20"/>
                <w:szCs w:val="20"/>
                <w:u w:val="single"/>
                <w:lang w:eastAsia="en-AU"/>
              </w:rPr>
              <w:t xml:space="preserve"> 1</w:t>
            </w:r>
            <w:r w:rsidR="009336E9" w:rsidRPr="009D14F6">
              <w:rPr>
                <w:rFonts w:eastAsia="Times New Roman" w:cs="Segoe UI"/>
                <w:kern w:val="24"/>
                <w:sz w:val="20"/>
                <w:szCs w:val="20"/>
                <w:u w:val="single"/>
                <w:lang w:eastAsia="en-AU"/>
              </w:rPr>
              <w:t xml:space="preserve">: </w:t>
            </w:r>
            <w:r w:rsidR="009336E9" w:rsidRPr="60514375">
              <w:rPr>
                <w:rFonts w:eastAsia="Times New Roman" w:cs="Segoe UI"/>
                <w:sz w:val="20"/>
                <w:szCs w:val="20"/>
                <w:u w:val="single"/>
                <w:lang w:eastAsia="en-AU"/>
              </w:rPr>
              <w:t>I</w:t>
            </w:r>
            <w:r w:rsidR="00363188" w:rsidRPr="60514375">
              <w:rPr>
                <w:rFonts w:eastAsia="Times New Roman" w:cs="Segoe UI"/>
                <w:sz w:val="20"/>
                <w:szCs w:val="20"/>
                <w:u w:val="single"/>
                <w:lang w:eastAsia="en-AU"/>
              </w:rPr>
              <w:t xml:space="preserve">ntroducing an </w:t>
            </w:r>
            <w:r w:rsidRPr="0073409F">
              <w:rPr>
                <w:rFonts w:eastAsia="Times New Roman" w:cs="Segoe UI"/>
                <w:sz w:val="20"/>
                <w:szCs w:val="20"/>
                <w:u w:val="single"/>
                <w:lang w:eastAsia="en-AU"/>
              </w:rPr>
              <w:t>op</w:t>
            </w:r>
            <w:r w:rsidR="4B041828" w:rsidRPr="009D14F6">
              <w:rPr>
                <w:rFonts w:eastAsia="Times New Roman" w:cs="Segoe UI"/>
                <w:kern w:val="24"/>
                <w:sz w:val="20"/>
                <w:szCs w:val="20"/>
                <w:u w:val="single"/>
                <w:lang w:eastAsia="en-AU"/>
              </w:rPr>
              <w:t>tional</w:t>
            </w:r>
            <w:r w:rsidR="00363188" w:rsidRPr="009D14F6">
              <w:rPr>
                <w:rFonts w:eastAsia="Times New Roman" w:cs="Segoe UI"/>
                <w:kern w:val="24"/>
                <w:sz w:val="20"/>
                <w:szCs w:val="20"/>
                <w:u w:val="single"/>
                <w:lang w:eastAsia="en-AU"/>
              </w:rPr>
              <w:t xml:space="preserve"> resolution step</w:t>
            </w:r>
            <w:r w:rsidR="00536085" w:rsidRPr="009D14F6">
              <w:rPr>
                <w:rFonts w:eastAsia="Times New Roman" w:cs="Segoe UI"/>
                <w:kern w:val="24"/>
                <w:sz w:val="20"/>
                <w:szCs w:val="20"/>
                <w:u w:val="single"/>
                <w:lang w:eastAsia="en-AU"/>
              </w:rPr>
              <w:t xml:space="preserve"> </w:t>
            </w:r>
            <w:r w:rsidR="00536085" w:rsidRPr="009D14F6">
              <w:rPr>
                <w:rFonts w:eastAsia="Times New Roman" w:cs="Segoe UI"/>
                <w:b/>
                <w:kern w:val="24"/>
                <w:sz w:val="20"/>
                <w:szCs w:val="20"/>
                <w:u w:val="single"/>
                <w:lang w:eastAsia="en-AU"/>
              </w:rPr>
              <w:t>before</w:t>
            </w:r>
            <w:r w:rsidR="00536085" w:rsidRPr="009D14F6">
              <w:rPr>
                <w:rFonts w:eastAsia="Times New Roman" w:cs="Segoe UI"/>
                <w:kern w:val="24"/>
                <w:sz w:val="20"/>
                <w:szCs w:val="20"/>
                <w:u w:val="single"/>
                <w:lang w:eastAsia="en-AU"/>
              </w:rPr>
              <w:t xml:space="preserve"> HTA committee consideration</w:t>
            </w:r>
            <w:r w:rsidR="004134B3" w:rsidRPr="009D14F6">
              <w:rPr>
                <w:rFonts w:eastAsia="Times New Roman" w:cs="Segoe UI"/>
                <w:kern w:val="24"/>
                <w:sz w:val="20"/>
                <w:szCs w:val="20"/>
                <w:u w:val="single"/>
                <w:lang w:eastAsia="en-AU"/>
              </w:rPr>
              <w:t>:</w:t>
            </w:r>
          </w:p>
          <w:p w14:paraId="5453F022" w14:textId="4BDA8053" w:rsidR="00887847" w:rsidRPr="00DB623D" w:rsidRDefault="000F02CE"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lastRenderedPageBreak/>
              <w:t xml:space="preserve">After the submission has been evaluated and considered by </w:t>
            </w:r>
            <w:r w:rsidR="003E3B0F">
              <w:rPr>
                <w:rFonts w:eastAsia="Times New Roman" w:cs="Segoe UI"/>
                <w:kern w:val="24"/>
                <w:sz w:val="20"/>
                <w:szCs w:val="20"/>
                <w:lang w:eastAsia="en-AU"/>
              </w:rPr>
              <w:t xml:space="preserve">PBAC </w:t>
            </w:r>
            <w:r w:rsidR="00FD4A8B" w:rsidRPr="00DB623D">
              <w:rPr>
                <w:rFonts w:eastAsia="Times New Roman" w:cs="Segoe UI"/>
                <w:kern w:val="24"/>
                <w:sz w:val="20"/>
                <w:szCs w:val="20"/>
                <w:lang w:eastAsia="en-AU"/>
              </w:rPr>
              <w:t xml:space="preserve">Economic Sub-Committee </w:t>
            </w:r>
            <w:r w:rsidR="00FD4A8B">
              <w:rPr>
                <w:rFonts w:eastAsia="Times New Roman" w:cs="Segoe UI"/>
                <w:kern w:val="24"/>
                <w:sz w:val="20"/>
                <w:szCs w:val="20"/>
                <w:lang w:eastAsia="en-AU"/>
              </w:rPr>
              <w:t>(</w:t>
            </w:r>
            <w:r w:rsidRPr="00DB623D">
              <w:rPr>
                <w:rFonts w:eastAsia="Times New Roman" w:cs="Segoe UI"/>
                <w:kern w:val="24"/>
                <w:sz w:val="20"/>
                <w:szCs w:val="20"/>
                <w:lang w:eastAsia="en-AU"/>
              </w:rPr>
              <w:t>ESC</w:t>
            </w:r>
            <w:r w:rsidR="00FD4A8B">
              <w:rPr>
                <w:rFonts w:eastAsia="Times New Roman" w:cs="Segoe UI"/>
                <w:kern w:val="24"/>
                <w:sz w:val="20"/>
                <w:szCs w:val="20"/>
                <w:lang w:eastAsia="en-AU"/>
              </w:rPr>
              <w:t>)</w:t>
            </w:r>
            <w:r w:rsidRPr="00DB623D">
              <w:rPr>
                <w:rFonts w:eastAsia="Times New Roman" w:cs="Segoe UI"/>
                <w:kern w:val="24"/>
                <w:sz w:val="20"/>
                <w:szCs w:val="20"/>
                <w:lang w:eastAsia="en-AU"/>
              </w:rPr>
              <w:t xml:space="preserve">, </w:t>
            </w:r>
            <w:r w:rsidR="00943E73" w:rsidRPr="00DB623D">
              <w:rPr>
                <w:rFonts w:eastAsia="Times New Roman" w:cs="Segoe UI"/>
                <w:kern w:val="24"/>
                <w:sz w:val="20"/>
                <w:szCs w:val="20"/>
                <w:lang w:eastAsia="en-AU"/>
              </w:rPr>
              <w:t>sponsors would be provided with preliminary advice on their submission, and the option to either:</w:t>
            </w:r>
          </w:p>
          <w:p w14:paraId="0365E063" w14:textId="500F11D7" w:rsidR="00C5207E" w:rsidRPr="00DB623D" w:rsidRDefault="00C5207E" w:rsidP="008505D7">
            <w:pPr>
              <w:pStyle w:val="ListParagraph"/>
              <w:numPr>
                <w:ilvl w:val="0"/>
                <w:numId w:val="73"/>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progress submission to HTA Committee for consideration ‘as-is’ (with risk of negative recommendation and exit from the HTA cycle);</w:t>
            </w:r>
            <w:r w:rsidR="00671DA3" w:rsidRPr="00DB623D">
              <w:rPr>
                <w:rFonts w:eastAsia="Times New Roman" w:cs="Segoe UI"/>
                <w:color w:val="222A35"/>
                <w:kern w:val="24"/>
                <w:sz w:val="20"/>
                <w:szCs w:val="20"/>
                <w:lang w:eastAsia="en-AU"/>
              </w:rPr>
              <w:t xml:space="preserve"> or</w:t>
            </w:r>
          </w:p>
          <w:p w14:paraId="765DD821" w14:textId="10B5F11A" w:rsidR="00C5207E" w:rsidRPr="00DB623D" w:rsidRDefault="00FB3181" w:rsidP="008505D7">
            <w:pPr>
              <w:pStyle w:val="ListParagraph"/>
              <w:numPr>
                <w:ilvl w:val="0"/>
                <w:numId w:val="73"/>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undertake a resolution process to </w:t>
            </w:r>
            <w:r w:rsidR="00C5207E" w:rsidRPr="00DB623D">
              <w:rPr>
                <w:rFonts w:eastAsia="Times New Roman" w:cs="Segoe UI"/>
                <w:color w:val="222A35"/>
                <w:kern w:val="24"/>
                <w:sz w:val="20"/>
                <w:szCs w:val="20"/>
                <w:lang w:eastAsia="en-AU"/>
              </w:rPr>
              <w:t>address identified deficiencies/technical concerns under a set/time-limited period (</w:t>
            </w:r>
            <w:proofErr w:type="gramStart"/>
            <w:r w:rsidR="00C5207E" w:rsidRPr="00DB623D">
              <w:rPr>
                <w:rFonts w:eastAsia="Times New Roman" w:cs="Segoe UI"/>
                <w:color w:val="222A35"/>
                <w:kern w:val="24"/>
                <w:sz w:val="20"/>
                <w:szCs w:val="20"/>
                <w:lang w:eastAsia="en-AU"/>
              </w:rPr>
              <w:t>e.g.</w:t>
            </w:r>
            <w:proofErr w:type="gramEnd"/>
            <w:r w:rsidR="00C5207E" w:rsidRPr="00DB623D">
              <w:rPr>
                <w:rFonts w:eastAsia="Times New Roman" w:cs="Segoe UI"/>
                <w:color w:val="222A35"/>
                <w:kern w:val="24"/>
                <w:sz w:val="20"/>
                <w:szCs w:val="20"/>
                <w:lang w:eastAsia="en-AU"/>
              </w:rPr>
              <w:t xml:space="preserve"> up to maximum of one HTA cycle length of ~17 weeks), </w:t>
            </w:r>
            <w:r w:rsidR="005C7912" w:rsidRPr="00DB623D">
              <w:rPr>
                <w:rFonts w:eastAsia="Times New Roman" w:cs="Segoe UI"/>
                <w:color w:val="222A35"/>
                <w:kern w:val="24"/>
                <w:sz w:val="20"/>
                <w:szCs w:val="20"/>
                <w:lang w:eastAsia="en-AU"/>
              </w:rPr>
              <w:t>before</w:t>
            </w:r>
            <w:r w:rsidR="00C5207E" w:rsidRPr="00DB623D">
              <w:rPr>
                <w:rFonts w:eastAsia="Times New Roman" w:cs="Segoe UI"/>
                <w:color w:val="222A35"/>
                <w:kern w:val="24"/>
                <w:sz w:val="20"/>
                <w:szCs w:val="20"/>
                <w:lang w:eastAsia="en-AU"/>
              </w:rPr>
              <w:t xml:space="preserve"> progress</w:t>
            </w:r>
            <w:r w:rsidRPr="00DB623D">
              <w:rPr>
                <w:rFonts w:eastAsia="Times New Roman" w:cs="Segoe UI"/>
                <w:color w:val="222A35"/>
                <w:kern w:val="24"/>
                <w:sz w:val="20"/>
                <w:szCs w:val="20"/>
                <w:lang w:eastAsia="en-AU"/>
              </w:rPr>
              <w:t>ing</w:t>
            </w:r>
            <w:r w:rsidR="00C5207E" w:rsidRPr="00DB623D">
              <w:rPr>
                <w:rFonts w:eastAsia="Times New Roman" w:cs="Segoe UI"/>
                <w:color w:val="222A35"/>
                <w:kern w:val="24"/>
                <w:sz w:val="20"/>
                <w:szCs w:val="20"/>
                <w:lang w:eastAsia="en-AU"/>
              </w:rPr>
              <w:t xml:space="preserve"> to HTA Committee consideration.</w:t>
            </w:r>
          </w:p>
          <w:p w14:paraId="640F6A5C" w14:textId="1F3A2B49" w:rsidR="002E21D0" w:rsidRPr="00DB623D" w:rsidRDefault="004E18C9"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 xml:space="preserve">With this approach, the relevant ESC discussants, evaluators, Departmental </w:t>
            </w:r>
            <w:proofErr w:type="gramStart"/>
            <w:r w:rsidRPr="00DB623D">
              <w:rPr>
                <w:rFonts w:eastAsia="Times New Roman" w:cs="Segoe UI"/>
                <w:kern w:val="24"/>
                <w:sz w:val="20"/>
                <w:szCs w:val="20"/>
                <w:lang w:eastAsia="en-AU"/>
              </w:rPr>
              <w:t>staff</w:t>
            </w:r>
            <w:proofErr w:type="gramEnd"/>
            <w:r w:rsidRPr="00DB623D">
              <w:rPr>
                <w:rFonts w:eastAsia="Times New Roman" w:cs="Segoe UI"/>
                <w:kern w:val="24"/>
                <w:sz w:val="20"/>
                <w:szCs w:val="20"/>
                <w:lang w:eastAsia="en-AU"/>
              </w:rPr>
              <w:t xml:space="preserve"> and the sponsor would meet and work iteratively towards </w:t>
            </w:r>
            <w:r w:rsidR="00082778" w:rsidRPr="00DB623D">
              <w:rPr>
                <w:rFonts w:eastAsia="Times New Roman" w:cs="Segoe UI"/>
                <w:kern w:val="24"/>
                <w:sz w:val="20"/>
                <w:szCs w:val="20"/>
                <w:lang w:eastAsia="en-AU"/>
              </w:rPr>
              <w:t>addressing deficiencies/technical concerns</w:t>
            </w:r>
            <w:r w:rsidRPr="00DB623D">
              <w:rPr>
                <w:rFonts w:eastAsia="Times New Roman" w:cs="Segoe UI"/>
                <w:kern w:val="24"/>
                <w:sz w:val="20"/>
                <w:szCs w:val="20"/>
                <w:lang w:eastAsia="en-AU"/>
              </w:rPr>
              <w:t xml:space="preserve"> with ESC advice, prior to a PBAC consideration</w:t>
            </w:r>
            <w:r w:rsidR="00CE50AD" w:rsidRPr="00DB623D">
              <w:rPr>
                <w:rFonts w:eastAsia="Times New Roman" w:cs="Segoe UI"/>
                <w:kern w:val="24"/>
                <w:sz w:val="20"/>
                <w:szCs w:val="20"/>
                <w:lang w:eastAsia="en-AU"/>
              </w:rPr>
              <w:t xml:space="preserve"> so that it is more</w:t>
            </w:r>
            <w:r w:rsidR="00D56CAF" w:rsidRPr="00DB623D">
              <w:rPr>
                <w:rFonts w:eastAsia="Times New Roman" w:cs="Segoe UI"/>
                <w:kern w:val="24"/>
                <w:sz w:val="20"/>
                <w:szCs w:val="20"/>
                <w:lang w:eastAsia="en-AU"/>
              </w:rPr>
              <w:t xml:space="preserve"> likely to receive a positive recommendation</w:t>
            </w:r>
            <w:r w:rsidRPr="00DB623D">
              <w:rPr>
                <w:rFonts w:eastAsia="Times New Roman" w:cs="Segoe UI"/>
                <w:kern w:val="24"/>
                <w:sz w:val="20"/>
                <w:szCs w:val="20"/>
                <w:lang w:eastAsia="en-AU"/>
              </w:rPr>
              <w:t xml:space="preserve">. </w:t>
            </w:r>
          </w:p>
          <w:p w14:paraId="1F73AF6B" w14:textId="13C3C2D0" w:rsidR="00BB20BE" w:rsidRPr="00DB623D" w:rsidRDefault="002E21D0"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After the resolution process</w:t>
            </w:r>
            <w:r w:rsidR="569A74AA" w:rsidRPr="00DB623D">
              <w:rPr>
                <w:rFonts w:eastAsia="Times New Roman" w:cs="Segoe UI"/>
                <w:kern w:val="24"/>
                <w:sz w:val="20"/>
                <w:szCs w:val="20"/>
                <w:lang w:eastAsia="en-AU"/>
              </w:rPr>
              <w:t>,</w:t>
            </w:r>
            <w:r w:rsidRPr="00DB623D">
              <w:rPr>
                <w:rFonts w:eastAsia="Times New Roman" w:cs="Segoe UI"/>
                <w:kern w:val="24"/>
                <w:sz w:val="20"/>
                <w:szCs w:val="20"/>
                <w:lang w:eastAsia="en-AU"/>
              </w:rPr>
              <w:t xml:space="preserve"> </w:t>
            </w:r>
            <w:r w:rsidR="00BB20BE" w:rsidRPr="00DB623D">
              <w:rPr>
                <w:rFonts w:eastAsia="Times New Roman" w:cs="Segoe UI"/>
                <w:kern w:val="24"/>
                <w:sz w:val="20"/>
                <w:szCs w:val="20"/>
                <w:lang w:eastAsia="en-AU"/>
              </w:rPr>
              <w:t>the</w:t>
            </w:r>
            <w:r w:rsidRPr="00DB623D">
              <w:rPr>
                <w:rFonts w:eastAsia="Times New Roman" w:cs="Segoe UI"/>
                <w:kern w:val="24"/>
                <w:sz w:val="20"/>
                <w:szCs w:val="20"/>
                <w:lang w:eastAsia="en-AU"/>
              </w:rPr>
              <w:t xml:space="preserve"> submission would go to PBAC where a recommendation to the minister would be made regarding the listing. </w:t>
            </w:r>
          </w:p>
          <w:p w14:paraId="04363ED8" w14:textId="09C52CBB" w:rsidR="006423D9" w:rsidRPr="00DB623D" w:rsidRDefault="002E21D0"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This would be a time limited process running contemporaneously to the TGA assessment</w:t>
            </w:r>
            <w:r w:rsidR="2E04064C" w:rsidRPr="00DB623D">
              <w:rPr>
                <w:rFonts w:eastAsia="Times New Roman" w:cs="Segoe UI"/>
                <w:kern w:val="24"/>
                <w:sz w:val="20"/>
                <w:szCs w:val="20"/>
                <w:lang w:eastAsia="en-AU"/>
              </w:rPr>
              <w:t>,</w:t>
            </w:r>
            <w:r w:rsidRPr="00DB623D">
              <w:rPr>
                <w:rFonts w:eastAsia="Times New Roman" w:cs="Segoe UI"/>
                <w:kern w:val="24"/>
                <w:sz w:val="20"/>
                <w:szCs w:val="20"/>
                <w:lang w:eastAsia="en-AU"/>
              </w:rPr>
              <w:t xml:space="preserve"> resulting </w:t>
            </w:r>
            <w:r w:rsidR="133AFC01" w:rsidRPr="00DB623D">
              <w:rPr>
                <w:rFonts w:eastAsia="Times New Roman" w:cs="Segoe UI"/>
                <w:kern w:val="24"/>
                <w:sz w:val="20"/>
                <w:szCs w:val="20"/>
                <w:lang w:eastAsia="en-AU"/>
              </w:rPr>
              <w:t xml:space="preserve">in </w:t>
            </w:r>
            <w:r w:rsidRPr="00DB623D">
              <w:rPr>
                <w:rFonts w:eastAsia="Times New Roman" w:cs="Segoe UI"/>
                <w:kern w:val="24"/>
                <w:sz w:val="20"/>
                <w:szCs w:val="20"/>
                <w:lang w:eastAsia="en-AU"/>
              </w:rPr>
              <w:t>expeditated access.</w:t>
            </w:r>
          </w:p>
          <w:p w14:paraId="4E26989C" w14:textId="414CE3FE" w:rsidR="0057382A" w:rsidRPr="00DB623D" w:rsidRDefault="00793988"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 xml:space="preserve">It is intended that </w:t>
            </w:r>
            <w:r w:rsidR="003C1416" w:rsidRPr="00DB623D">
              <w:rPr>
                <w:rFonts w:eastAsia="Times New Roman" w:cs="Segoe UI"/>
                <w:kern w:val="24"/>
                <w:sz w:val="20"/>
                <w:szCs w:val="20"/>
                <w:lang w:eastAsia="en-AU"/>
              </w:rPr>
              <w:t xml:space="preserve">the optional </w:t>
            </w:r>
            <w:r w:rsidRPr="00DB623D">
              <w:rPr>
                <w:rFonts w:eastAsia="Times New Roman" w:cs="Segoe UI"/>
                <w:kern w:val="24"/>
                <w:sz w:val="20"/>
                <w:szCs w:val="20"/>
                <w:lang w:eastAsia="en-AU"/>
              </w:rPr>
              <w:t>early resolution</w:t>
            </w:r>
            <w:r w:rsidR="00336A3C">
              <w:rPr>
                <w:rFonts w:eastAsia="Times New Roman" w:cs="Segoe UI"/>
                <w:kern w:val="24"/>
                <w:sz w:val="20"/>
                <w:szCs w:val="20"/>
                <w:lang w:eastAsia="en-AU"/>
              </w:rPr>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rPr>
                <w:rFonts w:eastAsia="Times New Roman" w:cs="Segoe UI"/>
                <w:kern w:val="24"/>
                <w:sz w:val="20"/>
                <w:szCs w:val="20"/>
                <w:lang w:eastAsia="en-AU"/>
              </w:rPr>
              <w:fldChar w:fldCharType="end"/>
            </w:r>
            <w:r w:rsidRPr="00DB623D">
              <w:rPr>
                <w:rFonts w:eastAsia="Times New Roman" w:cs="Segoe UI"/>
                <w:kern w:val="24"/>
                <w:sz w:val="20"/>
                <w:szCs w:val="20"/>
                <w:lang w:eastAsia="en-AU"/>
              </w:rPr>
              <w:t xml:space="preserve"> process will avoid a negative recommendation</w:t>
            </w:r>
            <w:r w:rsidR="000E35EE" w:rsidRPr="00DB623D">
              <w:rPr>
                <w:rFonts w:eastAsia="Times New Roman" w:cs="Segoe UI"/>
                <w:kern w:val="24"/>
                <w:sz w:val="20"/>
                <w:szCs w:val="20"/>
                <w:lang w:eastAsia="en-AU"/>
              </w:rPr>
              <w:t>,</w:t>
            </w:r>
            <w:r w:rsidRPr="00DB623D">
              <w:rPr>
                <w:rFonts w:eastAsia="Times New Roman" w:cs="Segoe UI"/>
                <w:kern w:val="24"/>
                <w:sz w:val="20"/>
                <w:szCs w:val="20"/>
                <w:lang w:eastAsia="en-AU"/>
              </w:rPr>
              <w:t xml:space="preserve"> however in the rare occasion where </w:t>
            </w:r>
            <w:r w:rsidR="002A7AE4" w:rsidRPr="00DB623D">
              <w:rPr>
                <w:rFonts w:eastAsia="Times New Roman" w:cs="Segoe UI"/>
                <w:kern w:val="24"/>
                <w:sz w:val="20"/>
                <w:szCs w:val="20"/>
                <w:lang w:eastAsia="en-AU"/>
              </w:rPr>
              <w:t xml:space="preserve">the application is not recommended, </w:t>
            </w:r>
            <w:r w:rsidR="0057382A" w:rsidRPr="00DB623D">
              <w:rPr>
                <w:rFonts w:eastAsia="Times New Roman" w:cs="Segoe UI"/>
                <w:kern w:val="24"/>
                <w:sz w:val="20"/>
                <w:szCs w:val="20"/>
                <w:lang w:eastAsia="en-AU"/>
              </w:rPr>
              <w:t xml:space="preserve">there would be a restriction on </w:t>
            </w:r>
            <w:r w:rsidR="007B35DF" w:rsidRPr="00DB623D">
              <w:rPr>
                <w:rFonts w:eastAsia="Times New Roman" w:cs="Segoe UI"/>
                <w:kern w:val="24"/>
                <w:sz w:val="20"/>
                <w:szCs w:val="20"/>
                <w:lang w:eastAsia="en-AU"/>
              </w:rPr>
              <w:t>the ability for sponsors to re-submit</w:t>
            </w:r>
            <w:r w:rsidR="00B97391" w:rsidRPr="00DB623D">
              <w:rPr>
                <w:rFonts w:eastAsia="Times New Roman" w:cs="Segoe UI"/>
                <w:kern w:val="24"/>
                <w:sz w:val="20"/>
                <w:szCs w:val="20"/>
                <w:lang w:eastAsia="en-AU"/>
              </w:rPr>
              <w:t xml:space="preserve">. </w:t>
            </w:r>
          </w:p>
          <w:p w14:paraId="181F2B12" w14:textId="59B85081" w:rsidR="000B7AF7" w:rsidRPr="00706B33" w:rsidRDefault="00B97391" w:rsidP="008505D7">
            <w:pPr>
              <w:pStyle w:val="ListParagraph"/>
              <w:numPr>
                <w:ilvl w:val="0"/>
                <w:numId w:val="74"/>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 xml:space="preserve">Note: </w:t>
            </w:r>
            <w:r w:rsidR="00EE26E8" w:rsidRPr="00DB623D">
              <w:rPr>
                <w:rFonts w:eastAsia="Times New Roman" w:cs="Segoe UI"/>
                <w:kern w:val="24"/>
                <w:sz w:val="20"/>
                <w:szCs w:val="20"/>
                <w:lang w:eastAsia="en-AU"/>
              </w:rPr>
              <w:t xml:space="preserve">Understanding </w:t>
            </w:r>
            <w:r w:rsidR="00CF7017" w:rsidRPr="00DB623D">
              <w:rPr>
                <w:rFonts w:eastAsia="Times New Roman" w:cs="Segoe UI"/>
                <w:kern w:val="24"/>
                <w:sz w:val="20"/>
                <w:szCs w:val="20"/>
                <w:lang w:eastAsia="en-AU"/>
              </w:rPr>
              <w:t>feasible</w:t>
            </w:r>
            <w:r w:rsidR="00827E66" w:rsidRPr="00DB623D">
              <w:rPr>
                <w:rFonts w:eastAsia="Times New Roman" w:cs="Segoe UI"/>
                <w:kern w:val="24"/>
                <w:sz w:val="20"/>
                <w:szCs w:val="20"/>
                <w:lang w:eastAsia="en-AU"/>
              </w:rPr>
              <w:t xml:space="preserve"> and practical </w:t>
            </w:r>
            <w:r w:rsidR="007535FD" w:rsidRPr="00DB623D">
              <w:rPr>
                <w:rFonts w:eastAsia="Times New Roman" w:cs="Segoe UI"/>
                <w:kern w:val="24"/>
                <w:sz w:val="20"/>
                <w:szCs w:val="20"/>
                <w:lang w:eastAsia="en-AU"/>
              </w:rPr>
              <w:t xml:space="preserve">solutions </w:t>
            </w:r>
            <w:r w:rsidR="006135B3" w:rsidRPr="00DB623D">
              <w:rPr>
                <w:rFonts w:eastAsia="Times New Roman" w:cs="Segoe UI"/>
                <w:kern w:val="24"/>
                <w:sz w:val="20"/>
                <w:szCs w:val="20"/>
                <w:lang w:eastAsia="en-AU"/>
              </w:rPr>
              <w:t xml:space="preserve">/ strategies to reduce the number of resubmissions </w:t>
            </w:r>
            <w:r w:rsidR="00D55475" w:rsidRPr="00DB623D">
              <w:rPr>
                <w:rFonts w:eastAsia="Times New Roman" w:cs="Segoe UI"/>
                <w:kern w:val="24"/>
                <w:sz w:val="20"/>
                <w:szCs w:val="20"/>
                <w:lang w:eastAsia="en-AU"/>
              </w:rPr>
              <w:t xml:space="preserve">under </w:t>
            </w:r>
            <w:r w:rsidR="00B74D1F" w:rsidRPr="00DB623D">
              <w:rPr>
                <w:rFonts w:eastAsia="Times New Roman" w:cs="Segoe UI"/>
                <w:kern w:val="24"/>
                <w:sz w:val="20"/>
                <w:szCs w:val="20"/>
                <w:lang w:eastAsia="en-AU"/>
              </w:rPr>
              <w:t>these</w:t>
            </w:r>
            <w:r w:rsidR="00D55475" w:rsidRPr="00DB623D">
              <w:rPr>
                <w:rFonts w:eastAsia="Times New Roman" w:cs="Segoe UI"/>
                <w:kern w:val="24"/>
                <w:sz w:val="20"/>
                <w:szCs w:val="20"/>
                <w:lang w:eastAsia="en-AU"/>
              </w:rPr>
              <w:t xml:space="preserve"> options is </w:t>
            </w:r>
            <w:r w:rsidR="00B84958" w:rsidRPr="00DB623D">
              <w:rPr>
                <w:rFonts w:eastAsia="Times New Roman" w:cs="Segoe UI"/>
                <w:kern w:val="24"/>
                <w:sz w:val="20"/>
                <w:szCs w:val="20"/>
                <w:lang w:eastAsia="en-AU"/>
              </w:rPr>
              <w:t>a key</w:t>
            </w:r>
            <w:r w:rsidR="00DB5F53" w:rsidRPr="00DB623D">
              <w:rPr>
                <w:rFonts w:eastAsia="Times New Roman" w:cs="Segoe UI"/>
                <w:kern w:val="24"/>
                <w:sz w:val="20"/>
                <w:szCs w:val="20"/>
                <w:lang w:eastAsia="en-AU"/>
              </w:rPr>
              <w:t xml:space="preserve"> detail to workshop with stakeholders through this consultation process.</w:t>
            </w:r>
            <w:r w:rsidR="000D101B" w:rsidRPr="00DB623D">
              <w:rPr>
                <w:rFonts w:eastAsia="Times New Roman" w:cs="Segoe UI"/>
                <w:kern w:val="24"/>
                <w:sz w:val="20"/>
                <w:szCs w:val="20"/>
                <w:lang w:eastAsia="en-AU"/>
              </w:rPr>
              <w:t xml:space="preserve"> This could include setting a maximum allowable number of submission </w:t>
            </w:r>
            <w:r w:rsidR="00EE58B4" w:rsidRPr="00DB623D">
              <w:rPr>
                <w:rFonts w:eastAsia="Times New Roman" w:cs="Segoe UI"/>
                <w:kern w:val="24"/>
                <w:sz w:val="20"/>
                <w:szCs w:val="20"/>
                <w:lang w:eastAsia="en-AU"/>
              </w:rPr>
              <w:t>(</w:t>
            </w:r>
            <w:proofErr w:type="gramStart"/>
            <w:r w:rsidR="004D3F22">
              <w:rPr>
                <w:rFonts w:eastAsia="Times New Roman" w:cs="Segoe UI"/>
                <w:kern w:val="24"/>
                <w:sz w:val="20"/>
                <w:szCs w:val="20"/>
                <w:lang w:eastAsia="en-AU"/>
              </w:rPr>
              <w:t>e.g.</w:t>
            </w:r>
            <w:proofErr w:type="gramEnd"/>
            <w:r w:rsidR="001241F0" w:rsidRPr="00DB623D">
              <w:rPr>
                <w:rFonts w:eastAsia="Times New Roman" w:cs="Segoe UI"/>
                <w:kern w:val="24"/>
                <w:sz w:val="20"/>
                <w:szCs w:val="20"/>
                <w:lang w:eastAsia="en-AU"/>
              </w:rPr>
              <w:t xml:space="preserve"> only 1 resubmission </w:t>
            </w:r>
            <w:r w:rsidR="001560D5" w:rsidRPr="00DB623D">
              <w:rPr>
                <w:rFonts w:eastAsia="Times New Roman" w:cs="Segoe UI"/>
                <w:kern w:val="24"/>
                <w:sz w:val="20"/>
                <w:szCs w:val="20"/>
                <w:lang w:eastAsia="en-AU"/>
              </w:rPr>
              <w:t xml:space="preserve">allowed). </w:t>
            </w:r>
          </w:p>
          <w:p w14:paraId="5EB15E77" w14:textId="6F3126A9" w:rsidR="000B7AF7" w:rsidRDefault="006F7381" w:rsidP="008C10BB">
            <w:pPr>
              <w:ind w:left="-84"/>
              <w:jc w:val="center"/>
              <w:rPr>
                <w:rFonts w:eastAsia="Times New Roman" w:cs="Segoe UI"/>
                <w:b/>
                <w:kern w:val="24"/>
                <w:sz w:val="20"/>
                <w:szCs w:val="20"/>
                <w:u w:val="single"/>
                <w:lang w:eastAsia="en-AU"/>
              </w:rPr>
            </w:pPr>
            <w:r w:rsidRPr="00706B33">
              <w:rPr>
                <w:rFonts w:eastAsia="Times New Roman" w:cs="Segoe UI"/>
                <w:b/>
                <w:kern w:val="24"/>
                <w:sz w:val="20"/>
                <w:szCs w:val="20"/>
                <w:u w:val="single"/>
                <w:lang w:eastAsia="en-AU"/>
              </w:rPr>
              <w:t>OR</w:t>
            </w:r>
          </w:p>
          <w:p w14:paraId="351C1D12" w14:textId="2882F085" w:rsidR="001560D5" w:rsidRPr="00B54B3A" w:rsidRDefault="00D97D26" w:rsidP="001560D5">
            <w:pPr>
              <w:rPr>
                <w:rFonts w:eastAsia="Times New Roman" w:cs="Segoe UI"/>
                <w:kern w:val="24"/>
                <w:sz w:val="20"/>
                <w:szCs w:val="20"/>
                <w:u w:val="single"/>
                <w:lang w:eastAsia="en-AU"/>
              </w:rPr>
            </w:pPr>
            <w:r w:rsidRPr="00B54B3A">
              <w:rPr>
                <w:rFonts w:eastAsia="Times New Roman" w:cs="Segoe UI"/>
                <w:kern w:val="24"/>
                <w:sz w:val="20"/>
                <w:szCs w:val="20"/>
                <w:u w:val="single"/>
                <w:lang w:eastAsia="en-AU"/>
              </w:rPr>
              <w:t>Alternative</w:t>
            </w:r>
            <w:r w:rsidR="001560D5" w:rsidRPr="00B54B3A">
              <w:rPr>
                <w:rFonts w:eastAsia="Times New Roman" w:cs="Segoe UI"/>
                <w:kern w:val="24"/>
                <w:sz w:val="20"/>
                <w:szCs w:val="20"/>
                <w:u w:val="single"/>
                <w:lang w:eastAsia="en-AU"/>
              </w:rPr>
              <w:t xml:space="preserve"> option</w:t>
            </w:r>
            <w:r w:rsidR="001560D5" w:rsidRPr="009336E9">
              <w:rPr>
                <w:rFonts w:eastAsia="Times New Roman" w:cs="Segoe UI"/>
                <w:kern w:val="24"/>
                <w:sz w:val="20"/>
                <w:szCs w:val="20"/>
                <w:u w:val="single"/>
                <w:lang w:eastAsia="en-AU"/>
              </w:rPr>
              <w:t xml:space="preserve"> </w:t>
            </w:r>
            <w:r w:rsidR="001560D5">
              <w:rPr>
                <w:rFonts w:eastAsia="Times New Roman" w:cs="Segoe UI"/>
                <w:kern w:val="24"/>
                <w:sz w:val="20"/>
                <w:szCs w:val="20"/>
                <w:u w:val="single"/>
                <w:lang w:eastAsia="en-AU"/>
              </w:rPr>
              <w:t>2</w:t>
            </w:r>
            <w:r w:rsidR="001560D5" w:rsidRPr="00B54B3A">
              <w:rPr>
                <w:rFonts w:eastAsia="Times New Roman" w:cs="Segoe UI"/>
                <w:kern w:val="24"/>
                <w:sz w:val="20"/>
                <w:szCs w:val="20"/>
                <w:u w:val="single"/>
                <w:lang w:eastAsia="en-AU"/>
              </w:rPr>
              <w:t xml:space="preserve">: </w:t>
            </w:r>
            <w:r w:rsidR="001560D5" w:rsidRPr="0073409F">
              <w:rPr>
                <w:rFonts w:eastAsia="Times New Roman" w:cs="Segoe UI"/>
                <w:sz w:val="20"/>
                <w:szCs w:val="20"/>
                <w:u w:val="single"/>
                <w:lang w:eastAsia="en-AU"/>
              </w:rPr>
              <w:t xml:space="preserve">Introducing an </w:t>
            </w:r>
            <w:r w:rsidRPr="0073409F">
              <w:rPr>
                <w:rFonts w:eastAsia="Times New Roman" w:cs="Segoe UI"/>
                <w:sz w:val="20"/>
                <w:szCs w:val="20"/>
                <w:u w:val="single"/>
                <w:lang w:eastAsia="en-AU"/>
              </w:rPr>
              <w:t>o</w:t>
            </w:r>
            <w:r w:rsidR="12F5EE2A" w:rsidRPr="0073409F">
              <w:rPr>
                <w:rFonts w:eastAsia="Times New Roman" w:cs="Segoe UI"/>
                <w:kern w:val="24"/>
                <w:sz w:val="20"/>
                <w:szCs w:val="20"/>
                <w:u w:val="single"/>
                <w:lang w:eastAsia="en-AU"/>
              </w:rPr>
              <w:t>ptional</w:t>
            </w:r>
            <w:r w:rsidR="001560D5" w:rsidRPr="00B54B3A">
              <w:rPr>
                <w:rFonts w:eastAsia="Times New Roman" w:cs="Segoe UI"/>
                <w:kern w:val="24"/>
                <w:sz w:val="20"/>
                <w:szCs w:val="20"/>
                <w:u w:val="single"/>
                <w:lang w:eastAsia="en-AU"/>
              </w:rPr>
              <w:t xml:space="preserve"> resolution step </w:t>
            </w:r>
            <w:r w:rsidR="001560D5" w:rsidRPr="00B54B3A">
              <w:rPr>
                <w:rFonts w:eastAsia="Times New Roman" w:cs="Segoe UI"/>
                <w:b/>
                <w:bCs/>
                <w:kern w:val="24"/>
                <w:sz w:val="20"/>
                <w:szCs w:val="20"/>
                <w:u w:val="single"/>
                <w:lang w:eastAsia="en-AU"/>
              </w:rPr>
              <w:t>before</w:t>
            </w:r>
            <w:r w:rsidR="001560D5" w:rsidRPr="00B54B3A">
              <w:rPr>
                <w:rFonts w:eastAsia="Times New Roman" w:cs="Segoe UI"/>
                <w:kern w:val="24"/>
                <w:sz w:val="20"/>
                <w:szCs w:val="20"/>
                <w:u w:val="single"/>
                <w:lang w:eastAsia="en-AU"/>
              </w:rPr>
              <w:t xml:space="preserve"> HTA committee consideration</w:t>
            </w:r>
            <w:r w:rsidR="001560D5">
              <w:rPr>
                <w:rFonts w:eastAsia="Times New Roman" w:cs="Segoe UI"/>
                <w:kern w:val="24"/>
                <w:sz w:val="20"/>
                <w:szCs w:val="20"/>
                <w:u w:val="single"/>
                <w:lang w:eastAsia="en-AU"/>
              </w:rPr>
              <w:t xml:space="preserve">, with </w:t>
            </w:r>
            <w:r w:rsidR="00A528AE">
              <w:rPr>
                <w:rFonts w:eastAsia="Times New Roman" w:cs="Segoe UI"/>
                <w:kern w:val="24"/>
                <w:sz w:val="20"/>
                <w:szCs w:val="20"/>
                <w:u w:val="single"/>
                <w:lang w:eastAsia="en-AU"/>
              </w:rPr>
              <w:t>additional post committee resolution</w:t>
            </w:r>
            <w:r w:rsidR="001560D5" w:rsidRPr="5F4D41CA">
              <w:rPr>
                <w:rFonts w:eastAsia="Times New Roman" w:cs="Segoe UI"/>
                <w:sz w:val="20"/>
                <w:szCs w:val="20"/>
                <w:u w:val="single"/>
                <w:lang w:eastAsia="en-AU"/>
              </w:rPr>
              <w:t>:</w:t>
            </w:r>
          </w:p>
          <w:p w14:paraId="52B84354" w14:textId="5A3B4D7E" w:rsidR="006F6589" w:rsidRDefault="005E0498" w:rsidP="008505D7">
            <w:pPr>
              <w:pStyle w:val="ListParagraph"/>
              <w:numPr>
                <w:ilvl w:val="0"/>
                <w:numId w:val="75"/>
              </w:numPr>
              <w:spacing w:after="120"/>
              <w:ind w:left="274"/>
              <w:rPr>
                <w:rFonts w:eastAsia="Times New Roman" w:cs="Segoe UI"/>
                <w:kern w:val="24"/>
                <w:sz w:val="20"/>
                <w:szCs w:val="20"/>
                <w:lang w:eastAsia="en-AU"/>
              </w:rPr>
            </w:pPr>
            <w:r>
              <w:rPr>
                <w:rFonts w:eastAsia="Times New Roman" w:cs="Segoe UI"/>
                <w:kern w:val="24"/>
                <w:sz w:val="20"/>
                <w:szCs w:val="20"/>
                <w:lang w:eastAsia="en-AU"/>
              </w:rPr>
              <w:t xml:space="preserve">As above in </w:t>
            </w:r>
            <w:r w:rsidR="00450E15" w:rsidRPr="00DB623D">
              <w:rPr>
                <w:rFonts w:eastAsia="Times New Roman" w:cs="Segoe UI"/>
                <w:kern w:val="24"/>
                <w:sz w:val="20"/>
                <w:szCs w:val="20"/>
                <w:lang w:eastAsia="en-AU"/>
              </w:rPr>
              <w:t>Alternative</w:t>
            </w:r>
            <w:r w:rsidR="004C19CC" w:rsidRPr="00DB623D">
              <w:rPr>
                <w:rFonts w:eastAsia="Times New Roman" w:cs="Segoe UI"/>
                <w:kern w:val="24"/>
                <w:sz w:val="20"/>
                <w:szCs w:val="20"/>
                <w:lang w:eastAsia="en-AU"/>
              </w:rPr>
              <w:t xml:space="preserve"> option 1</w:t>
            </w:r>
            <w:r w:rsidR="006C4BC4">
              <w:rPr>
                <w:rFonts w:eastAsia="Times New Roman" w:cs="Segoe UI"/>
                <w:kern w:val="24"/>
                <w:sz w:val="20"/>
                <w:szCs w:val="20"/>
                <w:lang w:eastAsia="en-AU"/>
              </w:rPr>
              <w:t xml:space="preserve">, </w:t>
            </w:r>
            <w:r w:rsidR="007C336F">
              <w:rPr>
                <w:rFonts w:eastAsia="Times New Roman" w:cs="Segoe UI"/>
                <w:kern w:val="24"/>
                <w:sz w:val="20"/>
                <w:szCs w:val="20"/>
                <w:lang w:eastAsia="en-AU"/>
              </w:rPr>
              <w:t xml:space="preserve">for points 1 </w:t>
            </w:r>
            <w:r w:rsidR="00DB5007">
              <w:rPr>
                <w:rFonts w:eastAsia="Times New Roman" w:cs="Segoe UI"/>
                <w:kern w:val="24"/>
                <w:sz w:val="20"/>
                <w:szCs w:val="20"/>
                <w:lang w:eastAsia="en-AU"/>
              </w:rPr>
              <w:t>-</w:t>
            </w:r>
            <w:r w:rsidR="007C336F">
              <w:rPr>
                <w:rFonts w:eastAsia="Times New Roman" w:cs="Segoe UI"/>
                <w:kern w:val="24"/>
                <w:sz w:val="20"/>
                <w:szCs w:val="20"/>
                <w:lang w:eastAsia="en-AU"/>
              </w:rPr>
              <w:t xml:space="preserve"> 4</w:t>
            </w:r>
          </w:p>
          <w:p w14:paraId="3E921FBE" w14:textId="3C2290C5" w:rsidR="009643DC" w:rsidRPr="009D14F6" w:rsidRDefault="00DB5007" w:rsidP="008505D7">
            <w:pPr>
              <w:pStyle w:val="ListParagraph"/>
              <w:numPr>
                <w:ilvl w:val="0"/>
                <w:numId w:val="75"/>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Point 5 above in Alternative option 1 would change to</w:t>
            </w:r>
            <w:r w:rsidR="00A55296" w:rsidRPr="00DB623D">
              <w:rPr>
                <w:rFonts w:eastAsia="Times New Roman" w:cs="Segoe UI"/>
                <w:kern w:val="24"/>
                <w:sz w:val="20"/>
                <w:szCs w:val="20"/>
                <w:lang w:eastAsia="en-AU"/>
              </w:rPr>
              <w:t xml:space="preserve"> </w:t>
            </w:r>
            <w:r w:rsidR="005E4DD8" w:rsidRPr="00DB623D">
              <w:rPr>
                <w:rFonts w:eastAsia="Times New Roman" w:cs="Segoe UI"/>
                <w:kern w:val="24"/>
                <w:sz w:val="20"/>
                <w:szCs w:val="20"/>
                <w:lang w:eastAsia="en-AU"/>
              </w:rPr>
              <w:t>include</w:t>
            </w:r>
            <w:r w:rsidR="00146C08" w:rsidRPr="00DB623D">
              <w:rPr>
                <w:rFonts w:eastAsia="Times New Roman" w:cs="Segoe UI"/>
                <w:kern w:val="24"/>
                <w:sz w:val="20"/>
                <w:szCs w:val="20"/>
                <w:lang w:eastAsia="en-AU"/>
              </w:rPr>
              <w:t>,</w:t>
            </w:r>
            <w:r w:rsidRPr="00DB623D">
              <w:rPr>
                <w:rFonts w:eastAsia="Times New Roman" w:cs="Segoe UI"/>
                <w:kern w:val="24"/>
                <w:sz w:val="20"/>
                <w:szCs w:val="20"/>
                <w:lang w:eastAsia="en-AU"/>
              </w:rPr>
              <w:t xml:space="preserve"> </w:t>
            </w:r>
            <w:r w:rsidR="009643DC" w:rsidRPr="00DB623D">
              <w:rPr>
                <w:rFonts w:eastAsia="Times New Roman" w:cs="Segoe UI"/>
                <w:kern w:val="24"/>
                <w:sz w:val="20"/>
                <w:szCs w:val="20"/>
                <w:lang w:eastAsia="en-AU"/>
              </w:rPr>
              <w:t>where</w:t>
            </w:r>
            <w:r w:rsidR="009643DC" w:rsidRPr="009D14F6">
              <w:rPr>
                <w:rFonts w:eastAsia="Times New Roman" w:cs="Segoe UI"/>
                <w:kern w:val="24"/>
                <w:sz w:val="20"/>
                <w:szCs w:val="20"/>
                <w:lang w:eastAsia="en-AU"/>
              </w:rPr>
              <w:t xml:space="preserve"> </w:t>
            </w:r>
            <w:r w:rsidR="00154F2C">
              <w:rPr>
                <w:rFonts w:eastAsia="Times New Roman" w:cs="Segoe UI"/>
                <w:kern w:val="24"/>
                <w:sz w:val="20"/>
                <w:szCs w:val="20"/>
                <w:lang w:eastAsia="en-AU"/>
              </w:rPr>
              <w:t>an</w:t>
            </w:r>
            <w:r w:rsidR="009643DC" w:rsidRPr="009D14F6">
              <w:rPr>
                <w:rFonts w:eastAsia="Times New Roman" w:cs="Segoe UI"/>
                <w:kern w:val="24"/>
                <w:sz w:val="20"/>
                <w:szCs w:val="20"/>
                <w:lang w:eastAsia="en-AU"/>
              </w:rPr>
              <w:t xml:space="preserve"> application is not recommended, the </w:t>
            </w:r>
            <w:r w:rsidR="006C4BC4" w:rsidRPr="009D14F6">
              <w:rPr>
                <w:rFonts w:eastAsia="Times New Roman" w:cs="Segoe UI"/>
                <w:kern w:val="24"/>
                <w:sz w:val="20"/>
                <w:szCs w:val="20"/>
                <w:lang w:eastAsia="en-AU"/>
              </w:rPr>
              <w:t>s</w:t>
            </w:r>
            <w:r w:rsidR="009643DC" w:rsidRPr="009D14F6">
              <w:rPr>
                <w:rFonts w:eastAsia="Times New Roman" w:cs="Segoe UI"/>
                <w:kern w:val="24"/>
                <w:sz w:val="20"/>
                <w:szCs w:val="20"/>
                <w:lang w:eastAsia="en-AU"/>
              </w:rPr>
              <w:t xml:space="preserve">ponsor and the </w:t>
            </w:r>
            <w:r w:rsidR="004E4DB1">
              <w:rPr>
                <w:rFonts w:eastAsia="Times New Roman" w:cs="Segoe UI"/>
                <w:kern w:val="24"/>
                <w:sz w:val="20"/>
                <w:szCs w:val="20"/>
                <w:lang w:eastAsia="en-AU"/>
              </w:rPr>
              <w:t>D</w:t>
            </w:r>
            <w:r w:rsidR="009643DC" w:rsidRPr="009D14F6">
              <w:rPr>
                <w:rFonts w:eastAsia="Times New Roman" w:cs="Segoe UI"/>
                <w:kern w:val="24"/>
                <w:sz w:val="20"/>
                <w:szCs w:val="20"/>
                <w:lang w:eastAsia="en-AU"/>
              </w:rPr>
              <w:t>epartment will meet to determine future opportunities for resolution and criteria for future submissions</w:t>
            </w:r>
            <w:r w:rsidR="00154F2C">
              <w:rPr>
                <w:rFonts w:eastAsia="Times New Roman" w:cs="Segoe UI"/>
                <w:kern w:val="24"/>
                <w:sz w:val="20"/>
                <w:szCs w:val="20"/>
                <w:lang w:eastAsia="en-AU"/>
              </w:rPr>
              <w:t>.</w:t>
            </w:r>
          </w:p>
          <w:p w14:paraId="4CBCD5E1" w14:textId="40C54B6A" w:rsidR="009643DC" w:rsidRPr="003D7760" w:rsidRDefault="003D7760" w:rsidP="008C10BB">
            <w:pPr>
              <w:ind w:left="-84"/>
              <w:jc w:val="center"/>
              <w:rPr>
                <w:rFonts w:eastAsia="Times New Roman" w:cs="Segoe UI"/>
                <w:b/>
                <w:kern w:val="24"/>
                <w:sz w:val="20"/>
                <w:szCs w:val="20"/>
                <w:u w:val="single"/>
                <w:lang w:eastAsia="en-AU"/>
              </w:rPr>
            </w:pPr>
            <w:r w:rsidRPr="00706B33">
              <w:rPr>
                <w:rFonts w:eastAsia="Times New Roman" w:cs="Segoe UI"/>
                <w:b/>
                <w:kern w:val="24"/>
                <w:sz w:val="20"/>
                <w:szCs w:val="20"/>
                <w:u w:val="single"/>
                <w:lang w:eastAsia="en-AU"/>
              </w:rPr>
              <w:t>OR</w:t>
            </w:r>
          </w:p>
          <w:p w14:paraId="3FD35310" w14:textId="074A86C5" w:rsidR="00E02F17" w:rsidRPr="009D14F6" w:rsidRDefault="009A0729" w:rsidP="009D14F6">
            <w:pPr>
              <w:rPr>
                <w:rFonts w:eastAsia="Times New Roman" w:cs="Segoe UI"/>
                <w:kern w:val="24"/>
                <w:sz w:val="20"/>
                <w:szCs w:val="20"/>
                <w:u w:val="single"/>
                <w:lang w:eastAsia="en-AU"/>
              </w:rPr>
            </w:pPr>
            <w:r w:rsidRPr="00B54B3A">
              <w:rPr>
                <w:rFonts w:eastAsia="Times New Roman" w:cs="Segoe UI"/>
                <w:kern w:val="24"/>
                <w:sz w:val="20"/>
                <w:szCs w:val="20"/>
                <w:u w:val="single"/>
                <w:lang w:eastAsia="en-AU"/>
              </w:rPr>
              <w:t>Alternative option</w:t>
            </w:r>
            <w:r w:rsidRPr="009336E9">
              <w:rPr>
                <w:rFonts w:eastAsia="Times New Roman" w:cs="Segoe UI"/>
                <w:kern w:val="24"/>
                <w:sz w:val="20"/>
                <w:szCs w:val="20"/>
                <w:u w:val="single"/>
                <w:lang w:eastAsia="en-AU"/>
              </w:rPr>
              <w:t xml:space="preserve"> </w:t>
            </w:r>
            <w:r>
              <w:rPr>
                <w:rFonts w:eastAsia="Times New Roman" w:cs="Segoe UI"/>
                <w:kern w:val="24"/>
                <w:sz w:val="20"/>
                <w:szCs w:val="20"/>
                <w:u w:val="single"/>
                <w:lang w:eastAsia="en-AU"/>
              </w:rPr>
              <w:t xml:space="preserve">3: </w:t>
            </w:r>
            <w:r w:rsidR="00E02F17" w:rsidRPr="009D14F6">
              <w:rPr>
                <w:rFonts w:eastAsia="Times New Roman" w:cs="Segoe UI"/>
                <w:kern w:val="24"/>
                <w:sz w:val="20"/>
                <w:szCs w:val="20"/>
                <w:u w:val="single"/>
                <w:lang w:eastAsia="en-AU"/>
              </w:rPr>
              <w:t>Early Price negotiation</w:t>
            </w:r>
          </w:p>
          <w:p w14:paraId="6CBCDD04" w14:textId="1D2375B3" w:rsidR="00C31A5C" w:rsidRPr="00B06FAB" w:rsidRDefault="00C31A5C" w:rsidP="008505D7">
            <w:pPr>
              <w:pStyle w:val="ListParagraph"/>
              <w:numPr>
                <w:ilvl w:val="0"/>
                <w:numId w:val="136"/>
              </w:numPr>
              <w:spacing w:after="120"/>
              <w:ind w:left="215"/>
              <w:rPr>
                <w:rFonts w:eastAsia="Times New Roman" w:cs="Segoe UI"/>
                <w:kern w:val="24"/>
                <w:sz w:val="20"/>
                <w:szCs w:val="20"/>
                <w:lang w:eastAsia="en-AU"/>
              </w:rPr>
            </w:pPr>
            <w:r w:rsidRPr="00B06FAB">
              <w:rPr>
                <w:rFonts w:eastAsia="Times New Roman" w:cs="Segoe UI"/>
                <w:kern w:val="24"/>
                <w:sz w:val="20"/>
                <w:szCs w:val="20"/>
                <w:lang w:eastAsia="en-AU"/>
              </w:rPr>
              <w:t xml:space="preserve">As above in </w:t>
            </w:r>
            <w:r w:rsidR="0077532F" w:rsidRPr="00741386">
              <w:rPr>
                <w:rFonts w:eastAsia="Times New Roman" w:cs="Segoe UI"/>
                <w:kern w:val="24"/>
                <w:sz w:val="20"/>
                <w:szCs w:val="20"/>
                <w:lang w:eastAsia="en-AU"/>
              </w:rPr>
              <w:t>Alternative</w:t>
            </w:r>
            <w:r w:rsidRPr="00741386">
              <w:rPr>
                <w:rFonts w:eastAsia="Times New Roman" w:cs="Segoe UI"/>
                <w:kern w:val="24"/>
                <w:sz w:val="20"/>
                <w:szCs w:val="20"/>
                <w:lang w:eastAsia="en-AU"/>
              </w:rPr>
              <w:t xml:space="preserve"> Option 1</w:t>
            </w:r>
            <w:r w:rsidRPr="00B06FAB">
              <w:rPr>
                <w:rFonts w:eastAsia="Times New Roman" w:cs="Segoe UI"/>
                <w:kern w:val="24"/>
                <w:sz w:val="20"/>
                <w:szCs w:val="20"/>
                <w:u w:val="single"/>
                <w:lang w:eastAsia="en-AU"/>
              </w:rPr>
              <w:t>,</w:t>
            </w:r>
            <w:r w:rsidRPr="00B06FAB">
              <w:rPr>
                <w:rFonts w:eastAsia="Times New Roman" w:cs="Segoe UI"/>
                <w:kern w:val="24"/>
                <w:sz w:val="20"/>
                <w:szCs w:val="20"/>
                <w:lang w:eastAsia="en-AU"/>
              </w:rPr>
              <w:t xml:space="preserve"> however pricing negotiation</w:t>
            </w:r>
            <w:r w:rsidR="00452C21" w:rsidRPr="00B06FAB">
              <w:rPr>
                <w:rFonts w:eastAsia="Times New Roman" w:cs="Segoe UI"/>
                <w:kern w:val="24"/>
                <w:sz w:val="20"/>
                <w:szCs w:val="20"/>
                <w:lang w:eastAsia="en-AU"/>
              </w:rPr>
              <w:fldChar w:fldCharType="begin"/>
            </w:r>
            <w:r w:rsidR="00452C21">
              <w:instrText xml:space="preserve"> XE "</w:instrText>
            </w:r>
            <w:r w:rsidR="00452C21" w:rsidRPr="00B06FAB">
              <w:rPr>
                <w:rFonts w:eastAsia="Times New Roman" w:cs="Segoe UI"/>
                <w:kern w:val="24"/>
                <w:lang w:eastAsia="en-AU"/>
              </w:rPr>
              <w:instrText xml:space="preserve">price </w:instrText>
            </w:r>
            <w:proofErr w:type="spellStart"/>
            <w:r w:rsidR="00452C21" w:rsidRPr="00B06FAB">
              <w:rPr>
                <w:rFonts w:eastAsia="Times New Roman" w:cs="Segoe UI"/>
                <w:kern w:val="24"/>
                <w:lang w:eastAsia="en-AU"/>
              </w:rPr>
              <w:instrText>negotiation</w:instrText>
            </w:r>
            <w:r w:rsidR="00452C21" w:rsidRPr="00B06FAB">
              <w:rPr>
                <w:rFonts w:eastAsia="Times New Roman" w:cs="Segoe UI"/>
                <w:kern w:val="24"/>
              </w:rPr>
              <w:instrText>:</w:instrText>
            </w:r>
            <w:r w:rsidR="00452C21" w:rsidRPr="00936F31">
              <w:instrText>pricing</w:instrText>
            </w:r>
            <w:proofErr w:type="spellEnd"/>
            <w:r w:rsidR="00452C21" w:rsidRPr="00936F31">
              <w:instrText xml:space="preserve"> negotiation</w:instrText>
            </w:r>
            <w:r w:rsidR="00452C21">
              <w:instrText xml:space="preserve">" \b </w:instrText>
            </w:r>
            <w:r w:rsidR="00452C21" w:rsidRPr="00B06FAB">
              <w:rPr>
                <w:rFonts w:eastAsia="Times New Roman" w:cs="Segoe UI"/>
                <w:kern w:val="24"/>
                <w:sz w:val="20"/>
                <w:szCs w:val="20"/>
                <w:lang w:eastAsia="en-AU"/>
              </w:rPr>
              <w:fldChar w:fldCharType="end"/>
            </w:r>
            <w:r w:rsidRPr="00B06FAB">
              <w:rPr>
                <w:rFonts w:eastAsia="Times New Roman" w:cs="Segoe UI"/>
                <w:kern w:val="24"/>
                <w:sz w:val="20"/>
                <w:szCs w:val="20"/>
                <w:lang w:eastAsia="en-AU"/>
              </w:rPr>
              <w:t xml:space="preserve"> would (optionally) occur after the provision of early </w:t>
            </w:r>
            <w:r w:rsidR="005640D6">
              <w:rPr>
                <w:rFonts w:eastAsia="Times New Roman" w:cs="Segoe UI"/>
                <w:kern w:val="24"/>
                <w:sz w:val="20"/>
                <w:szCs w:val="20"/>
                <w:lang w:eastAsia="en-AU"/>
              </w:rPr>
              <w:t xml:space="preserve">PBAC </w:t>
            </w:r>
            <w:r w:rsidRPr="00B06FAB">
              <w:rPr>
                <w:rFonts w:eastAsia="Times New Roman" w:cs="Segoe UI"/>
                <w:kern w:val="24"/>
                <w:sz w:val="20"/>
                <w:szCs w:val="20"/>
                <w:lang w:eastAsia="en-AU"/>
              </w:rPr>
              <w:t>ESC advice, prior to HTA Committee consideration.</w:t>
            </w:r>
          </w:p>
          <w:p w14:paraId="78AC31F8" w14:textId="11448DB1" w:rsidR="00C81172" w:rsidRPr="00706B33" w:rsidRDefault="002A3CB4" w:rsidP="008C10BB">
            <w:pPr>
              <w:rPr>
                <w:rFonts w:eastAsia="Times New Roman" w:cs="Segoe UI"/>
                <w:kern w:val="24"/>
                <w:sz w:val="20"/>
                <w:szCs w:val="20"/>
                <w:lang w:eastAsia="en-AU"/>
              </w:rPr>
            </w:pPr>
            <w:proofErr w:type="gramStart"/>
            <w:r w:rsidRPr="0072137D">
              <w:rPr>
                <w:rFonts w:eastAsia="Times New Roman" w:cs="Segoe UI"/>
                <w:kern w:val="24"/>
                <w:sz w:val="20"/>
                <w:szCs w:val="20"/>
                <w:lang w:eastAsia="en-AU"/>
              </w:rPr>
              <w:t>In order to</w:t>
            </w:r>
            <w:proofErr w:type="gramEnd"/>
            <w:r w:rsidRPr="0072137D">
              <w:rPr>
                <w:rFonts w:eastAsia="Times New Roman" w:cs="Segoe UI"/>
                <w:kern w:val="24"/>
                <w:sz w:val="20"/>
                <w:szCs w:val="20"/>
                <w:lang w:eastAsia="en-AU"/>
              </w:rPr>
              <w:t xml:space="preserve"> provide greater certainty to PBAC and provide the ability to recommend/not recommend at the negotiated price, price negotiation</w:t>
            </w:r>
            <w:r w:rsidR="00182295">
              <w:rPr>
                <w:rFonts w:eastAsia="Times New Roman" w:cs="Segoe UI"/>
                <w:kern w:val="24"/>
                <w:sz w:val="20"/>
                <w:szCs w:val="20"/>
                <w:lang w:eastAsia="en-AU"/>
              </w:rPr>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rPr>
                <w:rFonts w:eastAsia="Times New Roman" w:cs="Segoe UI"/>
                <w:kern w:val="24"/>
                <w:sz w:val="20"/>
                <w:szCs w:val="20"/>
                <w:lang w:eastAsia="en-AU"/>
              </w:rPr>
              <w:fldChar w:fldCharType="end"/>
            </w:r>
            <w:r w:rsidRPr="0072137D">
              <w:rPr>
                <w:rFonts w:eastAsia="Times New Roman" w:cs="Segoe UI"/>
                <w:kern w:val="24"/>
                <w:sz w:val="20"/>
                <w:szCs w:val="20"/>
                <w:lang w:eastAsia="en-AU"/>
              </w:rPr>
              <w:t xml:space="preserve"> could be included earlier in the evaluation cycle. Advice from the ESC would more actively indicate to sponsors and the Department that the product is unlikely to be considered cost-effective at the proposed price; this would serve as a trigger for price negotiations to be conducted concurrently</w:t>
            </w:r>
            <w:r w:rsidR="008B4138" w:rsidRPr="00706B33">
              <w:rPr>
                <w:rFonts w:eastAsia="Times New Roman" w:cs="Segoe UI"/>
                <w:kern w:val="24"/>
                <w:sz w:val="20"/>
                <w:szCs w:val="20"/>
                <w:lang w:eastAsia="en-AU"/>
              </w:rPr>
              <w:t xml:space="preserve">. </w:t>
            </w:r>
            <w:r w:rsidR="00001333" w:rsidRPr="00706B33">
              <w:rPr>
                <w:rFonts w:eastAsia="Times New Roman" w:cs="Segoe UI"/>
                <w:kern w:val="24"/>
                <w:sz w:val="20"/>
                <w:szCs w:val="20"/>
                <w:lang w:eastAsia="en-AU"/>
              </w:rPr>
              <w:t xml:space="preserve">Additionally, as the negotiated price would be included in the economic model at the time of consideration PBAC can have greater certainty in its decision-making. </w:t>
            </w:r>
          </w:p>
          <w:p w14:paraId="0310119C" w14:textId="77777777" w:rsidR="00C81172" w:rsidRPr="00706B33" w:rsidRDefault="00C81172" w:rsidP="008C10BB">
            <w:pPr>
              <w:spacing w:after="0"/>
              <w:ind w:left="-84"/>
              <w:jc w:val="center"/>
              <w:rPr>
                <w:rFonts w:eastAsia="Times New Roman" w:cs="Segoe UI"/>
                <w:b/>
                <w:kern w:val="24"/>
                <w:sz w:val="20"/>
                <w:szCs w:val="20"/>
                <w:u w:val="single"/>
                <w:lang w:eastAsia="en-AU"/>
              </w:rPr>
            </w:pPr>
            <w:r w:rsidRPr="00706B33">
              <w:rPr>
                <w:rFonts w:eastAsia="Times New Roman" w:cs="Segoe UI"/>
                <w:b/>
                <w:kern w:val="24"/>
                <w:sz w:val="20"/>
                <w:szCs w:val="20"/>
                <w:u w:val="single"/>
                <w:lang w:eastAsia="en-AU"/>
              </w:rPr>
              <w:lastRenderedPageBreak/>
              <w:t>OR</w:t>
            </w:r>
          </w:p>
          <w:p w14:paraId="47164C0C" w14:textId="77777777" w:rsidR="00C81172" w:rsidRPr="00706B33" w:rsidRDefault="00C81172" w:rsidP="008C10BB">
            <w:pPr>
              <w:spacing w:after="0"/>
              <w:ind w:left="-84"/>
              <w:rPr>
                <w:rFonts w:eastAsia="Times New Roman" w:cs="Segoe UI"/>
                <w:b/>
                <w:kern w:val="24"/>
                <w:sz w:val="20"/>
                <w:szCs w:val="20"/>
                <w:u w:val="single"/>
                <w:lang w:eastAsia="en-AU"/>
              </w:rPr>
            </w:pPr>
          </w:p>
          <w:p w14:paraId="7AB5B174" w14:textId="3DF228DB" w:rsidR="00C81172" w:rsidRPr="009D14F6" w:rsidRDefault="002037A1" w:rsidP="009D14F6">
            <w:pPr>
              <w:rPr>
                <w:rFonts w:eastAsia="Times New Roman" w:cs="Segoe UI"/>
                <w:kern w:val="24"/>
                <w:sz w:val="20"/>
                <w:szCs w:val="20"/>
                <w:u w:val="single"/>
                <w:lang w:eastAsia="en-AU"/>
              </w:rPr>
            </w:pPr>
            <w:r w:rsidRPr="002037A1">
              <w:rPr>
                <w:rFonts w:eastAsia="Times New Roman" w:cs="Segoe UI"/>
                <w:kern w:val="24"/>
                <w:sz w:val="20"/>
                <w:szCs w:val="20"/>
                <w:u w:val="single"/>
                <w:lang w:eastAsia="en-AU"/>
              </w:rPr>
              <w:t xml:space="preserve">Alternative option 4: </w:t>
            </w:r>
            <w:r w:rsidR="00A4410C" w:rsidRPr="009D14F6">
              <w:rPr>
                <w:rFonts w:eastAsia="Times New Roman" w:cs="Segoe UI"/>
                <w:kern w:val="24"/>
                <w:sz w:val="20"/>
                <w:szCs w:val="20"/>
                <w:u w:val="single"/>
                <w:lang w:eastAsia="en-AU"/>
              </w:rPr>
              <w:t xml:space="preserve">Introducing an optional resolution step </w:t>
            </w:r>
            <w:r w:rsidR="00A4410C" w:rsidRPr="009D14F6">
              <w:rPr>
                <w:rFonts w:eastAsia="Times New Roman" w:cs="Segoe UI"/>
                <w:b/>
                <w:kern w:val="24"/>
                <w:sz w:val="20"/>
                <w:szCs w:val="20"/>
                <w:u w:val="single"/>
                <w:lang w:eastAsia="en-AU"/>
              </w:rPr>
              <w:t>after</w:t>
            </w:r>
            <w:r w:rsidR="00A4410C" w:rsidRPr="009D14F6">
              <w:rPr>
                <w:rFonts w:eastAsia="Times New Roman" w:cs="Segoe UI"/>
                <w:kern w:val="24"/>
                <w:sz w:val="20"/>
                <w:szCs w:val="20"/>
                <w:u w:val="single"/>
                <w:lang w:eastAsia="en-AU"/>
              </w:rPr>
              <w:t xml:space="preserve"> HTA committee consideration</w:t>
            </w:r>
            <w:r w:rsidR="009E3AC2" w:rsidRPr="009D14F6">
              <w:rPr>
                <w:rFonts w:eastAsia="Times New Roman" w:cs="Segoe UI"/>
                <w:kern w:val="24"/>
                <w:sz w:val="20"/>
                <w:szCs w:val="20"/>
                <w:u w:val="single"/>
                <w:lang w:eastAsia="en-AU"/>
              </w:rPr>
              <w:t xml:space="preserve"> but </w:t>
            </w:r>
            <w:r w:rsidR="009E3AC2" w:rsidRPr="009D14F6">
              <w:rPr>
                <w:rFonts w:eastAsia="Times New Roman" w:cs="Segoe UI"/>
                <w:b/>
                <w:kern w:val="24"/>
                <w:sz w:val="20"/>
                <w:szCs w:val="20"/>
                <w:u w:val="single"/>
                <w:lang w:eastAsia="en-AU"/>
              </w:rPr>
              <w:t>before</w:t>
            </w:r>
            <w:r w:rsidR="009E3AC2" w:rsidRPr="009D14F6">
              <w:rPr>
                <w:rFonts w:eastAsia="Times New Roman" w:cs="Segoe UI"/>
                <w:kern w:val="24"/>
                <w:sz w:val="20"/>
                <w:szCs w:val="20"/>
                <w:u w:val="single"/>
                <w:lang w:eastAsia="en-AU"/>
              </w:rPr>
              <w:t xml:space="preserve"> advice is </w:t>
            </w:r>
            <w:proofErr w:type="gramStart"/>
            <w:r w:rsidR="009E3AC2" w:rsidRPr="009D14F6">
              <w:rPr>
                <w:rFonts w:eastAsia="Times New Roman" w:cs="Segoe UI"/>
                <w:kern w:val="24"/>
                <w:sz w:val="20"/>
                <w:szCs w:val="20"/>
                <w:u w:val="single"/>
                <w:lang w:eastAsia="en-AU"/>
              </w:rPr>
              <w:t>finalised</w:t>
            </w:r>
            <w:proofErr w:type="gramEnd"/>
          </w:p>
          <w:p w14:paraId="1B611132" w14:textId="298062A2" w:rsidR="00606B02" w:rsidRPr="00741386" w:rsidRDefault="00606B02" w:rsidP="008505D7">
            <w:pPr>
              <w:pStyle w:val="ListParagraph"/>
              <w:numPr>
                <w:ilvl w:val="0"/>
                <w:numId w:val="76"/>
              </w:numPr>
              <w:spacing w:after="120"/>
              <w:ind w:left="274"/>
              <w:rPr>
                <w:rFonts w:eastAsia="Times New Roman" w:cs="Segoe UI"/>
                <w:kern w:val="24"/>
                <w:sz w:val="20"/>
                <w:szCs w:val="20"/>
                <w:lang w:eastAsia="en-AU"/>
              </w:rPr>
            </w:pPr>
            <w:r w:rsidRPr="00741386">
              <w:rPr>
                <w:rFonts w:eastAsia="Times New Roman" w:cs="Segoe UI"/>
                <w:kern w:val="24"/>
                <w:sz w:val="20"/>
                <w:szCs w:val="20"/>
                <w:lang w:eastAsia="en-AU"/>
              </w:rPr>
              <w:t xml:space="preserve">After the </w:t>
            </w:r>
            <w:r w:rsidR="00E202A9" w:rsidRPr="00741386">
              <w:rPr>
                <w:rFonts w:eastAsia="Times New Roman" w:cs="Segoe UI"/>
                <w:kern w:val="24"/>
                <w:sz w:val="20"/>
                <w:szCs w:val="20"/>
                <w:lang w:eastAsia="en-AU"/>
              </w:rPr>
              <w:t>HTA committee has considered the submission</w:t>
            </w:r>
            <w:r w:rsidR="00401A1E" w:rsidRPr="00741386">
              <w:rPr>
                <w:rFonts w:eastAsia="Times New Roman" w:cs="Segoe UI"/>
                <w:kern w:val="24"/>
                <w:sz w:val="20"/>
                <w:szCs w:val="20"/>
                <w:lang w:eastAsia="en-AU"/>
              </w:rPr>
              <w:t>, the sponsor is provided information on a provisional negative recommendation by the HTA co</w:t>
            </w:r>
            <w:r w:rsidR="000276E8" w:rsidRPr="00741386">
              <w:rPr>
                <w:rFonts w:eastAsia="Times New Roman" w:cs="Segoe UI"/>
                <w:kern w:val="24"/>
                <w:sz w:val="20"/>
                <w:szCs w:val="20"/>
                <w:lang w:eastAsia="en-AU"/>
              </w:rPr>
              <w:t>mmittee and</w:t>
            </w:r>
            <w:r w:rsidR="00B7792A" w:rsidRPr="00741386">
              <w:rPr>
                <w:rFonts w:eastAsia="Times New Roman" w:cs="Segoe UI"/>
                <w:kern w:val="24"/>
                <w:sz w:val="20"/>
                <w:szCs w:val="20"/>
                <w:lang w:eastAsia="en-AU"/>
              </w:rPr>
              <w:t xml:space="preserve"> the option to either:</w:t>
            </w:r>
          </w:p>
          <w:p w14:paraId="157C7943" w14:textId="3EEBAB5A" w:rsidR="00B7792A" w:rsidRPr="00741386" w:rsidRDefault="00912327" w:rsidP="008505D7">
            <w:pPr>
              <w:pStyle w:val="ListParagraph"/>
              <w:numPr>
                <w:ilvl w:val="0"/>
                <w:numId w:val="77"/>
              </w:numPr>
              <w:spacing w:after="0"/>
              <w:ind w:left="782" w:hanging="425"/>
              <w:rPr>
                <w:rFonts w:eastAsia="Times New Roman" w:cs="Segoe UI"/>
                <w:color w:val="222A35"/>
                <w:kern w:val="24"/>
                <w:sz w:val="20"/>
                <w:szCs w:val="20"/>
                <w:lang w:eastAsia="en-AU"/>
              </w:rPr>
            </w:pPr>
            <w:r w:rsidRPr="00741386">
              <w:rPr>
                <w:rFonts w:eastAsia="Times New Roman" w:cs="Segoe UI"/>
                <w:color w:val="222A35"/>
                <w:kern w:val="24"/>
                <w:sz w:val="20"/>
                <w:szCs w:val="20"/>
                <w:lang w:eastAsia="en-AU"/>
              </w:rPr>
              <w:t>undertake a resolution process to address identified deficiencies/technical concerns under a set/time-limited period (</w:t>
            </w:r>
            <w:proofErr w:type="gramStart"/>
            <w:r w:rsidRPr="00741386">
              <w:rPr>
                <w:rFonts w:eastAsia="Times New Roman" w:cs="Segoe UI"/>
                <w:color w:val="222A35"/>
                <w:kern w:val="24"/>
                <w:sz w:val="20"/>
                <w:szCs w:val="20"/>
                <w:lang w:eastAsia="en-AU"/>
              </w:rPr>
              <w:t>e.g.</w:t>
            </w:r>
            <w:proofErr w:type="gramEnd"/>
            <w:r w:rsidRPr="00741386">
              <w:rPr>
                <w:rFonts w:eastAsia="Times New Roman" w:cs="Segoe UI"/>
                <w:color w:val="222A35"/>
                <w:kern w:val="24"/>
                <w:sz w:val="20"/>
                <w:szCs w:val="20"/>
                <w:lang w:eastAsia="en-AU"/>
              </w:rPr>
              <w:t xml:space="preserve"> up to maximum of one HTA cycle length of ~17 weeks), </w:t>
            </w:r>
            <w:r w:rsidR="00E202A9" w:rsidRPr="00741386">
              <w:rPr>
                <w:rFonts w:eastAsia="Times New Roman" w:cs="Segoe UI"/>
                <w:color w:val="222A35"/>
                <w:kern w:val="24"/>
                <w:sz w:val="20"/>
                <w:szCs w:val="20"/>
                <w:lang w:eastAsia="en-AU"/>
              </w:rPr>
              <w:t>before</w:t>
            </w:r>
            <w:r w:rsidRPr="00741386">
              <w:rPr>
                <w:rFonts w:eastAsia="Times New Roman" w:cs="Segoe UI"/>
                <w:color w:val="222A35"/>
                <w:kern w:val="24"/>
                <w:sz w:val="20"/>
                <w:szCs w:val="20"/>
                <w:lang w:eastAsia="en-AU"/>
              </w:rPr>
              <w:t xml:space="preserve"> progressing to</w:t>
            </w:r>
            <w:r w:rsidR="00E202A9" w:rsidRPr="00741386">
              <w:rPr>
                <w:rFonts w:eastAsia="Times New Roman" w:cs="Segoe UI"/>
                <w:color w:val="222A35"/>
                <w:kern w:val="24"/>
                <w:sz w:val="20"/>
                <w:szCs w:val="20"/>
                <w:lang w:eastAsia="en-AU"/>
              </w:rPr>
              <w:t xml:space="preserve"> the</w:t>
            </w:r>
            <w:r w:rsidRPr="00741386">
              <w:rPr>
                <w:rFonts w:eastAsia="Times New Roman" w:cs="Segoe UI"/>
                <w:color w:val="222A35"/>
                <w:kern w:val="24"/>
                <w:sz w:val="20"/>
                <w:szCs w:val="20"/>
                <w:lang w:eastAsia="en-AU"/>
              </w:rPr>
              <w:t xml:space="preserve"> HTA Committee for a second consideration</w:t>
            </w:r>
            <w:r w:rsidR="004F65B7" w:rsidRPr="00741386">
              <w:rPr>
                <w:rFonts w:eastAsia="Times New Roman" w:cs="Segoe UI"/>
                <w:color w:val="222A35"/>
                <w:kern w:val="24"/>
                <w:sz w:val="20"/>
                <w:szCs w:val="20"/>
                <w:lang w:eastAsia="en-AU"/>
              </w:rPr>
              <w:t xml:space="preserve">, or </w:t>
            </w:r>
          </w:p>
          <w:p w14:paraId="6E53BC93" w14:textId="6FFC4E18" w:rsidR="00205A50" w:rsidRPr="00741386" w:rsidRDefault="00B421D1" w:rsidP="008505D7">
            <w:pPr>
              <w:pStyle w:val="ListParagraph"/>
              <w:numPr>
                <w:ilvl w:val="0"/>
                <w:numId w:val="77"/>
              </w:numPr>
              <w:spacing w:after="0"/>
              <w:ind w:left="782" w:hanging="425"/>
              <w:rPr>
                <w:rFonts w:eastAsia="Times New Roman" w:cs="Segoe UI"/>
                <w:color w:val="222A35"/>
                <w:kern w:val="24"/>
                <w:sz w:val="20"/>
                <w:szCs w:val="20"/>
                <w:lang w:eastAsia="en-AU"/>
              </w:rPr>
            </w:pPr>
            <w:r w:rsidRPr="00741386">
              <w:rPr>
                <w:rFonts w:eastAsia="Times New Roman" w:cs="Segoe UI"/>
                <w:color w:val="222A35"/>
                <w:kern w:val="24"/>
                <w:sz w:val="20"/>
                <w:szCs w:val="20"/>
                <w:lang w:eastAsia="en-AU"/>
              </w:rPr>
              <w:t xml:space="preserve">agree to </w:t>
            </w:r>
            <w:r w:rsidR="00E202A9" w:rsidRPr="00741386">
              <w:rPr>
                <w:rFonts w:eastAsia="Times New Roman" w:cs="Segoe UI"/>
                <w:color w:val="222A35"/>
                <w:kern w:val="24"/>
                <w:sz w:val="20"/>
                <w:szCs w:val="20"/>
                <w:lang w:eastAsia="en-AU"/>
              </w:rPr>
              <w:t>ratify the negative recommendation and exit</w:t>
            </w:r>
            <w:r w:rsidRPr="00741386">
              <w:rPr>
                <w:rFonts w:eastAsia="Times New Roman" w:cs="Segoe UI"/>
                <w:color w:val="222A35"/>
                <w:kern w:val="24"/>
                <w:sz w:val="20"/>
                <w:szCs w:val="20"/>
                <w:lang w:eastAsia="en-AU"/>
              </w:rPr>
              <w:t xml:space="preserve"> the HTA cycle.</w:t>
            </w:r>
          </w:p>
          <w:p w14:paraId="5852FB8A" w14:textId="3D4CD4EC" w:rsidR="0022328A" w:rsidRPr="00741386" w:rsidRDefault="00205A50" w:rsidP="008505D7">
            <w:pPr>
              <w:pStyle w:val="ListParagraph"/>
              <w:numPr>
                <w:ilvl w:val="0"/>
                <w:numId w:val="76"/>
              </w:numPr>
              <w:spacing w:after="120"/>
              <w:ind w:left="274"/>
              <w:rPr>
                <w:rFonts w:eastAsia="Times New Roman" w:cs="Segoe UI"/>
                <w:kern w:val="24"/>
                <w:sz w:val="20"/>
                <w:szCs w:val="20"/>
                <w:lang w:eastAsia="en-AU"/>
              </w:rPr>
            </w:pPr>
            <w:r w:rsidRPr="00741386">
              <w:rPr>
                <w:rFonts w:eastAsia="Times New Roman" w:cs="Segoe UI"/>
                <w:kern w:val="24"/>
                <w:sz w:val="20"/>
                <w:szCs w:val="20"/>
                <w:lang w:eastAsia="en-AU"/>
              </w:rPr>
              <w:t xml:space="preserve">With this approach, the relevant </w:t>
            </w:r>
            <w:r w:rsidR="0092637E" w:rsidRPr="00741386">
              <w:rPr>
                <w:rFonts w:eastAsia="Times New Roman" w:cs="Segoe UI"/>
                <w:kern w:val="24"/>
                <w:sz w:val="20"/>
                <w:szCs w:val="20"/>
                <w:lang w:eastAsia="en-AU"/>
              </w:rPr>
              <w:t xml:space="preserve">advisory committee members, </w:t>
            </w:r>
            <w:r w:rsidRPr="00741386">
              <w:rPr>
                <w:rFonts w:eastAsia="Times New Roman" w:cs="Segoe UI"/>
                <w:kern w:val="24"/>
                <w:sz w:val="20"/>
                <w:szCs w:val="20"/>
                <w:lang w:eastAsia="en-AU"/>
              </w:rPr>
              <w:t xml:space="preserve">evaluators, Departmental </w:t>
            </w:r>
            <w:proofErr w:type="gramStart"/>
            <w:r w:rsidRPr="00741386">
              <w:rPr>
                <w:rFonts w:eastAsia="Times New Roman" w:cs="Segoe UI"/>
                <w:kern w:val="24"/>
                <w:sz w:val="20"/>
                <w:szCs w:val="20"/>
                <w:lang w:eastAsia="en-AU"/>
              </w:rPr>
              <w:t>staff</w:t>
            </w:r>
            <w:proofErr w:type="gramEnd"/>
            <w:r w:rsidRPr="00741386">
              <w:rPr>
                <w:rFonts w:eastAsia="Times New Roman" w:cs="Segoe UI"/>
                <w:kern w:val="24"/>
                <w:sz w:val="20"/>
                <w:szCs w:val="20"/>
                <w:lang w:eastAsia="en-AU"/>
              </w:rPr>
              <w:t xml:space="preserve"> and the sponsor would meet and work towards</w:t>
            </w:r>
            <w:r w:rsidR="0092637E" w:rsidRPr="00741386">
              <w:rPr>
                <w:rFonts w:eastAsia="Times New Roman" w:cs="Segoe UI"/>
                <w:kern w:val="24"/>
                <w:sz w:val="20"/>
                <w:szCs w:val="20"/>
                <w:lang w:eastAsia="en-AU"/>
              </w:rPr>
              <w:t xml:space="preserve"> addressing deficiencie</w:t>
            </w:r>
            <w:r w:rsidR="00F04CE9" w:rsidRPr="00741386">
              <w:rPr>
                <w:rFonts w:eastAsia="Times New Roman" w:cs="Segoe UI"/>
                <w:kern w:val="24"/>
                <w:sz w:val="20"/>
                <w:szCs w:val="20"/>
                <w:lang w:eastAsia="en-AU"/>
              </w:rPr>
              <w:t>s</w:t>
            </w:r>
            <w:r w:rsidR="004E12CB" w:rsidRPr="00741386">
              <w:rPr>
                <w:rFonts w:eastAsia="Times New Roman" w:cs="Segoe UI"/>
                <w:kern w:val="24"/>
                <w:sz w:val="20"/>
                <w:szCs w:val="20"/>
                <w:lang w:eastAsia="en-AU"/>
              </w:rPr>
              <w:t xml:space="preserve"> / technical concerns</w:t>
            </w:r>
            <w:r w:rsidR="00FE28B2" w:rsidRPr="00741386">
              <w:rPr>
                <w:rFonts w:eastAsia="Times New Roman" w:cs="Segoe UI"/>
                <w:kern w:val="24"/>
                <w:sz w:val="20"/>
                <w:szCs w:val="20"/>
                <w:lang w:eastAsia="en-AU"/>
              </w:rPr>
              <w:t xml:space="preserve">. </w:t>
            </w:r>
          </w:p>
          <w:p w14:paraId="16ABD8A7" w14:textId="39C2B0D6" w:rsidR="00FE28B2" w:rsidRPr="00741386" w:rsidRDefault="008A491D" w:rsidP="008505D7">
            <w:pPr>
              <w:pStyle w:val="ListParagraph"/>
              <w:numPr>
                <w:ilvl w:val="0"/>
                <w:numId w:val="76"/>
              </w:numPr>
              <w:spacing w:after="120"/>
              <w:ind w:left="274"/>
              <w:rPr>
                <w:rFonts w:eastAsia="Times New Roman" w:cs="Segoe UI"/>
                <w:kern w:val="24"/>
                <w:sz w:val="20"/>
                <w:szCs w:val="20"/>
                <w:lang w:eastAsia="en-AU"/>
              </w:rPr>
            </w:pPr>
            <w:r w:rsidRPr="00741386">
              <w:rPr>
                <w:rFonts w:eastAsia="Times New Roman" w:cs="Segoe UI"/>
                <w:kern w:val="24"/>
                <w:sz w:val="20"/>
                <w:szCs w:val="20"/>
                <w:lang w:eastAsia="en-AU"/>
              </w:rPr>
              <w:t>Following</w:t>
            </w:r>
            <w:r w:rsidR="00FE28B2" w:rsidRPr="00741386">
              <w:rPr>
                <w:rFonts w:eastAsia="Times New Roman" w:cs="Segoe UI"/>
                <w:kern w:val="24"/>
                <w:sz w:val="20"/>
                <w:szCs w:val="20"/>
                <w:lang w:eastAsia="en-AU"/>
              </w:rPr>
              <w:t xml:space="preserve"> the resolution process</w:t>
            </w:r>
            <w:r w:rsidRPr="00741386">
              <w:rPr>
                <w:rFonts w:eastAsia="Times New Roman" w:cs="Segoe UI"/>
                <w:kern w:val="24"/>
                <w:sz w:val="20"/>
                <w:szCs w:val="20"/>
                <w:lang w:eastAsia="en-AU"/>
              </w:rPr>
              <w:t>,</w:t>
            </w:r>
            <w:r w:rsidR="00FE28B2" w:rsidRPr="00741386">
              <w:rPr>
                <w:rFonts w:eastAsia="Times New Roman" w:cs="Segoe UI"/>
                <w:kern w:val="24"/>
                <w:sz w:val="20"/>
                <w:szCs w:val="20"/>
                <w:lang w:eastAsia="en-AU"/>
              </w:rPr>
              <w:t xml:space="preserve"> the submission would go to </w:t>
            </w:r>
            <w:r w:rsidRPr="00741386">
              <w:rPr>
                <w:rFonts w:eastAsia="Times New Roman" w:cs="Segoe UI"/>
                <w:kern w:val="24"/>
                <w:sz w:val="20"/>
                <w:szCs w:val="20"/>
                <w:lang w:eastAsia="en-AU"/>
              </w:rPr>
              <w:t>the HTA committee</w:t>
            </w:r>
            <w:r w:rsidR="00FE28B2" w:rsidRPr="00741386">
              <w:rPr>
                <w:rFonts w:eastAsia="Times New Roman" w:cs="Segoe UI"/>
                <w:kern w:val="24"/>
                <w:sz w:val="20"/>
                <w:szCs w:val="20"/>
                <w:lang w:eastAsia="en-AU"/>
              </w:rPr>
              <w:t xml:space="preserve"> where a recommendation to the </w:t>
            </w:r>
            <w:r w:rsidR="00C9135C" w:rsidRPr="00741386">
              <w:rPr>
                <w:rFonts w:eastAsia="Times New Roman" w:cs="Segoe UI"/>
                <w:kern w:val="24"/>
                <w:sz w:val="20"/>
                <w:szCs w:val="20"/>
                <w:lang w:eastAsia="en-AU"/>
              </w:rPr>
              <w:t>M</w:t>
            </w:r>
            <w:r w:rsidR="00FE28B2" w:rsidRPr="00741386">
              <w:rPr>
                <w:rFonts w:eastAsia="Times New Roman" w:cs="Segoe UI"/>
                <w:kern w:val="24"/>
                <w:sz w:val="20"/>
                <w:szCs w:val="20"/>
                <w:lang w:eastAsia="en-AU"/>
              </w:rPr>
              <w:t xml:space="preserve">inister would be made regarding the listing. </w:t>
            </w:r>
          </w:p>
          <w:p w14:paraId="5329390A" w14:textId="6EED2C89" w:rsidR="00E15B5E" w:rsidRPr="00741386" w:rsidRDefault="00E15B5E" w:rsidP="008505D7">
            <w:pPr>
              <w:pStyle w:val="ListParagraph"/>
              <w:numPr>
                <w:ilvl w:val="0"/>
                <w:numId w:val="76"/>
              </w:numPr>
              <w:spacing w:after="120"/>
              <w:ind w:left="274"/>
              <w:rPr>
                <w:rFonts w:eastAsia="Times New Roman" w:cs="Segoe UI"/>
                <w:kern w:val="24"/>
                <w:sz w:val="20"/>
                <w:szCs w:val="20"/>
                <w:lang w:eastAsia="en-AU"/>
              </w:rPr>
            </w:pPr>
            <w:r w:rsidRPr="00741386">
              <w:rPr>
                <w:rFonts w:eastAsia="Times New Roman" w:cs="Segoe UI"/>
                <w:kern w:val="24"/>
                <w:sz w:val="20"/>
                <w:szCs w:val="20"/>
                <w:lang w:eastAsia="en-AU"/>
              </w:rPr>
              <w:t xml:space="preserve">This would be a time limited process running contemporaneously </w:t>
            </w:r>
            <w:r w:rsidR="00E202A9" w:rsidRPr="00741386">
              <w:rPr>
                <w:rFonts w:eastAsia="Times New Roman" w:cs="Segoe UI"/>
                <w:kern w:val="24"/>
                <w:sz w:val="20"/>
                <w:szCs w:val="20"/>
                <w:lang w:eastAsia="en-AU"/>
              </w:rPr>
              <w:t>with</w:t>
            </w:r>
            <w:r w:rsidRPr="00741386">
              <w:rPr>
                <w:rFonts w:eastAsia="Times New Roman" w:cs="Segoe UI"/>
                <w:kern w:val="24"/>
                <w:sz w:val="20"/>
                <w:szCs w:val="20"/>
                <w:lang w:eastAsia="en-AU"/>
              </w:rPr>
              <w:t xml:space="preserve"> the TGA assessment</w:t>
            </w:r>
            <w:r w:rsidR="00E202A9" w:rsidRPr="00741386">
              <w:rPr>
                <w:rFonts w:eastAsia="Times New Roman" w:cs="Segoe UI"/>
                <w:kern w:val="24"/>
                <w:sz w:val="20"/>
                <w:szCs w:val="20"/>
                <w:lang w:eastAsia="en-AU"/>
              </w:rPr>
              <w:t>,</w:t>
            </w:r>
            <w:r w:rsidRPr="00741386">
              <w:rPr>
                <w:rFonts w:eastAsia="Times New Roman" w:cs="Segoe UI"/>
                <w:kern w:val="24"/>
                <w:sz w:val="20"/>
                <w:szCs w:val="20"/>
                <w:lang w:eastAsia="en-AU"/>
              </w:rPr>
              <w:t xml:space="preserve"> resulting</w:t>
            </w:r>
            <w:r w:rsidR="00E202A9" w:rsidRPr="00741386">
              <w:rPr>
                <w:rFonts w:eastAsia="Times New Roman" w:cs="Segoe UI"/>
                <w:kern w:val="24"/>
                <w:sz w:val="20"/>
                <w:szCs w:val="20"/>
                <w:lang w:eastAsia="en-AU"/>
              </w:rPr>
              <w:t xml:space="preserve"> in</w:t>
            </w:r>
            <w:r w:rsidRPr="00741386">
              <w:rPr>
                <w:rFonts w:eastAsia="Times New Roman" w:cs="Segoe UI"/>
                <w:kern w:val="24"/>
                <w:sz w:val="20"/>
                <w:szCs w:val="20"/>
                <w:lang w:eastAsia="en-AU"/>
              </w:rPr>
              <w:t xml:space="preserve"> </w:t>
            </w:r>
            <w:r w:rsidR="004157F9" w:rsidRPr="00741386">
              <w:rPr>
                <w:rFonts w:eastAsia="Times New Roman" w:cs="Segoe UI"/>
                <w:kern w:val="24"/>
                <w:sz w:val="20"/>
                <w:szCs w:val="20"/>
                <w:lang w:eastAsia="en-AU"/>
              </w:rPr>
              <w:t>expedited</w:t>
            </w:r>
            <w:r w:rsidRPr="00741386">
              <w:rPr>
                <w:rFonts w:eastAsia="Times New Roman" w:cs="Segoe UI"/>
                <w:kern w:val="24"/>
                <w:sz w:val="20"/>
                <w:szCs w:val="20"/>
                <w:lang w:eastAsia="en-AU"/>
              </w:rPr>
              <w:t xml:space="preserve"> access.</w:t>
            </w:r>
          </w:p>
          <w:p w14:paraId="49D8215C" w14:textId="7EF212E4" w:rsidR="00312492" w:rsidRPr="002A3CB4" w:rsidRDefault="00E15B5E" w:rsidP="008505D7">
            <w:pPr>
              <w:pStyle w:val="ListParagraph"/>
              <w:numPr>
                <w:ilvl w:val="0"/>
                <w:numId w:val="76"/>
              </w:numPr>
              <w:spacing w:after="120"/>
              <w:ind w:left="274"/>
              <w:rPr>
                <w:rFonts w:eastAsia="Times New Roman" w:cs="Segoe UI"/>
                <w:b/>
                <w:kern w:val="24"/>
                <w:sz w:val="20"/>
                <w:szCs w:val="20"/>
                <w:u w:val="single"/>
                <w:lang w:eastAsia="en-AU"/>
              </w:rPr>
            </w:pPr>
            <w:r w:rsidRPr="00741386">
              <w:rPr>
                <w:rFonts w:eastAsia="Times New Roman" w:cs="Segoe UI"/>
                <w:kern w:val="24"/>
                <w:sz w:val="20"/>
                <w:szCs w:val="20"/>
                <w:lang w:eastAsia="en-AU"/>
              </w:rPr>
              <w:t xml:space="preserve">If the application is not recommended the second time it is considered by the </w:t>
            </w:r>
            <w:r w:rsidR="003814FD" w:rsidRPr="00741386">
              <w:rPr>
                <w:rFonts w:eastAsia="Times New Roman" w:cs="Segoe UI"/>
                <w:kern w:val="24"/>
                <w:sz w:val="20"/>
                <w:szCs w:val="20"/>
                <w:lang w:eastAsia="en-AU"/>
              </w:rPr>
              <w:t>HTA</w:t>
            </w:r>
            <w:r w:rsidRPr="00741386">
              <w:rPr>
                <w:rFonts w:eastAsia="Times New Roman" w:cs="Segoe UI"/>
                <w:kern w:val="24"/>
                <w:sz w:val="20"/>
                <w:szCs w:val="20"/>
                <w:lang w:eastAsia="en-AU"/>
              </w:rPr>
              <w:t xml:space="preserve"> committee, there will be no </w:t>
            </w:r>
            <w:r w:rsidR="003C1416" w:rsidRPr="00741386">
              <w:rPr>
                <w:rFonts w:eastAsia="Times New Roman" w:cs="Segoe UI"/>
                <w:kern w:val="24"/>
                <w:sz w:val="20"/>
                <w:szCs w:val="20"/>
                <w:lang w:eastAsia="en-AU"/>
              </w:rPr>
              <w:t xml:space="preserve">immediate </w:t>
            </w:r>
            <w:r w:rsidRPr="00741386">
              <w:rPr>
                <w:rFonts w:eastAsia="Times New Roman" w:cs="Segoe UI"/>
                <w:kern w:val="24"/>
                <w:sz w:val="20"/>
                <w:szCs w:val="20"/>
                <w:lang w:eastAsia="en-AU"/>
              </w:rPr>
              <w:t>opportunities to submit revisions</w:t>
            </w:r>
            <w:r w:rsidR="003C1416" w:rsidRPr="00741386">
              <w:rPr>
                <w:rFonts w:eastAsia="Times New Roman" w:cs="Segoe UI"/>
                <w:kern w:val="24"/>
                <w:sz w:val="20"/>
                <w:szCs w:val="20"/>
                <w:lang w:eastAsia="en-AU"/>
              </w:rPr>
              <w:t xml:space="preserve"> and the sponsor and the </w:t>
            </w:r>
            <w:r w:rsidR="00406C75" w:rsidRPr="00741386">
              <w:rPr>
                <w:rFonts w:eastAsia="Times New Roman" w:cs="Segoe UI"/>
                <w:kern w:val="24"/>
                <w:sz w:val="20"/>
                <w:szCs w:val="20"/>
                <w:lang w:eastAsia="en-AU"/>
              </w:rPr>
              <w:t>D</w:t>
            </w:r>
            <w:r w:rsidR="003C1416" w:rsidRPr="00741386">
              <w:rPr>
                <w:rFonts w:eastAsia="Times New Roman" w:cs="Segoe UI"/>
                <w:kern w:val="24"/>
                <w:sz w:val="20"/>
                <w:szCs w:val="20"/>
                <w:lang w:eastAsia="en-AU"/>
              </w:rPr>
              <w:t>epartment will meet to determine future opportunities for independent arbitration, and criteria for future submissions</w:t>
            </w:r>
            <w:r w:rsidR="00A072FF" w:rsidRPr="00741386">
              <w:rPr>
                <w:rFonts w:eastAsia="Times New Roman" w:cs="Segoe UI"/>
                <w:kern w:val="24"/>
                <w:sz w:val="20"/>
                <w:szCs w:val="20"/>
                <w:lang w:eastAsia="en-AU"/>
              </w:rPr>
              <w:t>.</w:t>
            </w:r>
          </w:p>
        </w:tc>
      </w:tr>
      <w:tr w:rsidR="00E71442" w:rsidRPr="006647C5" w14:paraId="199A2435" w14:textId="77777777" w:rsidTr="00534579">
        <w:trPr>
          <w:trHeight w:val="996"/>
        </w:trPr>
        <w:tc>
          <w:tcPr>
            <w:tcW w:w="1055" w:type="dxa"/>
            <w:shd w:val="clear" w:color="auto" w:fill="FFFFFF" w:themeFill="background1"/>
            <w:tcMar>
              <w:top w:w="72" w:type="dxa"/>
              <w:left w:w="144" w:type="dxa"/>
              <w:bottom w:w="72" w:type="dxa"/>
              <w:right w:w="144" w:type="dxa"/>
            </w:tcMar>
          </w:tcPr>
          <w:p w14:paraId="16470A8B" w14:textId="77777777" w:rsidR="006F5B0D" w:rsidRPr="00825299" w:rsidRDefault="006F5B0D"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3E6C41A6" w14:textId="6F4452E2" w:rsidR="006F5B0D" w:rsidRDefault="008A5286" w:rsidP="006F5B0D">
            <w:pPr>
              <w:pStyle w:val="Heading7"/>
              <w:keepNext w:val="0"/>
              <w:keepLines w:val="0"/>
              <w:rPr>
                <w:lang w:eastAsia="en-AU"/>
              </w:rPr>
            </w:pPr>
            <w:r>
              <w:rPr>
                <w:lang w:eastAsia="en-AU"/>
              </w:rPr>
              <w:t xml:space="preserve">Expanding </w:t>
            </w:r>
            <w:r w:rsidRPr="008A5286">
              <w:rPr>
                <w:lang w:eastAsia="en-AU"/>
              </w:rPr>
              <w:t>resolution step</w:t>
            </w:r>
            <w:r>
              <w:rPr>
                <w:lang w:eastAsia="en-AU"/>
              </w:rPr>
              <w:t xml:space="preserve"> to all relevant cost effectiveness submissions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A1F5E43" w14:textId="38634EBB" w:rsidR="006F5B0D" w:rsidRPr="00706B33" w:rsidRDefault="006F5B0D" w:rsidP="008C10BB">
            <w:pPr>
              <w:spacing w:after="0"/>
              <w:rPr>
                <w:rFonts w:eastAsia="Times New Roman" w:cs="Segoe UI"/>
                <w:kern w:val="24"/>
                <w:sz w:val="20"/>
                <w:szCs w:val="20"/>
                <w:lang w:eastAsia="en-AU"/>
              </w:rPr>
            </w:pPr>
            <w:r w:rsidRPr="009D14F6">
              <w:rPr>
                <w:rFonts w:eastAsia="Times New Roman" w:cs="Segoe UI"/>
                <w:sz w:val="20"/>
                <w:szCs w:val="20"/>
                <w:lang w:eastAsia="en-AU"/>
              </w:rPr>
              <w:t xml:space="preserve">After piloting with </w:t>
            </w:r>
            <w:r w:rsidR="008A5286">
              <w:rPr>
                <w:rFonts w:eastAsia="Times New Roman" w:cs="Segoe UI"/>
                <w:sz w:val="20"/>
                <w:szCs w:val="20"/>
                <w:lang w:eastAsia="en-AU"/>
              </w:rPr>
              <w:t xml:space="preserve">therapies with </w:t>
            </w:r>
            <w:r w:rsidRPr="009D14F6">
              <w:rPr>
                <w:rFonts w:eastAsia="Times New Roman" w:cs="Segoe UI"/>
                <w:sz w:val="20"/>
                <w:szCs w:val="20"/>
                <w:lang w:eastAsia="en-AU"/>
              </w:rPr>
              <w:t>HATV</w:t>
            </w:r>
            <w:r w:rsidR="00176B41">
              <w:rPr>
                <w:rFonts w:eastAsia="Times New Roman" w:cs="Segoe UI"/>
                <w:sz w:val="20"/>
                <w:szCs w:val="20"/>
                <w:lang w:eastAsia="en-AU"/>
              </w:rPr>
              <w:t xml:space="preserve"> in areas of HUCN</w:t>
            </w:r>
            <w:r w:rsidR="00515DEB">
              <w:rPr>
                <w:rFonts w:eastAsia="Times New Roman" w:cs="Segoe UI"/>
                <w:sz w:val="20"/>
                <w:szCs w:val="20"/>
                <w:lang w:eastAsia="en-AU"/>
              </w:rPr>
              <w:fldChar w:fldCharType="begin"/>
            </w:r>
            <w:r w:rsidR="00515DEB">
              <w:instrText xml:space="preserve"> XE "</w:instrText>
            </w:r>
            <w:r w:rsidR="00515DEB" w:rsidRPr="00C65F0A">
              <w:rPr>
                <w:rFonts w:eastAsia="Times New Roman" w:cs="Segoe UI"/>
                <w:lang w:eastAsia="en-AU"/>
              </w:rPr>
              <w:instrText xml:space="preserve">high added therapeutic </w:instrText>
            </w:r>
            <w:proofErr w:type="spellStart"/>
            <w:r w:rsidR="00515DEB" w:rsidRPr="00C65F0A">
              <w:rPr>
                <w:rFonts w:eastAsia="Times New Roman" w:cs="Segoe UI"/>
                <w:lang w:eastAsia="en-AU"/>
              </w:rPr>
              <w:instrText>value</w:instrText>
            </w:r>
            <w:r w:rsidR="00515DEB" w:rsidRPr="00C65F0A">
              <w:rPr>
                <w:rFonts w:eastAsia="Times New Roman" w:cs="Segoe UI"/>
              </w:rPr>
              <w:instrText>:</w:instrText>
            </w:r>
            <w:r w:rsidR="00515DEB" w:rsidRPr="00C65F0A">
              <w:instrText>HATV</w:instrText>
            </w:r>
            <w:proofErr w:type="spellEnd"/>
            <w:r w:rsidR="00515DEB">
              <w:instrText xml:space="preserve">" \b </w:instrText>
            </w:r>
            <w:r w:rsidR="00515DEB">
              <w:rPr>
                <w:rFonts w:eastAsia="Times New Roman" w:cs="Segoe UI"/>
                <w:sz w:val="20"/>
                <w:szCs w:val="20"/>
                <w:lang w:eastAsia="en-AU"/>
              </w:rPr>
              <w:fldChar w:fldCharType="end"/>
            </w:r>
            <w:r w:rsidRPr="009D14F6">
              <w:rPr>
                <w:rFonts w:eastAsia="Times New Roman" w:cs="Segoe UI"/>
                <w:sz w:val="20"/>
                <w:szCs w:val="20"/>
                <w:lang w:eastAsia="en-AU"/>
              </w:rPr>
              <w:t xml:space="preserve"> </w:t>
            </w:r>
            <w:r w:rsidR="008A5286">
              <w:rPr>
                <w:rFonts w:eastAsia="Times New Roman" w:cs="Segoe UI"/>
                <w:sz w:val="20"/>
                <w:szCs w:val="20"/>
                <w:lang w:eastAsia="en-AU"/>
              </w:rPr>
              <w:t>the early resolution</w:t>
            </w:r>
            <w:r w:rsidR="00336A3C">
              <w:rPr>
                <w:rFonts w:eastAsia="Times New Roman" w:cs="Segoe UI"/>
                <w:sz w:val="20"/>
                <w:szCs w:val="20"/>
                <w:lang w:eastAsia="en-AU"/>
              </w:rPr>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rPr>
                <w:rFonts w:eastAsia="Times New Roman" w:cs="Segoe UI"/>
                <w:sz w:val="20"/>
                <w:szCs w:val="20"/>
                <w:lang w:eastAsia="en-AU"/>
              </w:rPr>
              <w:fldChar w:fldCharType="end"/>
            </w:r>
            <w:r w:rsidR="008A5286">
              <w:rPr>
                <w:rFonts w:eastAsia="Times New Roman" w:cs="Segoe UI"/>
                <w:sz w:val="20"/>
                <w:szCs w:val="20"/>
                <w:lang w:eastAsia="en-AU"/>
              </w:rPr>
              <w:t xml:space="preserve"> step </w:t>
            </w:r>
            <w:r w:rsidRPr="009D14F6">
              <w:rPr>
                <w:rFonts w:eastAsia="Times New Roman" w:cs="Segoe UI"/>
                <w:sz w:val="20"/>
                <w:szCs w:val="20"/>
                <w:lang w:eastAsia="en-AU"/>
              </w:rPr>
              <w:t xml:space="preserve">could be expanded to </w:t>
            </w:r>
            <w:r w:rsidR="008A5286">
              <w:rPr>
                <w:rFonts w:eastAsia="Times New Roman" w:cs="Segoe UI"/>
                <w:sz w:val="20"/>
                <w:szCs w:val="20"/>
                <w:lang w:eastAsia="en-AU"/>
              </w:rPr>
              <w:t xml:space="preserve">other </w:t>
            </w:r>
            <w:r w:rsidRPr="009D14F6">
              <w:rPr>
                <w:rFonts w:eastAsia="Times New Roman" w:cs="Segoe UI"/>
                <w:sz w:val="20"/>
                <w:szCs w:val="20"/>
                <w:lang w:eastAsia="en-AU"/>
              </w:rPr>
              <w:t>relevant cost effective</w:t>
            </w:r>
            <w:r w:rsidR="008A5286">
              <w:rPr>
                <w:rFonts w:eastAsia="Times New Roman" w:cs="Segoe UI"/>
                <w:sz w:val="20"/>
                <w:szCs w:val="20"/>
                <w:lang w:eastAsia="en-AU"/>
              </w:rPr>
              <w:t>ness</w:t>
            </w:r>
            <w:r w:rsidRPr="009D14F6">
              <w:rPr>
                <w:rFonts w:eastAsia="Times New Roman" w:cs="Segoe UI"/>
                <w:sz w:val="20"/>
                <w:szCs w:val="20"/>
                <w:lang w:eastAsia="en-AU"/>
              </w:rPr>
              <w:t xml:space="preserve"> submissions</w:t>
            </w:r>
            <w:r w:rsidR="008A5286">
              <w:rPr>
                <w:rFonts w:eastAsia="Times New Roman" w:cs="Segoe UI"/>
                <w:sz w:val="20"/>
                <w:szCs w:val="20"/>
                <w:lang w:eastAsia="en-AU"/>
              </w:rPr>
              <w:t>.</w:t>
            </w:r>
          </w:p>
        </w:tc>
      </w:tr>
      <w:tr w:rsidR="00711F24" w:rsidRPr="006647C5" w14:paraId="194D63D1" w14:textId="77777777" w:rsidTr="00534579">
        <w:trPr>
          <w:trHeight w:val="996"/>
        </w:trPr>
        <w:tc>
          <w:tcPr>
            <w:tcW w:w="1055" w:type="dxa"/>
            <w:shd w:val="clear" w:color="auto" w:fill="FFFFFF" w:themeFill="background1"/>
            <w:tcMar>
              <w:top w:w="72" w:type="dxa"/>
              <w:left w:w="144" w:type="dxa"/>
              <w:bottom w:w="72" w:type="dxa"/>
              <w:right w:w="144" w:type="dxa"/>
            </w:tcMar>
          </w:tcPr>
          <w:p w14:paraId="1E85A5FC" w14:textId="77777777" w:rsidR="00F9708F" w:rsidRPr="00825299" w:rsidRDefault="00F9708F"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083D7344" w14:textId="2F901354" w:rsidR="00F9708F" w:rsidRDefault="00F9708F" w:rsidP="009D14F6">
            <w:pPr>
              <w:pStyle w:val="Heading7"/>
              <w:keepNext w:val="0"/>
              <w:keepLines w:val="0"/>
              <w:ind w:left="19"/>
              <w:rPr>
                <w:lang w:eastAsia="en-AU"/>
              </w:rPr>
            </w:pPr>
            <w:r>
              <w:rPr>
                <w:lang w:eastAsia="en-AU"/>
              </w:rPr>
              <w:t>Development of a</w:t>
            </w:r>
            <w:r w:rsidR="007B3591">
              <w:rPr>
                <w:lang w:eastAsia="en-AU"/>
              </w:rPr>
              <w:t xml:space="preserve"> disease specific</w:t>
            </w:r>
            <w:r>
              <w:rPr>
                <w:lang w:eastAsia="en-AU"/>
              </w:rPr>
              <w:t xml:space="preserve"> common model </w:t>
            </w:r>
            <w:r w:rsidR="00FE4DD1">
              <w:rPr>
                <w:lang w:eastAsia="en-AU"/>
              </w:rPr>
              <w:t xml:space="preserve">(reference case) for </w:t>
            </w:r>
            <w:r w:rsidR="002948A5">
              <w:rPr>
                <w:lang w:eastAsia="en-AU"/>
              </w:rPr>
              <w:t>disease area</w:t>
            </w:r>
            <w:r w:rsidR="004F301A">
              <w:rPr>
                <w:lang w:eastAsia="en-AU"/>
              </w:rPr>
              <w:t xml:space="preserve">s </w:t>
            </w:r>
            <w:r w:rsidR="007E236F">
              <w:rPr>
                <w:lang w:eastAsia="en-AU"/>
              </w:rPr>
              <w:t>with high active product development</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63EDE1E" w14:textId="65447936" w:rsidR="002B3A61" w:rsidRDefault="002B3A61" w:rsidP="008C10BB">
            <w:pPr>
              <w:spacing w:after="0"/>
              <w:rPr>
                <w:rFonts w:eastAsia="Times New Roman" w:cs="Segoe UI"/>
                <w:sz w:val="20"/>
                <w:szCs w:val="20"/>
                <w:lang w:eastAsia="en-AU"/>
              </w:rPr>
            </w:pPr>
            <w:r>
              <w:rPr>
                <w:rFonts w:eastAsia="Times New Roman" w:cs="Segoe UI"/>
                <w:sz w:val="20"/>
                <w:szCs w:val="20"/>
                <w:lang w:eastAsia="en-AU"/>
              </w:rPr>
              <w:t xml:space="preserve">Develop and adopt a </w:t>
            </w:r>
            <w:r w:rsidRPr="00240BC3">
              <w:rPr>
                <w:rFonts w:eastAsia="Times New Roman" w:cs="Segoe UI"/>
                <w:sz w:val="20"/>
                <w:szCs w:val="20"/>
                <w:lang w:eastAsia="en-AU"/>
              </w:rPr>
              <w:t xml:space="preserve">consistent model structure </w:t>
            </w:r>
            <w:r>
              <w:rPr>
                <w:rFonts w:eastAsia="Times New Roman" w:cs="Segoe UI"/>
                <w:sz w:val="20"/>
                <w:szCs w:val="20"/>
                <w:lang w:eastAsia="en-AU"/>
              </w:rPr>
              <w:t>for specified</w:t>
            </w:r>
            <w:r w:rsidRPr="00240BC3">
              <w:rPr>
                <w:rFonts w:eastAsia="Times New Roman" w:cs="Segoe UI"/>
                <w:sz w:val="20"/>
                <w:szCs w:val="20"/>
                <w:lang w:eastAsia="en-AU"/>
              </w:rPr>
              <w:t xml:space="preserve"> disease area</w:t>
            </w:r>
            <w:r>
              <w:rPr>
                <w:rFonts w:eastAsia="Times New Roman" w:cs="Segoe UI"/>
                <w:sz w:val="20"/>
                <w:szCs w:val="20"/>
                <w:lang w:eastAsia="en-AU"/>
              </w:rPr>
              <w:t>s where there are many potential therapies / technologies under development (as identified through horizon scanning</w:t>
            </w:r>
            <w:r w:rsidR="00CF3213">
              <w:rPr>
                <w:rFonts w:eastAsia="Times New Roman" w:cs="Segoe UI"/>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sz w:val="20"/>
                <w:szCs w:val="20"/>
                <w:lang w:eastAsia="en-AU"/>
              </w:rPr>
              <w:fldChar w:fldCharType="end"/>
            </w:r>
            <w:r>
              <w:rPr>
                <w:rFonts w:eastAsia="Times New Roman" w:cs="Segoe UI"/>
                <w:sz w:val="20"/>
                <w:szCs w:val="20"/>
                <w:lang w:eastAsia="en-AU"/>
              </w:rPr>
              <w:t xml:space="preserve">). This should </w:t>
            </w:r>
            <w:r w:rsidRPr="004E2AE0">
              <w:rPr>
                <w:rFonts w:eastAsia="Times New Roman" w:cs="Segoe UI"/>
                <w:sz w:val="20"/>
                <w:szCs w:val="20"/>
                <w:lang w:eastAsia="en-AU"/>
              </w:rPr>
              <w:t xml:space="preserve">include input from a wide range of stakeholders </w:t>
            </w:r>
            <w:r>
              <w:rPr>
                <w:rFonts w:eastAsia="Times New Roman" w:cs="Segoe UI"/>
                <w:sz w:val="20"/>
                <w:szCs w:val="20"/>
                <w:lang w:eastAsia="en-AU"/>
              </w:rPr>
              <w:t xml:space="preserve">to ensure a </w:t>
            </w:r>
            <w:r w:rsidRPr="007A0A76">
              <w:rPr>
                <w:rFonts w:eastAsia="Times New Roman" w:cs="Segoe UI"/>
                <w:sz w:val="20"/>
                <w:szCs w:val="20"/>
                <w:lang w:eastAsia="en-AU"/>
              </w:rPr>
              <w:t>comprehensive representation of the disease area</w:t>
            </w:r>
            <w:r>
              <w:rPr>
                <w:rFonts w:eastAsia="Times New Roman" w:cs="Segoe UI"/>
                <w:sz w:val="20"/>
                <w:szCs w:val="20"/>
                <w:lang w:eastAsia="en-AU"/>
              </w:rPr>
              <w:t>. Disease specific models would include outlining the</w:t>
            </w:r>
            <w:r w:rsidRPr="005E6A33">
              <w:rPr>
                <w:rFonts w:eastAsia="Times New Roman" w:cs="Segoe UI"/>
                <w:sz w:val="20"/>
                <w:szCs w:val="20"/>
                <w:lang w:eastAsia="en-AU"/>
              </w:rPr>
              <w:t xml:space="preserve"> analytic methods, the model structure</w:t>
            </w:r>
            <w:r>
              <w:rPr>
                <w:rFonts w:eastAsia="Times New Roman" w:cs="Segoe UI"/>
                <w:sz w:val="20"/>
                <w:szCs w:val="20"/>
                <w:lang w:eastAsia="en-AU"/>
              </w:rPr>
              <w:t>,</w:t>
            </w:r>
            <w:r w:rsidRPr="005E6A33">
              <w:rPr>
                <w:rFonts w:eastAsia="Times New Roman" w:cs="Segoe UI"/>
                <w:sz w:val="20"/>
                <w:szCs w:val="20"/>
                <w:lang w:eastAsia="en-AU"/>
              </w:rPr>
              <w:t xml:space="preserve"> and some parameters</w:t>
            </w:r>
            <w:r>
              <w:rPr>
                <w:rFonts w:eastAsia="Times New Roman" w:cs="Segoe UI"/>
                <w:sz w:val="20"/>
                <w:szCs w:val="20"/>
                <w:lang w:eastAsia="en-AU"/>
              </w:rPr>
              <w:t>. This would enhance</w:t>
            </w:r>
            <w:r w:rsidRPr="00FA37DA">
              <w:rPr>
                <w:rFonts w:eastAsia="Times New Roman" w:cs="Segoe UI"/>
                <w:sz w:val="20"/>
                <w:szCs w:val="20"/>
                <w:lang w:eastAsia="en-AU"/>
              </w:rPr>
              <w:t xml:space="preserve"> consistency in decision-making</w:t>
            </w:r>
            <w:r>
              <w:rPr>
                <w:rFonts w:eastAsia="Times New Roman" w:cs="Segoe UI"/>
                <w:sz w:val="20"/>
                <w:szCs w:val="20"/>
                <w:lang w:eastAsia="en-AU"/>
              </w:rPr>
              <w:t xml:space="preserve"> through </w:t>
            </w:r>
            <w:r w:rsidRPr="008A6F2E">
              <w:rPr>
                <w:rFonts w:eastAsia="Times New Roman" w:cs="Segoe UI"/>
                <w:sz w:val="20"/>
                <w:szCs w:val="20"/>
                <w:lang w:eastAsia="en-AU"/>
              </w:rPr>
              <w:t>increased comparability of models across different technologies for the same disease/condition</w:t>
            </w:r>
            <w:r>
              <w:rPr>
                <w:rFonts w:eastAsia="Times New Roman" w:cs="Segoe UI"/>
                <w:sz w:val="20"/>
                <w:szCs w:val="20"/>
                <w:lang w:eastAsia="en-AU"/>
              </w:rPr>
              <w:t xml:space="preserve">. As the development of </w:t>
            </w:r>
            <w:r w:rsidRPr="00CB662F">
              <w:rPr>
                <w:rFonts w:eastAsia="Times New Roman" w:cs="Segoe UI"/>
                <w:sz w:val="20"/>
                <w:szCs w:val="20"/>
                <w:lang w:eastAsia="en-AU"/>
              </w:rPr>
              <w:t>disease-</w:t>
            </w:r>
            <w:r>
              <w:rPr>
                <w:rFonts w:eastAsia="Times New Roman" w:cs="Segoe UI"/>
                <w:sz w:val="20"/>
                <w:szCs w:val="20"/>
                <w:lang w:eastAsia="en-AU"/>
              </w:rPr>
              <w:noBreakHyphen/>
            </w:r>
            <w:r w:rsidRPr="00CB662F">
              <w:rPr>
                <w:rFonts w:eastAsia="Times New Roman" w:cs="Segoe UI"/>
                <w:sz w:val="20"/>
                <w:szCs w:val="20"/>
                <w:lang w:eastAsia="en-AU"/>
              </w:rPr>
              <w:t xml:space="preserve">specific models </w:t>
            </w:r>
            <w:r>
              <w:rPr>
                <w:rFonts w:eastAsia="Times New Roman" w:cs="Segoe UI"/>
                <w:sz w:val="20"/>
                <w:szCs w:val="20"/>
                <w:lang w:eastAsia="en-AU"/>
              </w:rPr>
              <w:t xml:space="preserve">would require </w:t>
            </w:r>
            <w:r w:rsidRPr="00CB662F">
              <w:rPr>
                <w:rFonts w:eastAsia="Times New Roman" w:cs="Segoe UI"/>
                <w:sz w:val="20"/>
                <w:szCs w:val="20"/>
                <w:lang w:eastAsia="en-AU"/>
              </w:rPr>
              <w:t>significant investment</w:t>
            </w:r>
            <w:r>
              <w:rPr>
                <w:rFonts w:eastAsia="Times New Roman" w:cs="Segoe UI"/>
                <w:sz w:val="20"/>
                <w:szCs w:val="20"/>
                <w:lang w:eastAsia="en-AU"/>
              </w:rPr>
              <w:t xml:space="preserve"> to develop, they would only be used for disease areas where many subsequent submissions would </w:t>
            </w:r>
            <w:r w:rsidRPr="00092790">
              <w:rPr>
                <w:rFonts w:eastAsia="Times New Roman" w:cs="Segoe UI"/>
                <w:sz w:val="20"/>
                <w:szCs w:val="20"/>
                <w:lang w:eastAsia="en-AU"/>
              </w:rPr>
              <w:t xml:space="preserve">utilise </w:t>
            </w:r>
            <w:r>
              <w:rPr>
                <w:rFonts w:eastAsia="Times New Roman" w:cs="Segoe UI"/>
                <w:sz w:val="20"/>
                <w:szCs w:val="20"/>
                <w:lang w:eastAsia="en-AU"/>
              </w:rPr>
              <w:t>the</w:t>
            </w:r>
            <w:r w:rsidRPr="00092790">
              <w:rPr>
                <w:rFonts w:eastAsia="Times New Roman" w:cs="Segoe UI"/>
                <w:sz w:val="20"/>
                <w:szCs w:val="20"/>
                <w:lang w:eastAsia="en-AU"/>
              </w:rPr>
              <w:t xml:space="preserve"> model</w:t>
            </w:r>
            <w:r>
              <w:rPr>
                <w:rFonts w:eastAsia="Times New Roman" w:cs="Segoe UI"/>
                <w:sz w:val="20"/>
                <w:szCs w:val="20"/>
                <w:lang w:eastAsia="en-AU"/>
              </w:rPr>
              <w:t xml:space="preserve">. </w:t>
            </w:r>
          </w:p>
          <w:p w14:paraId="04DBDDD9" w14:textId="77777777" w:rsidR="002B3A61" w:rsidRDefault="002B3A61" w:rsidP="008C10BB">
            <w:pPr>
              <w:spacing w:after="0"/>
              <w:rPr>
                <w:rFonts w:eastAsia="Times New Roman" w:cs="Segoe UI"/>
                <w:sz w:val="20"/>
                <w:szCs w:val="20"/>
                <w:lang w:eastAsia="en-AU"/>
              </w:rPr>
            </w:pPr>
          </w:p>
          <w:p w14:paraId="0C8299C5" w14:textId="7793C910" w:rsidR="00F9708F" w:rsidRDefault="002B3A61" w:rsidP="008C10BB">
            <w:pPr>
              <w:spacing w:after="120"/>
              <w:rPr>
                <w:rFonts w:eastAsia="Times New Roman" w:cs="Segoe UI"/>
                <w:sz w:val="20"/>
                <w:szCs w:val="20"/>
                <w:lang w:eastAsia="en-AU"/>
              </w:rPr>
            </w:pPr>
            <w:r>
              <w:rPr>
                <w:rFonts w:eastAsia="Times New Roman" w:cs="Segoe UI"/>
                <w:sz w:val="20"/>
                <w:szCs w:val="20"/>
                <w:lang w:eastAsia="en-AU"/>
              </w:rPr>
              <w:t>Additionally, f</w:t>
            </w:r>
            <w:r w:rsidRPr="00CB662F">
              <w:rPr>
                <w:rFonts w:eastAsia="Times New Roman" w:cs="Segoe UI"/>
                <w:sz w:val="20"/>
                <w:szCs w:val="20"/>
                <w:lang w:eastAsia="en-AU"/>
              </w:rPr>
              <w:t xml:space="preserve">urther investment </w:t>
            </w:r>
            <w:r>
              <w:rPr>
                <w:rFonts w:eastAsia="Times New Roman" w:cs="Segoe UI"/>
                <w:sz w:val="20"/>
                <w:szCs w:val="20"/>
                <w:lang w:eastAsia="en-AU"/>
              </w:rPr>
              <w:t>will</w:t>
            </w:r>
            <w:r w:rsidRPr="00CB662F">
              <w:rPr>
                <w:rFonts w:eastAsia="Times New Roman" w:cs="Segoe UI"/>
                <w:sz w:val="20"/>
                <w:szCs w:val="20"/>
                <w:lang w:eastAsia="en-AU"/>
              </w:rPr>
              <w:t xml:space="preserve"> be required to maintain the models over time to ensure they are current and relevant for the treatments and disease pathways for which they are intended</w:t>
            </w:r>
            <w:r>
              <w:rPr>
                <w:rFonts w:eastAsia="Times New Roman" w:cs="Segoe UI"/>
                <w:sz w:val="20"/>
                <w:szCs w:val="20"/>
                <w:lang w:eastAsia="en-AU"/>
              </w:rPr>
              <w:t>. These models will also enable re-assessment</w:t>
            </w:r>
            <w:r w:rsidR="001624D2">
              <w:rPr>
                <w:rFonts w:eastAsia="Times New Roman" w:cs="Segoe UI"/>
                <w:sz w:val="20"/>
                <w:szCs w:val="20"/>
                <w:lang w:eastAsia="en-AU"/>
              </w:rPr>
              <w:fldChar w:fldCharType="begin"/>
            </w:r>
            <w:r w:rsidR="001624D2">
              <w:instrText xml:space="preserve"> XE "</w:instrText>
            </w:r>
            <w:r w:rsidR="001624D2" w:rsidRPr="001974D0">
              <w:rPr>
                <w:rFonts w:eastAsia="Times New Roman" w:cs="Segoe UI"/>
                <w:kern w:val="24"/>
                <w:sz w:val="20"/>
                <w:szCs w:val="20"/>
                <w:lang w:eastAsia="en-AU"/>
              </w:rPr>
              <w:instrText>re-assessment</w:instrText>
            </w:r>
            <w:r w:rsidR="001624D2">
              <w:instrText xml:space="preserve">" \b </w:instrText>
            </w:r>
            <w:r w:rsidR="001624D2">
              <w:rPr>
                <w:rFonts w:eastAsia="Times New Roman" w:cs="Segoe UI"/>
                <w:sz w:val="20"/>
                <w:szCs w:val="20"/>
                <w:lang w:eastAsia="en-AU"/>
              </w:rPr>
              <w:fldChar w:fldCharType="end"/>
            </w:r>
            <w:r>
              <w:rPr>
                <w:rFonts w:eastAsia="Times New Roman" w:cs="Segoe UI"/>
                <w:sz w:val="20"/>
                <w:szCs w:val="20"/>
                <w:lang w:eastAsia="en-AU"/>
              </w:rPr>
              <w:t xml:space="preserve"> of health technologies (post market review) after PBS listing.</w:t>
            </w:r>
          </w:p>
          <w:p w14:paraId="387BAC74" w14:textId="2B45F93B" w:rsidR="0062077B" w:rsidRDefault="00E66EB6" w:rsidP="008C10BB">
            <w:pPr>
              <w:spacing w:after="120"/>
              <w:rPr>
                <w:rFonts w:eastAsia="Times New Roman" w:cs="Segoe UI"/>
                <w:color w:val="222A35"/>
                <w:kern w:val="24"/>
                <w:sz w:val="20"/>
                <w:szCs w:val="20"/>
                <w:lang w:eastAsia="en-AU"/>
              </w:rPr>
            </w:pPr>
            <w:r>
              <w:rPr>
                <w:rFonts w:eastAsia="Times New Roman" w:cs="Segoe UI"/>
                <w:color w:val="222A35"/>
                <w:sz w:val="20"/>
                <w:szCs w:val="20"/>
                <w:lang w:eastAsia="en-AU"/>
              </w:rPr>
              <w:t>Australia should</w:t>
            </w:r>
            <w:r w:rsidR="00A44414">
              <w:rPr>
                <w:rFonts w:eastAsia="Times New Roman" w:cs="Segoe UI"/>
                <w:color w:val="222A35"/>
                <w:sz w:val="20"/>
                <w:szCs w:val="20"/>
                <w:lang w:eastAsia="en-AU"/>
              </w:rPr>
              <w:t xml:space="preserve"> investigate international collaboration</w:t>
            </w:r>
            <w:r w:rsidR="000732FF">
              <w:rPr>
                <w:rFonts w:eastAsia="Times New Roman" w:cs="Segoe UI"/>
                <w:color w:val="222A35"/>
                <w:sz w:val="20"/>
                <w:szCs w:val="20"/>
                <w:lang w:eastAsia="en-AU"/>
              </w:rPr>
              <w:fldChar w:fldCharType="begin"/>
            </w:r>
            <w:r w:rsidR="000732FF">
              <w:instrText xml:space="preserve"> XE "</w:instrText>
            </w:r>
            <w:r w:rsidR="000732FF" w:rsidRPr="00DD1576">
              <w:rPr>
                <w:rFonts w:eastAsia="Times New Roman" w:cs="Segoe UI"/>
                <w:color w:val="222A35"/>
                <w:kern w:val="24"/>
                <w:sz w:val="20"/>
                <w:szCs w:val="20"/>
                <w:lang w:eastAsia="en-AU"/>
              </w:rPr>
              <w:instrText>international collaboration</w:instrText>
            </w:r>
            <w:r w:rsidR="000732FF">
              <w:instrText xml:space="preserve">" \b </w:instrText>
            </w:r>
            <w:r w:rsidR="000732FF">
              <w:rPr>
                <w:rFonts w:eastAsia="Times New Roman" w:cs="Segoe UI"/>
                <w:color w:val="222A35"/>
                <w:sz w:val="20"/>
                <w:szCs w:val="20"/>
                <w:lang w:eastAsia="en-AU"/>
              </w:rPr>
              <w:fldChar w:fldCharType="end"/>
            </w:r>
            <w:r w:rsidR="00A44414">
              <w:rPr>
                <w:rFonts w:eastAsia="Times New Roman" w:cs="Segoe UI"/>
                <w:color w:val="222A35"/>
                <w:sz w:val="20"/>
                <w:szCs w:val="20"/>
                <w:lang w:eastAsia="en-AU"/>
              </w:rPr>
              <w:t xml:space="preserve"> on the development of </w:t>
            </w:r>
            <w:r w:rsidR="0053307A">
              <w:rPr>
                <w:rFonts w:eastAsia="Times New Roman" w:cs="Segoe UI"/>
                <w:color w:val="222A35"/>
                <w:sz w:val="20"/>
                <w:szCs w:val="20"/>
                <w:lang w:eastAsia="en-AU"/>
              </w:rPr>
              <w:t xml:space="preserve">disease-specific </w:t>
            </w:r>
            <w:r w:rsidR="002C6CF3">
              <w:rPr>
                <w:rFonts w:eastAsia="Times New Roman" w:cs="Segoe UI"/>
                <w:color w:val="222A35"/>
                <w:sz w:val="20"/>
                <w:szCs w:val="20"/>
                <w:lang w:eastAsia="en-AU"/>
              </w:rPr>
              <w:t xml:space="preserve">common models. </w:t>
            </w:r>
          </w:p>
        </w:tc>
      </w:tr>
      <w:tr w:rsidR="000C7F7A" w:rsidRPr="006647C5" w14:paraId="4F923DEB" w14:textId="77777777" w:rsidTr="00534579">
        <w:trPr>
          <w:trHeight w:val="996"/>
        </w:trPr>
        <w:tc>
          <w:tcPr>
            <w:tcW w:w="1055" w:type="dxa"/>
            <w:shd w:val="clear" w:color="auto" w:fill="FFFFFF" w:themeFill="background1"/>
            <w:tcMar>
              <w:top w:w="72" w:type="dxa"/>
              <w:left w:w="144" w:type="dxa"/>
              <w:bottom w:w="72" w:type="dxa"/>
              <w:right w:w="144" w:type="dxa"/>
            </w:tcMar>
          </w:tcPr>
          <w:p w14:paraId="45853FD2" w14:textId="77777777" w:rsidR="000C7F7A" w:rsidRPr="00825299" w:rsidRDefault="000C7F7A"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3EE2805" w14:textId="28A43849" w:rsidR="000C7F7A" w:rsidRDefault="000C7F7A" w:rsidP="006F5B0D">
            <w:pPr>
              <w:pStyle w:val="Heading7"/>
              <w:keepNext w:val="0"/>
              <w:keepLines w:val="0"/>
              <w:rPr>
                <w:lang w:eastAsia="en-AU"/>
              </w:rPr>
            </w:pPr>
            <w:r w:rsidRPr="008518B3">
              <w:rPr>
                <w:lang w:eastAsia="en-AU"/>
              </w:rPr>
              <w:t xml:space="preserve">Decouple the </w:t>
            </w:r>
            <w:r w:rsidR="00263BE9">
              <w:rPr>
                <w:lang w:eastAsia="en-AU"/>
              </w:rPr>
              <w:t xml:space="preserve">requirement for the </w:t>
            </w:r>
            <w:r w:rsidRPr="008518B3">
              <w:rPr>
                <w:lang w:eastAsia="en-AU"/>
              </w:rPr>
              <w:t xml:space="preserve">TGA </w:t>
            </w:r>
            <w:r w:rsidR="002A7AE4">
              <w:rPr>
                <w:lang w:eastAsia="en-AU"/>
              </w:rPr>
              <w:t>D</w:t>
            </w:r>
            <w:r w:rsidR="002A7AE4" w:rsidRPr="008518B3">
              <w:rPr>
                <w:lang w:eastAsia="en-AU"/>
              </w:rPr>
              <w:t>elegate</w:t>
            </w:r>
            <w:r w:rsidR="002A7AE4">
              <w:rPr>
                <w:lang w:eastAsia="en-AU"/>
              </w:rPr>
              <w:t>’</w:t>
            </w:r>
            <w:r w:rsidR="002A7AE4" w:rsidRPr="008518B3">
              <w:rPr>
                <w:lang w:eastAsia="en-AU"/>
              </w:rPr>
              <w:t>s</w:t>
            </w:r>
            <w:r w:rsidRPr="008518B3">
              <w:rPr>
                <w:lang w:eastAsia="en-AU"/>
              </w:rPr>
              <w:t xml:space="preserve"> overview </w:t>
            </w:r>
            <w:r w:rsidR="004910B7">
              <w:rPr>
                <w:lang w:eastAsia="en-AU"/>
              </w:rPr>
              <w:t xml:space="preserve">to support </w:t>
            </w:r>
            <w:r w:rsidRPr="008518B3">
              <w:rPr>
                <w:lang w:eastAsia="en-AU"/>
              </w:rPr>
              <w:t xml:space="preserve">PBAC </w:t>
            </w:r>
            <w:r w:rsidR="00773F9E">
              <w:rPr>
                <w:lang w:eastAsia="en-AU"/>
              </w:rPr>
              <w:t>advice</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281FB4C" w14:textId="3E42DC5E" w:rsidR="000C7F7A" w:rsidRDefault="002A7AE4"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Enable full parallel processing of TGA and PBAC submissions by enabling the PBAC to communicate its likely advice to sponsors prior to receiving the TGA delegate’s overview. The PBAC’s final advice to Government, and resulting funding arrangements, would still be required to be consistent with the TGA delegate’s overview and </w:t>
            </w:r>
            <w:r w:rsidR="252C3042" w:rsidRPr="49C6A15D">
              <w:rPr>
                <w:sz w:val="20"/>
                <w:szCs w:val="20"/>
              </w:rPr>
              <w:t>Australian Register of Therapeutic Goods (</w:t>
            </w:r>
            <w:r>
              <w:rPr>
                <w:rFonts w:eastAsia="Times New Roman" w:cs="Segoe UI"/>
                <w:color w:val="222A35"/>
                <w:kern w:val="24"/>
                <w:sz w:val="20"/>
                <w:szCs w:val="20"/>
                <w:lang w:eastAsia="en-AU"/>
              </w:rPr>
              <w:t>ARTG</w:t>
            </w:r>
            <w:r w:rsidR="651CD363">
              <w:rPr>
                <w:rFonts w:eastAsia="Times New Roman" w:cs="Segoe UI"/>
                <w:color w:val="222A35"/>
                <w:kern w:val="24"/>
                <w:sz w:val="20"/>
                <w:szCs w:val="20"/>
                <w:lang w:eastAsia="en-AU"/>
              </w:rPr>
              <w:t>)</w:t>
            </w:r>
            <w:r>
              <w:rPr>
                <w:rFonts w:eastAsia="Times New Roman" w:cs="Segoe UI"/>
                <w:color w:val="222A35"/>
                <w:kern w:val="24"/>
                <w:sz w:val="20"/>
                <w:szCs w:val="20"/>
                <w:lang w:eastAsia="en-AU"/>
              </w:rPr>
              <w:t xml:space="preserve"> listing. </w:t>
            </w:r>
          </w:p>
        </w:tc>
      </w:tr>
      <w:tr w:rsidR="00E71442" w:rsidRPr="006647C5" w14:paraId="7A1F78F4" w14:textId="77777777" w:rsidTr="00534579">
        <w:trPr>
          <w:trHeight w:val="996"/>
        </w:trPr>
        <w:tc>
          <w:tcPr>
            <w:tcW w:w="1055" w:type="dxa"/>
            <w:tcBorders>
              <w:bottom w:val="single" w:sz="4" w:space="0" w:color="E7E6E6" w:themeColor="background2"/>
            </w:tcBorders>
            <w:shd w:val="clear" w:color="auto" w:fill="FFFFFF" w:themeFill="background1"/>
            <w:tcMar>
              <w:top w:w="72" w:type="dxa"/>
              <w:left w:w="144" w:type="dxa"/>
              <w:bottom w:w="72" w:type="dxa"/>
              <w:right w:w="144" w:type="dxa"/>
            </w:tcMar>
          </w:tcPr>
          <w:p w14:paraId="686C2521" w14:textId="77777777" w:rsidR="006F5B0D" w:rsidRPr="00825299" w:rsidRDefault="006F5B0D"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17D949B8" w14:textId="202E6A2F" w:rsidR="006F5B0D" w:rsidRPr="008518B3" w:rsidRDefault="006F5B0D" w:rsidP="006F5B0D">
            <w:pPr>
              <w:pStyle w:val="Heading7"/>
              <w:keepNext w:val="0"/>
              <w:keepLines w:val="0"/>
              <w:rPr>
                <w:lang w:eastAsia="en-AU"/>
              </w:rPr>
            </w:pPr>
            <w:r>
              <w:rPr>
                <w:lang w:eastAsia="en-AU"/>
              </w:rPr>
              <w:t>Case manager</w:t>
            </w:r>
            <w:r w:rsidR="00FA03FD">
              <w:rPr>
                <w:lang w:eastAsia="en-AU"/>
              </w:rPr>
              <w:t xml:space="preserve"> </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5EDCC73" w14:textId="7BD4FDC8" w:rsidR="006F5B0D" w:rsidRDefault="00FA03FD"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Resourcing to support allocation of </w:t>
            </w:r>
            <w:r w:rsidR="006F5B0D">
              <w:rPr>
                <w:rFonts w:eastAsia="Times New Roman" w:cs="Segoe UI"/>
                <w:color w:val="222A35"/>
                <w:kern w:val="24"/>
                <w:sz w:val="20"/>
                <w:szCs w:val="20"/>
                <w:lang w:eastAsia="en-AU"/>
              </w:rPr>
              <w:t xml:space="preserve">a case manager to </w:t>
            </w:r>
            <w:r w:rsidR="006F5B0D" w:rsidRPr="00846F1D">
              <w:rPr>
                <w:rFonts w:eastAsia="Times New Roman" w:cs="Segoe UI"/>
                <w:color w:val="222A35"/>
                <w:kern w:val="24"/>
                <w:sz w:val="20"/>
                <w:szCs w:val="20"/>
                <w:lang w:eastAsia="en-AU"/>
              </w:rPr>
              <w:t>facilitate communication</w:t>
            </w:r>
            <w:r w:rsidR="00570001">
              <w:rPr>
                <w:rFonts w:eastAsia="Times New Roman" w:cs="Segoe UI"/>
                <w:color w:val="222A35"/>
                <w:kern w:val="24"/>
                <w:sz w:val="20"/>
                <w:szCs w:val="20"/>
                <w:lang w:eastAsia="en-AU"/>
              </w:rPr>
              <w:fldChar w:fldCharType="begin"/>
            </w:r>
            <w:r w:rsidR="00570001">
              <w:instrText xml:space="preserve"> XE "</w:instrText>
            </w:r>
            <w:r w:rsidR="00570001" w:rsidRPr="00E61E42">
              <w:instrText>communication</w:instrText>
            </w:r>
            <w:r w:rsidR="00570001">
              <w:instrText xml:space="preserve">" \b </w:instrText>
            </w:r>
            <w:r w:rsidR="00570001">
              <w:rPr>
                <w:rFonts w:eastAsia="Times New Roman" w:cs="Segoe UI"/>
                <w:color w:val="222A35"/>
                <w:kern w:val="24"/>
                <w:sz w:val="20"/>
                <w:szCs w:val="20"/>
                <w:lang w:eastAsia="en-AU"/>
              </w:rPr>
              <w:fldChar w:fldCharType="end"/>
            </w:r>
            <w:r w:rsidR="006F5B0D" w:rsidRPr="00846F1D">
              <w:rPr>
                <w:rFonts w:eastAsia="Times New Roman" w:cs="Segoe UI"/>
                <w:color w:val="222A35"/>
                <w:kern w:val="24"/>
                <w:sz w:val="20"/>
                <w:szCs w:val="20"/>
                <w:lang w:eastAsia="en-AU"/>
              </w:rPr>
              <w:t xml:space="preserve"> and information sharing between the </w:t>
            </w:r>
            <w:r w:rsidR="003E40B2">
              <w:rPr>
                <w:rFonts w:eastAsia="Times New Roman" w:cs="Segoe UI"/>
                <w:color w:val="222A35"/>
                <w:kern w:val="24"/>
                <w:sz w:val="20"/>
                <w:szCs w:val="20"/>
                <w:lang w:eastAsia="en-AU"/>
              </w:rPr>
              <w:t>D</w:t>
            </w:r>
            <w:r w:rsidR="006F5B0D" w:rsidRPr="00846F1D">
              <w:rPr>
                <w:rFonts w:eastAsia="Times New Roman" w:cs="Segoe UI"/>
                <w:color w:val="222A35"/>
                <w:kern w:val="24"/>
                <w:sz w:val="20"/>
                <w:szCs w:val="20"/>
                <w:lang w:eastAsia="en-AU"/>
              </w:rPr>
              <w:t>epartment and applicant</w:t>
            </w:r>
            <w:r w:rsidR="006F5B0D">
              <w:rPr>
                <w:rFonts w:eastAsia="Times New Roman" w:cs="Segoe UI"/>
                <w:color w:val="222A35"/>
                <w:kern w:val="24"/>
                <w:sz w:val="20"/>
                <w:szCs w:val="20"/>
                <w:lang w:eastAsia="en-AU"/>
              </w:rPr>
              <w:t xml:space="preserve"> for </w:t>
            </w:r>
            <w:r w:rsidR="00C657C9">
              <w:rPr>
                <w:rFonts w:eastAsia="Times New Roman" w:cs="Segoe UI"/>
                <w:color w:val="222A35"/>
                <w:kern w:val="24"/>
                <w:sz w:val="20"/>
                <w:szCs w:val="20"/>
                <w:lang w:eastAsia="en-AU"/>
              </w:rPr>
              <w:t>cost-utility analysis</w:t>
            </w:r>
            <w:r w:rsidR="00E54B6A">
              <w:rPr>
                <w:rFonts w:eastAsia="Times New Roman" w:cs="Segoe UI"/>
                <w:color w:val="222A35"/>
                <w:kern w:val="24"/>
                <w:sz w:val="20"/>
                <w:szCs w:val="20"/>
                <w:lang w:eastAsia="en-AU"/>
              </w:rPr>
              <w:fldChar w:fldCharType="begin"/>
            </w:r>
            <w:r w:rsidR="00E54B6A">
              <w:instrText xml:space="preserve"> XE "</w:instrText>
            </w:r>
            <w:r w:rsidR="00E54B6A" w:rsidRPr="00E57812">
              <w:rPr>
                <w:rFonts w:eastAsia="Times New Roman" w:cs="Segoe UI"/>
                <w:lang w:eastAsia="en-AU"/>
              </w:rPr>
              <w:instrText>cost-utility analysis</w:instrText>
            </w:r>
            <w:r w:rsidR="00E54B6A">
              <w:instrText xml:space="preserve">" </w:instrText>
            </w:r>
            <w:r w:rsidR="00E54B6A">
              <w:rPr>
                <w:rFonts w:eastAsia="Times New Roman" w:cs="Segoe UI"/>
                <w:color w:val="222A35"/>
                <w:kern w:val="24"/>
                <w:sz w:val="20"/>
                <w:szCs w:val="20"/>
                <w:lang w:eastAsia="en-AU"/>
              </w:rPr>
              <w:fldChar w:fldCharType="end"/>
            </w:r>
            <w:r w:rsidR="00C657C9">
              <w:rPr>
                <w:rFonts w:eastAsia="Times New Roman" w:cs="Segoe UI"/>
                <w:color w:val="222A35"/>
                <w:kern w:val="24"/>
                <w:sz w:val="20"/>
                <w:szCs w:val="20"/>
                <w:lang w:eastAsia="en-AU"/>
              </w:rPr>
              <w:t xml:space="preserve"> (</w:t>
            </w:r>
            <w:r w:rsidR="006F5B0D">
              <w:rPr>
                <w:rFonts w:eastAsia="Times New Roman" w:cs="Segoe UI"/>
                <w:color w:val="222A35"/>
                <w:kern w:val="24"/>
                <w:sz w:val="20"/>
                <w:szCs w:val="20"/>
                <w:lang w:eastAsia="en-AU"/>
              </w:rPr>
              <w:t>CUA</w:t>
            </w:r>
            <w:r w:rsidR="00F80646">
              <w:rPr>
                <w:rFonts w:eastAsia="Times New Roman" w:cs="Segoe UI"/>
                <w:color w:val="222A35"/>
                <w:kern w:val="24"/>
                <w:sz w:val="20"/>
                <w:szCs w:val="20"/>
                <w:lang w:eastAsia="en-AU"/>
              </w:rPr>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r w:rsidR="00F80646">
              <w:instrText xml:space="preserve">" </w:instrText>
            </w:r>
            <w:r w:rsidR="00F80646">
              <w:rPr>
                <w:rFonts w:eastAsia="Times New Roman" w:cs="Segoe UI"/>
                <w:color w:val="222A35"/>
                <w:kern w:val="24"/>
                <w:sz w:val="20"/>
                <w:szCs w:val="20"/>
                <w:lang w:eastAsia="en-AU"/>
              </w:rPr>
              <w:fldChar w:fldCharType="end"/>
            </w:r>
            <w:r w:rsidR="00C657C9">
              <w:rPr>
                <w:rFonts w:eastAsia="Times New Roman" w:cs="Segoe UI"/>
                <w:color w:val="222A35"/>
                <w:kern w:val="24"/>
                <w:sz w:val="20"/>
                <w:szCs w:val="20"/>
                <w:lang w:eastAsia="en-AU"/>
              </w:rPr>
              <w:t>)</w:t>
            </w:r>
            <w:r w:rsidR="006F5B0D">
              <w:rPr>
                <w:rFonts w:eastAsia="Times New Roman" w:cs="Segoe UI"/>
                <w:color w:val="222A35"/>
                <w:kern w:val="24"/>
                <w:sz w:val="20"/>
                <w:szCs w:val="20"/>
                <w:lang w:eastAsia="en-AU"/>
              </w:rPr>
              <w:t xml:space="preserve">/ </w:t>
            </w:r>
            <w:r w:rsidR="00081A0F">
              <w:rPr>
                <w:rFonts w:eastAsia="Times New Roman" w:cs="Segoe UI"/>
                <w:color w:val="222A35"/>
                <w:kern w:val="24"/>
                <w:sz w:val="20"/>
                <w:szCs w:val="20"/>
                <w:lang w:eastAsia="en-AU"/>
              </w:rPr>
              <w:t>cost effectiveness analysis (</w:t>
            </w:r>
            <w:r w:rsidR="006F5B0D">
              <w:rPr>
                <w:rFonts w:eastAsia="Times New Roman" w:cs="Segoe UI"/>
                <w:color w:val="222A35"/>
                <w:kern w:val="24"/>
                <w:sz w:val="20"/>
                <w:szCs w:val="20"/>
                <w:lang w:eastAsia="en-AU"/>
              </w:rPr>
              <w:t>CEA</w:t>
            </w:r>
            <w:r w:rsidR="00E54B6A">
              <w:rPr>
                <w:rFonts w:eastAsia="Times New Roman" w:cs="Segoe UI"/>
                <w:color w:val="222A35"/>
                <w:kern w:val="24"/>
                <w:sz w:val="20"/>
                <w:szCs w:val="20"/>
                <w:lang w:eastAsia="en-AU"/>
              </w:rPr>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rPr>
                <w:rFonts w:eastAsia="Times New Roman" w:cs="Segoe UI"/>
                <w:color w:val="222A35"/>
                <w:kern w:val="24"/>
                <w:sz w:val="20"/>
                <w:szCs w:val="20"/>
                <w:lang w:eastAsia="en-AU"/>
              </w:rPr>
              <w:fldChar w:fldCharType="end"/>
            </w:r>
            <w:r w:rsidR="00081A0F">
              <w:rPr>
                <w:rFonts w:eastAsia="Times New Roman" w:cs="Segoe UI"/>
                <w:color w:val="222A35"/>
                <w:kern w:val="24"/>
                <w:sz w:val="20"/>
                <w:szCs w:val="20"/>
                <w:lang w:eastAsia="en-AU"/>
              </w:rPr>
              <w:t>)</w:t>
            </w:r>
            <w:r w:rsidR="006F5B0D">
              <w:rPr>
                <w:rFonts w:eastAsia="Times New Roman" w:cs="Segoe UI"/>
                <w:color w:val="222A35"/>
                <w:kern w:val="24"/>
                <w:sz w:val="20"/>
                <w:szCs w:val="20"/>
                <w:lang w:eastAsia="en-AU"/>
              </w:rPr>
              <w:t xml:space="preserve"> applications. This is to be modelled off the current case management approach used </w:t>
            </w:r>
            <w:r w:rsidR="007B09C1">
              <w:rPr>
                <w:rFonts w:eastAsia="Times New Roman" w:cs="Segoe UI"/>
                <w:color w:val="222A35"/>
                <w:kern w:val="24"/>
                <w:sz w:val="20"/>
                <w:szCs w:val="20"/>
                <w:lang w:eastAsia="en-AU"/>
              </w:rPr>
              <w:t>for</w:t>
            </w:r>
            <w:r w:rsidR="006F5B0D">
              <w:t xml:space="preserve"> </w:t>
            </w:r>
            <w:r w:rsidR="00A62F8D" w:rsidRPr="00A62F8D">
              <w:rPr>
                <w:rFonts w:eastAsia="Times New Roman" w:cs="Segoe UI"/>
                <w:color w:val="222A35"/>
                <w:kern w:val="24"/>
                <w:sz w:val="20"/>
                <w:szCs w:val="20"/>
                <w:lang w:eastAsia="en-AU"/>
              </w:rPr>
              <w:t>positive PBAC recommendations that progress through</w:t>
            </w:r>
            <w:r w:rsidR="006F5B0D">
              <w:rPr>
                <w:rFonts w:eastAsia="Times New Roman" w:cs="Segoe UI"/>
                <w:color w:val="222A35"/>
                <w:kern w:val="24"/>
                <w:sz w:val="20"/>
                <w:szCs w:val="20"/>
                <w:lang w:eastAsia="en-AU"/>
              </w:rPr>
              <w:t xml:space="preserve"> pricing pathway A. Submissions would be assigned a case manager from their notice of intent to make a submission. </w:t>
            </w:r>
          </w:p>
        </w:tc>
      </w:tr>
      <w:tr w:rsidR="000C7F7A" w:rsidRPr="006647C5" w14:paraId="4A90EED2" w14:textId="77777777" w:rsidTr="00C93D28">
        <w:trPr>
          <w:trHeight w:val="328"/>
        </w:trPr>
        <w:tc>
          <w:tcPr>
            <w:tcW w:w="15735" w:type="dxa"/>
            <w:gridSpan w:val="5"/>
            <w:tcBorders>
              <w:top w:val="single" w:sz="4" w:space="0" w:color="008A96" w:themeColor="accent3"/>
            </w:tcBorders>
            <w:shd w:val="clear" w:color="auto" w:fill="FFFFFF" w:themeFill="background1"/>
            <w:tcMar>
              <w:top w:w="72" w:type="dxa"/>
              <w:left w:w="144" w:type="dxa"/>
              <w:bottom w:w="72" w:type="dxa"/>
              <w:right w:w="144" w:type="dxa"/>
            </w:tcMar>
          </w:tcPr>
          <w:p w14:paraId="27001E23" w14:textId="09B6A7D0" w:rsidR="000C7F7A" w:rsidRDefault="006F5B0D" w:rsidP="008505D7">
            <w:pPr>
              <w:pStyle w:val="ListParagraph"/>
              <w:numPr>
                <w:ilvl w:val="0"/>
                <w:numId w:val="35"/>
              </w:numPr>
              <w:spacing w:after="0"/>
              <w:ind w:left="215" w:hanging="357"/>
              <w:rPr>
                <w:rFonts w:eastAsia="Times New Roman" w:cs="Segoe UI"/>
                <w:color w:val="222A35"/>
                <w:kern w:val="24"/>
                <w:sz w:val="20"/>
                <w:szCs w:val="20"/>
                <w:lang w:eastAsia="en-AU"/>
              </w:rPr>
            </w:pPr>
            <w:r w:rsidRPr="009D14F6">
              <w:rPr>
                <w:color w:val="008A96" w:themeColor="accent3"/>
              </w:rPr>
              <w:fldChar w:fldCharType="begin"/>
            </w:r>
            <w:r w:rsidRPr="009D14F6">
              <w:rPr>
                <w:color w:val="008A96" w:themeColor="accent3"/>
              </w:rPr>
              <w:instrText xml:space="preserve"> REF _Ref156466681 \h </w:instrText>
            </w:r>
            <w:r w:rsidR="00AC55D5">
              <w:rPr>
                <w:color w:val="008A96" w:themeColor="accent3"/>
              </w:rPr>
              <w:instrText xml:space="preserve"> \* MERGEFORMAT </w:instrText>
            </w:r>
            <w:r w:rsidRPr="009D14F6">
              <w:rPr>
                <w:color w:val="008A96" w:themeColor="accent3"/>
              </w:rPr>
            </w:r>
            <w:r w:rsidRPr="009D14F6">
              <w:rPr>
                <w:color w:val="008A96" w:themeColor="accent3"/>
              </w:rPr>
              <w:fldChar w:fldCharType="separate"/>
            </w:r>
            <w:r w:rsidR="00474ED6" w:rsidRPr="00474ED6">
              <w:rPr>
                <w:color w:val="008A96" w:themeColor="accent3"/>
              </w:rPr>
              <w:t>Methods for HTA for Australian Government Subsidy (technical methods)</w:t>
            </w:r>
            <w:r w:rsidRPr="009D14F6">
              <w:rPr>
                <w:color w:val="008A96" w:themeColor="accent3"/>
              </w:rPr>
              <w:fldChar w:fldCharType="end"/>
            </w:r>
          </w:p>
        </w:tc>
      </w:tr>
      <w:tr w:rsidR="000C7F7A" w:rsidRPr="006647C5" w14:paraId="00C7D623" w14:textId="77777777" w:rsidTr="00C93D28">
        <w:trPr>
          <w:trHeight w:val="278"/>
        </w:trPr>
        <w:tc>
          <w:tcPr>
            <w:tcW w:w="15735" w:type="dxa"/>
            <w:gridSpan w:val="5"/>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1C8F27A" w14:textId="5EB13DC0" w:rsidR="000C7F7A" w:rsidRPr="009D14F6" w:rsidRDefault="006F5B0D" w:rsidP="008505D7">
            <w:pPr>
              <w:pStyle w:val="Heading6"/>
              <w:numPr>
                <w:ilvl w:val="1"/>
                <w:numId w:val="35"/>
              </w:numPr>
              <w:ind w:left="274"/>
              <w:rPr>
                <w:color w:val="1D437F" w:themeColor="accent1"/>
              </w:rPr>
            </w:pPr>
            <w:r w:rsidRPr="009D14F6">
              <w:rPr>
                <w:color w:val="1D437F" w:themeColor="accent1"/>
              </w:rPr>
              <w:t>Determination of the Population, intervention, Comparator,</w:t>
            </w:r>
            <w:r w:rsidR="004B222E">
              <w:rPr>
                <w:color w:val="1D437F" w:themeColor="accent1"/>
              </w:rPr>
              <w:t xml:space="preserve"> </w:t>
            </w:r>
            <w:r w:rsidRPr="009D14F6">
              <w:rPr>
                <w:color w:val="1D437F" w:themeColor="accent1"/>
              </w:rPr>
              <w:t>Outcome</w:t>
            </w:r>
            <w:r w:rsidRPr="009D14F6" w:rsidDel="00217D46">
              <w:rPr>
                <w:color w:val="1D437F" w:themeColor="accent1"/>
              </w:rPr>
              <w:t xml:space="preserve"> </w:t>
            </w:r>
            <w:hyperlink w:anchor="_Economic_evaluation" w:history="1">
              <w:r w:rsidRPr="00DB623D">
                <w:rPr>
                  <w:rStyle w:val="Hyperlink"/>
                </w:rPr>
                <w:t>(</w:t>
              </w:r>
              <w:r w:rsidR="005F3AA2" w:rsidRPr="00DB623D">
                <w:rPr>
                  <w:rStyle w:val="Hyperlink"/>
                </w:rPr>
                <w:t>comparator is also addressed under economic evaluation</w:t>
              </w:r>
              <w:r w:rsidRPr="00DB623D">
                <w:rPr>
                  <w:rStyle w:val="Hyperlink"/>
                </w:rPr>
                <w:t>)</w:t>
              </w:r>
            </w:hyperlink>
          </w:p>
        </w:tc>
      </w:tr>
      <w:tr w:rsidR="008A5286" w:rsidRPr="006647C5" w14:paraId="217A511E" w14:textId="77777777" w:rsidTr="00534579">
        <w:trPr>
          <w:trHeight w:val="350"/>
        </w:trPr>
        <w:tc>
          <w:tcPr>
            <w:tcW w:w="1055" w:type="dxa"/>
            <w:tcBorders>
              <w:top w:val="single" w:sz="4" w:space="0" w:color="E7E6E6" w:themeColor="background2"/>
            </w:tcBorders>
            <w:shd w:val="clear" w:color="auto" w:fill="FFFFFF" w:themeFill="background1"/>
            <w:tcMar>
              <w:top w:w="72" w:type="dxa"/>
              <w:left w:w="144" w:type="dxa"/>
              <w:bottom w:w="72" w:type="dxa"/>
              <w:right w:w="144" w:type="dxa"/>
            </w:tcMar>
          </w:tcPr>
          <w:p w14:paraId="21CF37E5" w14:textId="6230C6D0" w:rsidR="008A5286" w:rsidRPr="00814E10" w:rsidRDefault="008A5286" w:rsidP="008C10BB">
            <w:pPr>
              <w:spacing w:after="120"/>
              <w:rPr>
                <w:rFonts w:eastAsia="Times New Roman" w:cs="Segoe UI"/>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48C89BAD" w14:textId="6B726C8C" w:rsidR="008A5286" w:rsidRPr="001D3151" w:rsidRDefault="008A5286" w:rsidP="008A5286">
            <w:pPr>
              <w:pStyle w:val="Heading6"/>
              <w:rPr>
                <w:rFonts w:cs="Segoe UI"/>
                <w:i w:val="0"/>
                <w:color w:val="auto"/>
              </w:rPr>
            </w:pPr>
            <w:r w:rsidRPr="001D3151">
              <w:rPr>
                <w:rFonts w:cs="Segoe UI"/>
                <w:i w:val="0"/>
                <w:color w:val="auto"/>
              </w:rPr>
              <w:t>Increased early stakeholder input</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3092918" w14:textId="3EF48B7D" w:rsidR="008A5286" w:rsidRPr="00814E10" w:rsidRDefault="008A5286" w:rsidP="008C10BB">
            <w:pPr>
              <w:spacing w:after="0"/>
              <w:rPr>
                <w:rFonts w:eastAsia="Times New Roman" w:cs="Segoe UI"/>
                <w:sz w:val="20"/>
                <w:szCs w:val="20"/>
                <w:lang w:eastAsia="en-AU"/>
              </w:rPr>
            </w:pPr>
            <w:r w:rsidRPr="00814E10">
              <w:rPr>
                <w:rFonts w:eastAsia="Times New Roman" w:cs="Segoe UI"/>
                <w:sz w:val="20"/>
                <w:szCs w:val="20"/>
                <w:lang w:eastAsia="en-AU"/>
              </w:rPr>
              <w:t>Increased early input on the PICO</w:t>
            </w:r>
            <w:r w:rsidR="0068258A">
              <w:rPr>
                <w:rFonts w:eastAsia="Times New Roman" w:cs="Segoe UI"/>
                <w:sz w:val="20"/>
                <w:szCs w:val="20"/>
                <w:lang w:eastAsia="en-AU"/>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Times New Roman" w:cs="Segoe UI"/>
                <w:sz w:val="20"/>
                <w:szCs w:val="20"/>
                <w:lang w:eastAsia="en-AU"/>
              </w:rPr>
              <w:fldChar w:fldCharType="end"/>
            </w:r>
            <w:r w:rsidRPr="00814E10">
              <w:rPr>
                <w:rFonts w:eastAsia="Times New Roman" w:cs="Segoe UI"/>
                <w:sz w:val="20"/>
                <w:szCs w:val="20"/>
                <w:lang w:eastAsia="en-AU"/>
              </w:rPr>
              <w:t xml:space="preserve"> from patient and clinician communities to ensure all relevant patient populations </w:t>
            </w:r>
            <w:r w:rsidRPr="73A186CB">
              <w:rPr>
                <w:rFonts w:eastAsia="Times New Roman" w:cs="Segoe UI"/>
                <w:sz w:val="20"/>
                <w:szCs w:val="20"/>
                <w:lang w:eastAsia="en-AU"/>
              </w:rPr>
              <w:t xml:space="preserve">that could potentially benefit from the new </w:t>
            </w:r>
            <w:r w:rsidRPr="5C9657E7">
              <w:rPr>
                <w:rFonts w:eastAsia="Times New Roman" w:cs="Segoe UI"/>
                <w:sz w:val="20"/>
                <w:szCs w:val="20"/>
                <w:lang w:eastAsia="en-AU"/>
              </w:rPr>
              <w:t>therapy are</w:t>
            </w:r>
            <w:r w:rsidRPr="00814E10">
              <w:rPr>
                <w:rFonts w:eastAsia="Times New Roman" w:cs="Segoe UI"/>
                <w:sz w:val="20"/>
                <w:szCs w:val="20"/>
                <w:lang w:eastAsia="en-AU"/>
              </w:rPr>
              <w:t xml:space="preserve"> </w:t>
            </w:r>
            <w:r>
              <w:rPr>
                <w:rFonts w:eastAsia="Times New Roman" w:cs="Segoe UI"/>
                <w:sz w:val="20"/>
                <w:szCs w:val="20"/>
                <w:lang w:eastAsia="en-AU"/>
              </w:rPr>
              <w:t>considered</w:t>
            </w:r>
            <w:r w:rsidRPr="00814E10">
              <w:rPr>
                <w:rFonts w:eastAsia="Times New Roman" w:cs="Segoe UI"/>
                <w:sz w:val="20"/>
                <w:szCs w:val="20"/>
                <w:lang w:eastAsia="en-AU"/>
              </w:rPr>
              <w:t xml:space="preserve"> in the HTA, and </w:t>
            </w:r>
            <w:r w:rsidRPr="3536CBE5">
              <w:rPr>
                <w:rFonts w:eastAsia="Times New Roman" w:cs="Segoe UI"/>
                <w:sz w:val="20"/>
                <w:szCs w:val="20"/>
                <w:lang w:eastAsia="en-AU"/>
              </w:rPr>
              <w:t>to identify</w:t>
            </w:r>
            <w:r w:rsidRPr="00814E10">
              <w:rPr>
                <w:rFonts w:eastAsia="Times New Roman" w:cs="Segoe UI"/>
                <w:sz w:val="20"/>
                <w:szCs w:val="20"/>
                <w:lang w:eastAsia="en-AU"/>
              </w:rPr>
              <w:t xml:space="preserve"> issues that may impact implementation early to be addressed (for new drugs or major expanded indications claiming added therapeutic value). </w:t>
            </w:r>
          </w:p>
        </w:tc>
      </w:tr>
      <w:tr w:rsidR="008A5286" w:rsidRPr="006647C5" w14:paraId="26728B0E" w14:textId="77777777" w:rsidTr="00534579">
        <w:trPr>
          <w:trHeight w:val="350"/>
        </w:trPr>
        <w:tc>
          <w:tcPr>
            <w:tcW w:w="1055" w:type="dxa"/>
            <w:shd w:val="clear" w:color="auto" w:fill="FFFFFF" w:themeFill="background1"/>
            <w:tcMar>
              <w:top w:w="72" w:type="dxa"/>
              <w:left w:w="144" w:type="dxa"/>
              <w:bottom w:w="72" w:type="dxa"/>
              <w:right w:w="144" w:type="dxa"/>
            </w:tcMar>
          </w:tcPr>
          <w:p w14:paraId="39295F4D" w14:textId="044810ED" w:rsidR="008A5286" w:rsidRPr="00814E10" w:rsidRDefault="008A5286" w:rsidP="008C10BB">
            <w:pPr>
              <w:spacing w:after="120"/>
              <w:rPr>
                <w:rFonts w:eastAsia="Times New Roman" w:cs="Segoe UI"/>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7733D38" w14:textId="0C432BBA" w:rsidR="008A5286" w:rsidRPr="001D3151" w:rsidRDefault="008A5286" w:rsidP="008C10BB">
            <w:pPr>
              <w:spacing w:after="120"/>
              <w:rPr>
                <w:rFonts w:eastAsiaTheme="majorEastAsia" w:cs="Segoe UI"/>
                <w:sz w:val="20"/>
                <w:szCs w:val="20"/>
                <w:lang w:eastAsia="en-AU"/>
              </w:rPr>
            </w:pPr>
            <w:r w:rsidRPr="001D3151">
              <w:rPr>
                <w:rFonts w:eastAsiaTheme="majorEastAsia" w:cs="Segoe UI"/>
                <w:sz w:val="20"/>
                <w:szCs w:val="20"/>
                <w:lang w:eastAsia="en-AU"/>
              </w:rPr>
              <w:t>Increased transparency</w:t>
            </w:r>
            <w:r w:rsidR="002A0D74" w:rsidRPr="001D3151">
              <w:rPr>
                <w:rFonts w:eastAsiaTheme="majorEastAsia" w:cs="Segoe UI"/>
                <w:sz w:val="20"/>
                <w:szCs w:val="20"/>
                <w:lang w:eastAsia="en-AU"/>
              </w:rPr>
              <w:fldChar w:fldCharType="begin"/>
            </w:r>
            <w:r w:rsidR="002A0D74">
              <w:instrText xml:space="preserve"> XE "</w:instrText>
            </w:r>
            <w:r w:rsidR="002A0D74" w:rsidRPr="005B2802">
              <w:instrText>transparency</w:instrText>
            </w:r>
            <w:r w:rsidR="002A0D74">
              <w:instrText xml:space="preserve">" </w:instrText>
            </w:r>
            <w:r w:rsidR="002A0D74" w:rsidRPr="001D3151">
              <w:rPr>
                <w:rFonts w:eastAsiaTheme="majorEastAsia" w:cs="Segoe UI"/>
                <w:sz w:val="20"/>
                <w:szCs w:val="20"/>
                <w:lang w:eastAsia="en-AU"/>
              </w:rPr>
              <w:fldChar w:fldCharType="end"/>
            </w:r>
            <w:r w:rsidRPr="001D3151">
              <w:rPr>
                <w:rFonts w:eastAsiaTheme="majorEastAsia" w:cs="Segoe UI"/>
                <w:sz w:val="20"/>
                <w:szCs w:val="20"/>
                <w:lang w:eastAsia="en-AU"/>
              </w:rPr>
              <w:t xml:space="preserve"> for stakeholders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B0052BB" w14:textId="62C0DB98" w:rsidR="008A5286" w:rsidRPr="00814E10" w:rsidRDefault="008A5286" w:rsidP="008C10BB">
            <w:pPr>
              <w:spacing w:after="0"/>
              <w:rPr>
                <w:rFonts w:eastAsia="Times New Roman" w:cs="Segoe UI"/>
                <w:sz w:val="20"/>
                <w:szCs w:val="20"/>
                <w:lang w:eastAsia="en-AU"/>
              </w:rPr>
            </w:pPr>
            <w:r w:rsidRPr="00814E10">
              <w:rPr>
                <w:rFonts w:eastAsia="Times New Roman" w:cs="Segoe UI"/>
                <w:sz w:val="20"/>
                <w:szCs w:val="20"/>
                <w:lang w:eastAsia="en-AU"/>
              </w:rPr>
              <w:t>That plain language summaries of the PICO</w:t>
            </w:r>
            <w:r w:rsidR="0068258A">
              <w:rPr>
                <w:rFonts w:eastAsia="Times New Roman" w:cs="Segoe UI"/>
                <w:sz w:val="20"/>
                <w:szCs w:val="20"/>
                <w:lang w:eastAsia="en-AU"/>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Times New Roman" w:cs="Segoe UI"/>
                <w:sz w:val="20"/>
                <w:szCs w:val="20"/>
                <w:lang w:eastAsia="en-AU"/>
              </w:rPr>
              <w:fldChar w:fldCharType="end"/>
            </w:r>
            <w:r w:rsidRPr="00814E10">
              <w:rPr>
                <w:rFonts w:eastAsia="Times New Roman" w:cs="Segoe UI"/>
                <w:sz w:val="20"/>
                <w:szCs w:val="20"/>
                <w:lang w:eastAsia="en-AU"/>
              </w:rPr>
              <w:t xml:space="preserve"> are produced in collaboration</w:t>
            </w:r>
            <w:r w:rsidR="00306661">
              <w:rPr>
                <w:rFonts w:eastAsia="Times New Roman" w:cs="Segoe UI"/>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sz w:val="20"/>
                <w:szCs w:val="20"/>
                <w:lang w:eastAsia="en-AU"/>
              </w:rPr>
              <w:fldChar w:fldCharType="end"/>
            </w:r>
            <w:r w:rsidRPr="00814E10">
              <w:rPr>
                <w:rFonts w:eastAsia="Times New Roman" w:cs="Segoe UI"/>
                <w:sz w:val="20"/>
                <w:szCs w:val="20"/>
                <w:lang w:eastAsia="en-AU"/>
              </w:rPr>
              <w:t xml:space="preserve"> between the sponsor and the </w:t>
            </w:r>
            <w:r w:rsidR="00406C75">
              <w:rPr>
                <w:rFonts w:eastAsia="Times New Roman" w:cs="Segoe UI"/>
                <w:sz w:val="20"/>
                <w:szCs w:val="20"/>
                <w:lang w:eastAsia="en-AU"/>
              </w:rPr>
              <w:t>D</w:t>
            </w:r>
            <w:r w:rsidRPr="00814E10">
              <w:rPr>
                <w:rFonts w:eastAsia="Times New Roman" w:cs="Segoe UI"/>
                <w:sz w:val="20"/>
                <w:szCs w:val="20"/>
                <w:lang w:eastAsia="en-AU"/>
              </w:rPr>
              <w:t>epartment to be released with the PBAC agenda to increase transparency</w:t>
            </w:r>
            <w:r w:rsidR="002A0D74">
              <w:rPr>
                <w:rFonts w:eastAsia="Times New Roman" w:cs="Segoe UI"/>
                <w:sz w:val="20"/>
                <w:szCs w:val="20"/>
                <w:lang w:eastAsia="en-AU"/>
              </w:rPr>
              <w:fldChar w:fldCharType="begin"/>
            </w:r>
            <w:r w:rsidR="002A0D74">
              <w:instrText xml:space="preserve"> XE "</w:instrText>
            </w:r>
            <w:r w:rsidR="002A0D74" w:rsidRPr="005B2802">
              <w:instrText>transparency</w:instrText>
            </w:r>
            <w:r w:rsidR="002A0D74">
              <w:instrText xml:space="preserve">" </w:instrText>
            </w:r>
            <w:r w:rsidR="002A0D74">
              <w:rPr>
                <w:rFonts w:eastAsia="Times New Roman" w:cs="Segoe UI"/>
                <w:sz w:val="20"/>
                <w:szCs w:val="20"/>
                <w:lang w:eastAsia="en-AU"/>
              </w:rPr>
              <w:fldChar w:fldCharType="end"/>
            </w:r>
            <w:r w:rsidRPr="00814E10">
              <w:rPr>
                <w:rFonts w:eastAsia="Times New Roman" w:cs="Segoe UI"/>
                <w:sz w:val="20"/>
                <w:szCs w:val="20"/>
                <w:lang w:eastAsia="en-AU"/>
              </w:rPr>
              <w:t xml:space="preserve"> about the proposed treatment population and communicate the expected benefit (outcome) to assist in managing </w:t>
            </w:r>
            <w:r w:rsidR="001E6261">
              <w:rPr>
                <w:rFonts w:eastAsia="Times New Roman" w:cs="Segoe UI"/>
                <w:sz w:val="20"/>
                <w:szCs w:val="20"/>
                <w:lang w:eastAsia="en-AU"/>
              </w:rPr>
              <w:t xml:space="preserve">stakeholder </w:t>
            </w:r>
            <w:r w:rsidRPr="00814E10">
              <w:rPr>
                <w:rFonts w:eastAsia="Times New Roman" w:cs="Segoe UI"/>
                <w:sz w:val="20"/>
                <w:szCs w:val="20"/>
                <w:lang w:eastAsia="en-AU"/>
              </w:rPr>
              <w:t xml:space="preserve">expectations (for new drugs or major expanded indications claiming added therapeutic value). </w:t>
            </w:r>
          </w:p>
        </w:tc>
      </w:tr>
      <w:tr w:rsidR="008A5286" w:rsidRPr="006647C5" w14:paraId="2FB62B2A" w14:textId="77777777" w:rsidTr="00534579">
        <w:trPr>
          <w:trHeight w:val="350"/>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2249169F" w14:textId="263DACAB" w:rsidR="008A5286" w:rsidRPr="00814E10" w:rsidRDefault="008A5286" w:rsidP="008C10BB">
            <w:pPr>
              <w:spacing w:after="120"/>
              <w:rPr>
                <w:rFonts w:eastAsia="Times New Roman" w:cs="Segoe UI"/>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6885C571" w14:textId="68D259DF" w:rsidR="008A5286" w:rsidRPr="00814E10" w:rsidRDefault="008A5286" w:rsidP="008C10BB">
            <w:pPr>
              <w:spacing w:after="120"/>
              <w:ind w:left="-21"/>
              <w:rPr>
                <w:rFonts w:eastAsia="Times New Roman" w:cs="Segoe UI"/>
                <w:sz w:val="20"/>
                <w:szCs w:val="20"/>
                <w:lang w:eastAsia="en-AU"/>
              </w:rPr>
            </w:pPr>
            <w:r w:rsidRPr="00814E10">
              <w:rPr>
                <w:rFonts w:eastAsia="Times New Roman" w:cs="Segoe UI"/>
                <w:sz w:val="20"/>
                <w:szCs w:val="20"/>
                <w:lang w:eastAsia="en-AU"/>
              </w:rPr>
              <w:t xml:space="preserve">Updated </w:t>
            </w:r>
            <w:r w:rsidRPr="001D3151">
              <w:rPr>
                <w:rFonts w:eastAsia="Times New Roman" w:cs="Segoe UI"/>
                <w:kern w:val="24"/>
                <w:sz w:val="20"/>
                <w:szCs w:val="20"/>
                <w:lang w:eastAsia="en-AU"/>
              </w:rPr>
              <w:t>guidance</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6CE87FC0" w14:textId="5A72FD3B" w:rsidR="008A5286" w:rsidRPr="00483FBD" w:rsidRDefault="008A5286" w:rsidP="008C10BB">
            <w:pPr>
              <w:spacing w:after="0"/>
              <w:rPr>
                <w:rFonts w:eastAsia="Times New Roman" w:cs="Segoe UI"/>
                <w:sz w:val="20"/>
                <w:szCs w:val="20"/>
                <w:lang w:eastAsia="en-AU"/>
              </w:rPr>
            </w:pPr>
            <w:r w:rsidRPr="00483FBD">
              <w:rPr>
                <w:rFonts w:eastAsia="Times New Roman" w:cs="Segoe UI"/>
                <w:sz w:val="20"/>
                <w:szCs w:val="20"/>
                <w:lang w:eastAsia="en-AU"/>
              </w:rPr>
              <w:t xml:space="preserve">Updated guidance to require the explicit consideration of </w:t>
            </w:r>
            <w:r w:rsidR="00404E39" w:rsidRPr="00483FBD">
              <w:rPr>
                <w:rFonts w:eastAsia="Times New Roman" w:cs="Segoe UI"/>
                <w:sz w:val="20"/>
                <w:szCs w:val="20"/>
                <w:lang w:eastAsia="en-AU"/>
              </w:rPr>
              <w:t xml:space="preserve">health </w:t>
            </w:r>
            <w:r w:rsidRPr="00483FBD">
              <w:rPr>
                <w:rFonts w:eastAsia="Times New Roman" w:cs="Segoe UI"/>
                <w:sz w:val="20"/>
                <w:szCs w:val="20"/>
                <w:lang w:eastAsia="en-AU"/>
              </w:rPr>
              <w:t>equity</w:t>
            </w:r>
            <w:r w:rsidR="00A67FBB" w:rsidRPr="00483FBD">
              <w:rPr>
                <w:rFonts w:eastAsia="Times New Roman" w:cs="Segoe UI"/>
                <w:sz w:val="20"/>
                <w:szCs w:val="20"/>
                <w:lang w:eastAsia="en-AU"/>
              </w:rPr>
              <w:fldChar w:fldCharType="begin"/>
            </w:r>
            <w:r w:rsidR="00A67FBB" w:rsidRPr="00483FBD">
              <w:instrText xml:space="preserve"> XE "</w:instrText>
            </w:r>
            <w:r w:rsidR="00A67FBB" w:rsidRPr="00483FBD">
              <w:rPr>
                <w:rFonts w:eastAsia="Times New Roman" w:cs="Segoe UI"/>
                <w:color w:val="222A35"/>
                <w:kern w:val="24"/>
                <w:sz w:val="20"/>
                <w:szCs w:val="20"/>
                <w:lang w:eastAsia="en-AU"/>
              </w:rPr>
              <w:instrText>equity</w:instrText>
            </w:r>
            <w:r w:rsidR="00A67FBB" w:rsidRPr="00483FBD">
              <w:instrText xml:space="preserve">" </w:instrText>
            </w:r>
            <w:r w:rsidR="00A67FBB" w:rsidRPr="00483FBD">
              <w:rPr>
                <w:rFonts w:eastAsia="Times New Roman" w:cs="Segoe UI"/>
                <w:sz w:val="20"/>
                <w:szCs w:val="20"/>
                <w:lang w:eastAsia="en-AU"/>
              </w:rPr>
              <w:fldChar w:fldCharType="end"/>
            </w:r>
            <w:r w:rsidRPr="00483FBD">
              <w:rPr>
                <w:rFonts w:eastAsia="Times New Roman" w:cs="Segoe UI"/>
                <w:sz w:val="20"/>
                <w:szCs w:val="20"/>
                <w:lang w:eastAsia="en-AU"/>
              </w:rPr>
              <w:t xml:space="preserve"> and priority populations for new treatments.</w:t>
            </w:r>
          </w:p>
          <w:p w14:paraId="2E79E4C2" w14:textId="77777777" w:rsidR="008A5286" w:rsidRPr="00483FBD" w:rsidRDefault="008A5286" w:rsidP="008C10BB">
            <w:pPr>
              <w:spacing w:after="0"/>
              <w:rPr>
                <w:rFonts w:eastAsia="Times New Roman" w:cs="Segoe UI"/>
                <w:sz w:val="20"/>
                <w:szCs w:val="20"/>
                <w:lang w:eastAsia="en-AU"/>
              </w:rPr>
            </w:pPr>
          </w:p>
          <w:p w14:paraId="6EF45D8F" w14:textId="52B5EAFB" w:rsidR="008A5286" w:rsidRPr="00286754" w:rsidRDefault="008A5286" w:rsidP="008C10BB">
            <w:pPr>
              <w:spacing w:after="0"/>
              <w:rPr>
                <w:rFonts w:eastAsia="Times New Roman" w:cs="Segoe UI"/>
                <w:sz w:val="20"/>
                <w:szCs w:val="20"/>
                <w:lang w:eastAsia="en-AU"/>
              </w:rPr>
            </w:pPr>
            <w:r w:rsidRPr="00483FBD">
              <w:rPr>
                <w:rFonts w:eastAsia="Times New Roman" w:cs="Segoe UI"/>
                <w:sz w:val="20"/>
                <w:szCs w:val="20"/>
                <w:lang w:eastAsia="en-AU"/>
              </w:rPr>
              <w:t>Additional guidance be produced regarding</w:t>
            </w:r>
            <w:r w:rsidR="00E050ED">
              <w:rPr>
                <w:rFonts w:eastAsia="Times New Roman" w:cs="Segoe UI"/>
                <w:sz w:val="20"/>
                <w:szCs w:val="20"/>
                <w:lang w:eastAsia="en-AU"/>
              </w:rPr>
              <w:t xml:space="preserve"> when and how</w:t>
            </w:r>
            <w:r w:rsidRPr="00483FBD">
              <w:rPr>
                <w:rFonts w:eastAsia="Times New Roman" w:cs="Segoe UI"/>
                <w:sz w:val="20"/>
                <w:szCs w:val="20"/>
                <w:lang w:eastAsia="en-AU"/>
              </w:rPr>
              <w:t xml:space="preserve"> PICO</w:t>
            </w:r>
            <w:r w:rsidR="0068258A" w:rsidRPr="00483FBD">
              <w:rPr>
                <w:rFonts w:eastAsia="Times New Roman" w:cs="Segoe UI"/>
                <w:sz w:val="20"/>
                <w:szCs w:val="20"/>
                <w:lang w:eastAsia="en-AU"/>
              </w:rPr>
              <w:fldChar w:fldCharType="begin"/>
            </w:r>
            <w:r w:rsidR="0068258A" w:rsidRPr="00483FBD">
              <w:instrText xml:space="preserve"> XE "</w:instrText>
            </w:r>
            <w:r w:rsidR="0068258A" w:rsidRPr="00483FBD">
              <w:rPr>
                <w:rFonts w:eastAsia="Times New Roman" w:cs="Segoe UI"/>
                <w:color w:val="222A35"/>
                <w:kern w:val="24"/>
                <w:sz w:val="20"/>
                <w:szCs w:val="20"/>
                <w:lang w:eastAsia="en-AU"/>
              </w:rPr>
              <w:instrText>PICO</w:instrText>
            </w:r>
            <w:r w:rsidR="0068258A" w:rsidRPr="00483FBD">
              <w:instrText xml:space="preserve">" \b </w:instrText>
            </w:r>
            <w:r w:rsidR="0068258A" w:rsidRPr="00483FBD">
              <w:rPr>
                <w:rFonts w:eastAsia="Times New Roman" w:cs="Segoe UI"/>
                <w:sz w:val="20"/>
                <w:szCs w:val="20"/>
                <w:lang w:eastAsia="en-AU"/>
              </w:rPr>
              <w:fldChar w:fldCharType="end"/>
            </w:r>
            <w:r w:rsidRPr="00483FBD">
              <w:rPr>
                <w:rFonts w:eastAsia="Times New Roman" w:cs="Segoe UI"/>
                <w:sz w:val="20"/>
                <w:szCs w:val="20"/>
                <w:lang w:eastAsia="en-AU"/>
              </w:rPr>
              <w:t xml:space="preserve"> is to be developed</w:t>
            </w:r>
            <w:r w:rsidR="0007145B" w:rsidRPr="00483FBD">
              <w:rPr>
                <w:rFonts w:eastAsia="Times New Roman" w:cs="Segoe UI"/>
                <w:sz w:val="20"/>
                <w:szCs w:val="20"/>
                <w:lang w:eastAsia="en-AU"/>
              </w:rPr>
              <w:t xml:space="preserve">, to ensure criteria of importance to </w:t>
            </w:r>
            <w:r w:rsidR="004369CD" w:rsidRPr="00483FBD">
              <w:rPr>
                <w:rFonts w:eastAsia="Times New Roman" w:cs="Segoe UI"/>
                <w:sz w:val="20"/>
                <w:szCs w:val="20"/>
                <w:lang w:eastAsia="en-AU"/>
              </w:rPr>
              <w:t xml:space="preserve">patients and clinicians </w:t>
            </w:r>
            <w:r w:rsidR="001C4DDD" w:rsidRPr="00483FBD">
              <w:rPr>
                <w:rFonts w:eastAsia="Times New Roman" w:cs="Segoe UI"/>
                <w:sz w:val="20"/>
                <w:szCs w:val="20"/>
                <w:lang w:eastAsia="en-AU"/>
              </w:rPr>
              <w:t>(e.g. for HATV/HUCN</w:t>
            </w:r>
            <w:r w:rsidR="00D027D9">
              <w:rPr>
                <w:rFonts w:eastAsia="Times New Roman" w:cs="Segoe UI"/>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sz w:val="20"/>
                <w:szCs w:val="20"/>
                <w:lang w:eastAsia="en-AU"/>
              </w:rPr>
              <w:fldChar w:fldCharType="end"/>
            </w:r>
            <w:r w:rsidR="001C4DDD" w:rsidRPr="00483FBD">
              <w:rPr>
                <w:rFonts w:eastAsia="Times New Roman" w:cs="Segoe UI"/>
                <w:sz w:val="20"/>
                <w:szCs w:val="20"/>
                <w:lang w:eastAsia="en-AU"/>
              </w:rPr>
              <w:t xml:space="preserve"> reasons) </w:t>
            </w:r>
            <w:r w:rsidR="004369CD" w:rsidRPr="00483FBD">
              <w:rPr>
                <w:rFonts w:eastAsia="Times New Roman" w:cs="Segoe UI"/>
                <w:sz w:val="20"/>
                <w:szCs w:val="20"/>
                <w:lang w:eastAsia="en-AU"/>
              </w:rPr>
              <w:t xml:space="preserve">are appropriately </w:t>
            </w:r>
            <w:r w:rsidR="00983E2C" w:rsidRPr="00483FBD">
              <w:rPr>
                <w:rFonts w:eastAsia="Times New Roman" w:cs="Segoe UI"/>
                <w:sz w:val="20"/>
                <w:szCs w:val="20"/>
                <w:lang w:eastAsia="en-AU"/>
              </w:rPr>
              <w:t>considered and discussed</w:t>
            </w:r>
            <w:r w:rsidRPr="00483FBD">
              <w:rPr>
                <w:rFonts w:eastAsia="Times New Roman" w:cs="Segoe UI"/>
                <w:sz w:val="20"/>
                <w:szCs w:val="20"/>
                <w:lang w:eastAsia="en-AU"/>
              </w:rPr>
              <w:t>.</w:t>
            </w:r>
            <w:r w:rsidRPr="00286754">
              <w:rPr>
                <w:rFonts w:eastAsia="Times New Roman" w:cs="Segoe UI"/>
                <w:sz w:val="20"/>
                <w:szCs w:val="20"/>
                <w:lang w:eastAsia="en-AU"/>
              </w:rPr>
              <w:t xml:space="preserve"> </w:t>
            </w:r>
          </w:p>
        </w:tc>
      </w:tr>
      <w:tr w:rsidR="00534579" w:rsidRPr="006647C5" w14:paraId="4B259BF5" w14:textId="4A955A87" w:rsidTr="00534579">
        <w:trPr>
          <w:trHeight w:val="350"/>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hideMark/>
          </w:tcPr>
          <w:p w14:paraId="33E09E4C" w14:textId="37F55FD9" w:rsidR="00534579" w:rsidRPr="00A63CA0" w:rsidRDefault="00534579" w:rsidP="008505D7">
            <w:pPr>
              <w:pStyle w:val="Heading6"/>
              <w:numPr>
                <w:ilvl w:val="1"/>
                <w:numId w:val="35"/>
              </w:numPr>
              <w:ind w:left="274"/>
              <w:rPr>
                <w:rFonts w:eastAsia="Times New Roman" w:cs="Segoe UI"/>
                <w:sz w:val="20"/>
              </w:rPr>
            </w:pPr>
            <w:r w:rsidRPr="009D14F6">
              <w:rPr>
                <w:color w:val="1D437F" w:themeColor="accent1"/>
              </w:rPr>
              <w:t>Clinical Evaluation Methods</w:t>
            </w:r>
            <w:r w:rsidRPr="00CA035A">
              <w:t xml:space="preserve"> </w:t>
            </w:r>
          </w:p>
        </w:tc>
      </w:tr>
      <w:tr w:rsidR="005C4E85" w:rsidRPr="006647C5" w14:paraId="11137C29" w14:textId="77777777" w:rsidTr="00534579">
        <w:trPr>
          <w:trHeight w:val="350"/>
        </w:trPr>
        <w:tc>
          <w:tcPr>
            <w:tcW w:w="1055" w:type="dxa"/>
            <w:shd w:val="clear" w:color="auto" w:fill="FFFFFF" w:themeFill="background1"/>
            <w:tcMar>
              <w:top w:w="72" w:type="dxa"/>
              <w:left w:w="144" w:type="dxa"/>
              <w:bottom w:w="72" w:type="dxa"/>
              <w:right w:w="144" w:type="dxa"/>
            </w:tcMar>
          </w:tcPr>
          <w:p w14:paraId="6A7225B0" w14:textId="77777777" w:rsidR="007F2422" w:rsidRPr="00CA035A" w:rsidRDefault="007F2422" w:rsidP="003A70A5">
            <w:pPr>
              <w:pStyle w:val="Heading6"/>
            </w:pPr>
          </w:p>
        </w:tc>
        <w:tc>
          <w:tcPr>
            <w:tcW w:w="1901" w:type="dxa"/>
            <w:gridSpan w:val="2"/>
            <w:tcBorders>
              <w:top w:val="single" w:sz="4" w:space="0" w:color="E7E6E6" w:themeColor="background2"/>
            </w:tcBorders>
            <w:shd w:val="clear" w:color="auto" w:fill="FFFFFF" w:themeFill="background1"/>
          </w:tcPr>
          <w:p w14:paraId="35B5697D" w14:textId="0140B99E" w:rsidR="007F2422" w:rsidRPr="001D3151" w:rsidRDefault="008A7979" w:rsidP="003659FD">
            <w:pPr>
              <w:pStyle w:val="Heading7"/>
              <w:keepNext w:val="0"/>
              <w:keepLines w:val="0"/>
              <w:rPr>
                <w:color w:val="auto"/>
              </w:rPr>
            </w:pPr>
            <w:r w:rsidRPr="001D3151">
              <w:rPr>
                <w:color w:val="auto"/>
                <w:lang w:eastAsia="en-AU"/>
              </w:rPr>
              <w:t xml:space="preserve">Overarching principles for </w:t>
            </w:r>
            <w:r w:rsidRPr="001D3151">
              <w:rPr>
                <w:color w:val="auto"/>
                <w:lang w:eastAsia="en-AU"/>
              </w:rPr>
              <w:lastRenderedPageBreak/>
              <w:t xml:space="preserve">adopting methods </w:t>
            </w:r>
            <w:r w:rsidR="00450D9E" w:rsidRPr="001D3151">
              <w:rPr>
                <w:color w:val="auto"/>
                <w:lang w:eastAsia="en-AU"/>
              </w:rPr>
              <w:t xml:space="preserve">in </w:t>
            </w:r>
            <w:r w:rsidR="008C5491" w:rsidRPr="001D3151">
              <w:rPr>
                <w:color w:val="auto"/>
                <w:lang w:eastAsia="en-AU"/>
              </w:rPr>
              <w:t>Australian HTA</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B9CBB3A" w14:textId="4EFBE6AC" w:rsidR="007F2422" w:rsidRDefault="008C5491" w:rsidP="008C10BB">
            <w:pPr>
              <w:spacing w:after="0"/>
              <w:rPr>
                <w:rFonts w:eastAsia="Times New Roman" w:cs="Segoe UI"/>
                <w:sz w:val="20"/>
                <w:szCs w:val="20"/>
                <w:lang w:eastAsia="en-AU"/>
              </w:rPr>
            </w:pPr>
            <w:r>
              <w:rPr>
                <w:rFonts w:eastAsia="Times New Roman" w:cs="Segoe UI"/>
                <w:sz w:val="20"/>
                <w:szCs w:val="20"/>
                <w:lang w:eastAsia="en-AU"/>
              </w:rPr>
              <w:lastRenderedPageBreak/>
              <w:t>Implement the overarching p</w:t>
            </w:r>
            <w:r w:rsidRPr="00454C40">
              <w:rPr>
                <w:rFonts w:eastAsia="Times New Roman" w:cs="Segoe UI"/>
                <w:sz w:val="20"/>
                <w:szCs w:val="20"/>
                <w:lang w:eastAsia="en-AU"/>
              </w:rPr>
              <w:t>rinciples for adopting methods in Australian HTA</w:t>
            </w:r>
            <w:r>
              <w:rPr>
                <w:rFonts w:eastAsia="Times New Roman" w:cs="Segoe UI"/>
                <w:sz w:val="20"/>
                <w:szCs w:val="20"/>
                <w:lang w:eastAsia="en-AU"/>
              </w:rPr>
              <w:t xml:space="preserve"> as outlined in the </w:t>
            </w:r>
            <w:hyperlink r:id="rId85" w:anchor="page=151" w:history="1">
              <w:r w:rsidRPr="00CB4D15">
                <w:rPr>
                  <w:rStyle w:val="Hyperlink"/>
                  <w:rFonts w:eastAsia="Times New Roman" w:cs="Segoe UI"/>
                  <w:sz w:val="20"/>
                  <w:szCs w:val="20"/>
                  <w:lang w:eastAsia="en-AU"/>
                </w:rPr>
                <w:t>HTA Review Paper on Clinical Evaluation Methods in HTA</w:t>
              </w:r>
            </w:hyperlink>
            <w:r w:rsidR="004A6E04">
              <w:rPr>
                <w:rFonts w:eastAsia="Times New Roman" w:cs="Segoe UI"/>
                <w:sz w:val="20"/>
                <w:szCs w:val="20"/>
                <w:lang w:eastAsia="en-AU"/>
              </w:rPr>
              <w:t xml:space="preserve"> </w:t>
            </w:r>
            <w:r w:rsidR="004A44CC">
              <w:rPr>
                <w:rFonts w:eastAsia="Times New Roman" w:cs="Segoe UI"/>
                <w:sz w:val="20"/>
                <w:szCs w:val="20"/>
                <w:lang w:eastAsia="en-AU"/>
              </w:rPr>
              <w:t xml:space="preserve">for </w:t>
            </w:r>
            <w:r w:rsidR="002C1D95">
              <w:rPr>
                <w:rFonts w:eastAsia="Times New Roman" w:cs="Segoe UI"/>
                <w:sz w:val="20"/>
                <w:szCs w:val="20"/>
                <w:lang w:eastAsia="en-AU"/>
              </w:rPr>
              <w:t xml:space="preserve">all </w:t>
            </w:r>
            <w:r w:rsidR="004F0185">
              <w:rPr>
                <w:rFonts w:eastAsia="Times New Roman" w:cs="Segoe UI"/>
                <w:sz w:val="20"/>
                <w:szCs w:val="20"/>
                <w:lang w:eastAsia="en-AU"/>
              </w:rPr>
              <w:t>HTA Methods</w:t>
            </w:r>
            <w:r w:rsidR="00A45988">
              <w:rPr>
                <w:rFonts w:eastAsia="Times New Roman" w:cs="Segoe UI"/>
                <w:sz w:val="20"/>
                <w:szCs w:val="20"/>
                <w:lang w:eastAsia="en-AU"/>
              </w:rPr>
              <w:t>.</w:t>
            </w:r>
            <w:r w:rsidR="004F0185">
              <w:rPr>
                <w:rFonts w:eastAsia="Times New Roman" w:cs="Segoe UI"/>
                <w:sz w:val="20"/>
                <w:szCs w:val="20"/>
                <w:lang w:eastAsia="en-AU"/>
              </w:rPr>
              <w:t xml:space="preserve"> </w:t>
            </w:r>
          </w:p>
        </w:tc>
      </w:tr>
      <w:tr w:rsidR="008A5286" w:rsidRPr="006647C5" w14:paraId="3C6C7650" w14:textId="77777777" w:rsidTr="00534579">
        <w:trPr>
          <w:trHeight w:val="350"/>
        </w:trPr>
        <w:tc>
          <w:tcPr>
            <w:tcW w:w="1055" w:type="dxa"/>
            <w:shd w:val="clear" w:color="auto" w:fill="FFFFFF" w:themeFill="background1"/>
            <w:tcMar>
              <w:top w:w="72" w:type="dxa"/>
              <w:left w:w="144" w:type="dxa"/>
              <w:bottom w:w="72" w:type="dxa"/>
              <w:right w:w="144" w:type="dxa"/>
            </w:tcMar>
          </w:tcPr>
          <w:p w14:paraId="497E1E03" w14:textId="77777777" w:rsidR="008A5286" w:rsidRPr="00CA035A" w:rsidRDefault="008A5286" w:rsidP="008A5286">
            <w:pPr>
              <w:pStyle w:val="Heading6"/>
            </w:pPr>
          </w:p>
        </w:tc>
        <w:tc>
          <w:tcPr>
            <w:tcW w:w="1901" w:type="dxa"/>
            <w:gridSpan w:val="2"/>
            <w:tcBorders>
              <w:top w:val="single" w:sz="4" w:space="0" w:color="E7E6E6" w:themeColor="background2"/>
            </w:tcBorders>
            <w:shd w:val="clear" w:color="auto" w:fill="FFFFFF" w:themeFill="background1"/>
          </w:tcPr>
          <w:p w14:paraId="06522D2A" w14:textId="2F42397A" w:rsidR="008A5286" w:rsidRPr="001D3151" w:rsidRDefault="008A5286" w:rsidP="008A5286">
            <w:pPr>
              <w:pStyle w:val="Heading7"/>
              <w:keepNext w:val="0"/>
              <w:keepLines w:val="0"/>
              <w:rPr>
                <w:color w:val="auto"/>
              </w:rPr>
            </w:pPr>
            <w:r w:rsidRPr="001D3151">
              <w:rPr>
                <w:color w:val="auto"/>
                <w:lang w:eastAsia="en-AU"/>
              </w:rPr>
              <w:t>Methods for the assessment of nonrandomised and observational evidence</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AF4B106" w14:textId="3AAFDA8A" w:rsidR="00322DAD" w:rsidRDefault="001C3625" w:rsidP="008C10BB">
            <w:pPr>
              <w:spacing w:after="0"/>
              <w:rPr>
                <w:rFonts w:eastAsia="Times New Roman" w:cs="Segoe UI"/>
                <w:sz w:val="20"/>
                <w:szCs w:val="20"/>
                <w:lang w:eastAsia="en-AU"/>
              </w:rPr>
            </w:pPr>
            <w:r>
              <w:rPr>
                <w:rFonts w:eastAsia="Times New Roman" w:cs="Segoe UI"/>
                <w:sz w:val="20"/>
                <w:szCs w:val="20"/>
                <w:lang w:eastAsia="en-AU"/>
              </w:rPr>
              <w:t>Update methods</w:t>
            </w:r>
            <w:r w:rsidR="008A5286">
              <w:rPr>
                <w:rFonts w:eastAsia="Times New Roman" w:cs="Segoe UI"/>
                <w:sz w:val="20"/>
                <w:szCs w:val="20"/>
                <w:lang w:eastAsia="en-AU"/>
              </w:rPr>
              <w:t xml:space="preserve"> relating to</w:t>
            </w:r>
            <w:r w:rsidR="008A5286">
              <w:t xml:space="preserve"> </w:t>
            </w:r>
            <w:r w:rsidR="008A5286" w:rsidRPr="007023F8">
              <w:rPr>
                <w:rFonts w:eastAsia="Times New Roman" w:cs="Segoe UI"/>
                <w:sz w:val="20"/>
                <w:szCs w:val="20"/>
                <w:lang w:eastAsia="en-AU"/>
              </w:rPr>
              <w:t>the assessment of nonrandomised and observational evidence</w:t>
            </w:r>
            <w:r w:rsidR="008A5286">
              <w:rPr>
                <w:rFonts w:eastAsia="Times New Roman" w:cs="Segoe UI"/>
                <w:sz w:val="20"/>
                <w:szCs w:val="20"/>
                <w:lang w:eastAsia="en-AU"/>
              </w:rPr>
              <w:t xml:space="preserve"> as outlined in the </w:t>
            </w:r>
            <w:hyperlink r:id="rId86" w:anchor="page=156" w:history="1">
              <w:r w:rsidR="008A5286" w:rsidRPr="00CB4D15">
                <w:rPr>
                  <w:rStyle w:val="Hyperlink"/>
                  <w:rFonts w:eastAsia="Times New Roman" w:cs="Segoe UI"/>
                  <w:sz w:val="20"/>
                  <w:szCs w:val="20"/>
                  <w:lang w:eastAsia="en-AU"/>
                </w:rPr>
                <w:t>HTA Review Paper on Clinical Evaluation Methods in HTA</w:t>
              </w:r>
            </w:hyperlink>
            <w:r w:rsidR="008A5286">
              <w:rPr>
                <w:rFonts w:eastAsia="Times New Roman" w:cs="Segoe UI"/>
                <w:sz w:val="20"/>
                <w:szCs w:val="20"/>
                <w:lang w:eastAsia="en-AU"/>
              </w:rPr>
              <w:t xml:space="preserve"> in line with the overarching principles mentioned above.</w:t>
            </w:r>
          </w:p>
          <w:p w14:paraId="1FD13DB8" w14:textId="075FA6B8" w:rsidR="008A5286" w:rsidRDefault="008A5286" w:rsidP="008C10BB">
            <w:pPr>
              <w:spacing w:after="0"/>
              <w:rPr>
                <w:rFonts w:eastAsia="Times New Roman" w:cs="Segoe UI"/>
                <w:sz w:val="20"/>
                <w:szCs w:val="20"/>
                <w:lang w:eastAsia="en-AU"/>
              </w:rPr>
            </w:pPr>
            <w:r>
              <w:rPr>
                <w:rFonts w:eastAsia="Times New Roman" w:cs="Segoe UI"/>
                <w:sz w:val="20"/>
                <w:szCs w:val="20"/>
                <w:lang w:eastAsia="en-AU"/>
              </w:rPr>
              <w:t xml:space="preserve"> </w:t>
            </w:r>
          </w:p>
          <w:p w14:paraId="67F25500" w14:textId="15761C27" w:rsidR="00AE220C" w:rsidRPr="00DB623D" w:rsidRDefault="0018710D" w:rsidP="008505D7">
            <w:pPr>
              <w:pStyle w:val="ListParagraph"/>
              <w:numPr>
                <w:ilvl w:val="0"/>
                <w:numId w:val="78"/>
              </w:numPr>
              <w:spacing w:after="120"/>
              <w:ind w:left="274"/>
              <w:rPr>
                <w:rFonts w:eastAsia="Times New Roman" w:cs="Segoe UI"/>
                <w:kern w:val="24"/>
                <w:sz w:val="20"/>
                <w:szCs w:val="20"/>
                <w:lang w:eastAsia="en-AU"/>
              </w:rPr>
            </w:pPr>
            <w:r>
              <w:rPr>
                <w:rFonts w:eastAsia="Times New Roman" w:cs="Segoe UI"/>
                <w:kern w:val="24"/>
                <w:sz w:val="20"/>
                <w:szCs w:val="20"/>
                <w:lang w:eastAsia="en-AU"/>
              </w:rPr>
              <w:t xml:space="preserve">Methods relating to </w:t>
            </w:r>
            <w:r w:rsidR="006454D5">
              <w:rPr>
                <w:rFonts w:eastAsia="Times New Roman" w:cs="Segoe UI"/>
                <w:kern w:val="24"/>
                <w:sz w:val="20"/>
                <w:szCs w:val="20"/>
                <w:lang w:eastAsia="en-AU"/>
              </w:rPr>
              <w:t>Indirect</w:t>
            </w:r>
            <w:r w:rsidR="008A5286" w:rsidRPr="00DB623D">
              <w:rPr>
                <w:rFonts w:eastAsia="Times New Roman" w:cs="Segoe UI"/>
                <w:kern w:val="24"/>
                <w:sz w:val="20"/>
                <w:szCs w:val="20"/>
                <w:lang w:eastAsia="en-AU"/>
              </w:rPr>
              <w:t xml:space="preserve"> comparisons: </w:t>
            </w:r>
          </w:p>
          <w:p w14:paraId="2FF82A0D" w14:textId="5598BB3A" w:rsidR="008A5286" w:rsidRPr="00DB623D" w:rsidRDefault="00322DAD" w:rsidP="008505D7">
            <w:pPr>
              <w:pStyle w:val="ListParagraph"/>
              <w:numPr>
                <w:ilvl w:val="0"/>
                <w:numId w:val="79"/>
              </w:numPr>
              <w:spacing w:after="0"/>
              <w:ind w:left="782" w:hanging="425"/>
              <w:rPr>
                <w:rFonts w:eastAsia="Times New Roman" w:cs="Segoe UI"/>
                <w:kern w:val="24"/>
                <w:sz w:val="20"/>
                <w:szCs w:val="20"/>
                <w:lang w:eastAsia="en-AU"/>
              </w:rPr>
            </w:pPr>
            <w:r w:rsidRPr="00DB623D">
              <w:rPr>
                <w:rFonts w:eastAsia="Times New Roman" w:cs="Segoe UI"/>
                <w:color w:val="222A35"/>
                <w:kern w:val="24"/>
                <w:sz w:val="20"/>
                <w:szCs w:val="20"/>
                <w:lang w:eastAsia="en-AU"/>
              </w:rPr>
              <w:t>R</w:t>
            </w:r>
            <w:r w:rsidR="008A5286" w:rsidRPr="00DB623D">
              <w:rPr>
                <w:rFonts w:eastAsia="Times New Roman" w:cs="Segoe UI"/>
                <w:color w:val="222A35"/>
                <w:kern w:val="24"/>
                <w:sz w:val="20"/>
                <w:szCs w:val="20"/>
                <w:lang w:eastAsia="en-AU"/>
              </w:rPr>
              <w:t>equire</w:t>
            </w:r>
            <w:r w:rsidR="008A5286" w:rsidRPr="00DB623D">
              <w:rPr>
                <w:rFonts w:eastAsia="Times New Roman" w:cs="Segoe UI"/>
                <w:kern w:val="24"/>
                <w:sz w:val="20"/>
                <w:szCs w:val="20"/>
                <w:lang w:eastAsia="en-AU"/>
              </w:rPr>
              <w:t xml:space="preserve"> the presentation of a comparison of study characteristics, as well as how successful efforts for controlling for differences in characteristics are likely to be. </w:t>
            </w:r>
          </w:p>
          <w:p w14:paraId="3850DAAC" w14:textId="182775B8" w:rsidR="008A5286" w:rsidRPr="00DB623D" w:rsidRDefault="008A5286" w:rsidP="008505D7">
            <w:pPr>
              <w:pStyle w:val="ListParagraph"/>
              <w:numPr>
                <w:ilvl w:val="0"/>
                <w:numId w:val="78"/>
              </w:numPr>
              <w:spacing w:after="120"/>
              <w:ind w:left="274"/>
              <w:rPr>
                <w:rFonts w:eastAsia="Times New Roman" w:cs="Segoe UI"/>
                <w:kern w:val="24"/>
                <w:sz w:val="20"/>
                <w:szCs w:val="20"/>
                <w:lang w:eastAsia="en-AU"/>
              </w:rPr>
            </w:pPr>
            <w:r w:rsidRPr="00DB623D">
              <w:rPr>
                <w:rFonts w:eastAsia="Times New Roman" w:cs="Segoe UI"/>
                <w:kern w:val="24"/>
                <w:sz w:val="20"/>
                <w:szCs w:val="20"/>
                <w:lang w:eastAsia="en-AU"/>
              </w:rPr>
              <w:t>Methods relating to the creation of control groups:</w:t>
            </w:r>
          </w:p>
          <w:p w14:paraId="426DB8C9" w14:textId="1D058AF2" w:rsidR="008A5286" w:rsidRPr="00DB623D" w:rsidRDefault="008A5286" w:rsidP="008505D7">
            <w:pPr>
              <w:pStyle w:val="ListParagraph"/>
              <w:numPr>
                <w:ilvl w:val="0"/>
                <w:numId w:val="79"/>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Require justification of why an indirect comparison is not possible, or less reliable, than the proposed approach of creating a control group.</w:t>
            </w:r>
          </w:p>
          <w:p w14:paraId="4B9FF935" w14:textId="07B2EFE6" w:rsidR="008A5286" w:rsidRPr="00DB623D" w:rsidRDefault="008A5286" w:rsidP="008505D7">
            <w:pPr>
              <w:pStyle w:val="ListParagraph"/>
              <w:numPr>
                <w:ilvl w:val="0"/>
                <w:numId w:val="79"/>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Require justification for the use of methods that are not prespecified in the study protocol of the proposed technology.</w:t>
            </w:r>
          </w:p>
          <w:p w14:paraId="55CB4B91" w14:textId="77777777" w:rsidR="008A5286" w:rsidRDefault="008A5286" w:rsidP="008505D7">
            <w:pPr>
              <w:pStyle w:val="ListParagraph"/>
              <w:numPr>
                <w:ilvl w:val="0"/>
                <w:numId w:val="79"/>
              </w:numPr>
              <w:spacing w:after="0"/>
              <w:ind w:left="782" w:hanging="425"/>
              <w:rPr>
                <w:rFonts w:eastAsia="Times New Roman" w:cs="Segoe UI"/>
                <w:sz w:val="20"/>
                <w:szCs w:val="20"/>
                <w:lang w:eastAsia="en-AU"/>
              </w:rPr>
            </w:pPr>
            <w:r w:rsidRPr="00DB623D">
              <w:rPr>
                <w:rFonts w:eastAsia="Times New Roman" w:cs="Segoe UI"/>
                <w:color w:val="222A35"/>
                <w:kern w:val="24"/>
                <w:sz w:val="20"/>
                <w:szCs w:val="20"/>
                <w:lang w:eastAsia="en-AU"/>
              </w:rPr>
              <w:t>Require</w:t>
            </w:r>
            <w:r w:rsidRPr="00796AA0">
              <w:rPr>
                <w:rFonts w:eastAsia="Times New Roman" w:cs="Segoe UI"/>
                <w:sz w:val="20"/>
                <w:szCs w:val="20"/>
                <w:lang w:eastAsia="en-AU"/>
              </w:rPr>
              <w:t xml:space="preserve"> multiple approaches and/or multiple data sources, if possible, and a</w:t>
            </w:r>
            <w:r>
              <w:rPr>
                <w:rFonts w:eastAsia="Times New Roman" w:cs="Segoe UI"/>
                <w:sz w:val="20"/>
                <w:szCs w:val="20"/>
                <w:lang w:eastAsia="en-AU"/>
              </w:rPr>
              <w:t xml:space="preserve"> </w:t>
            </w:r>
            <w:r w:rsidRPr="00796AA0">
              <w:rPr>
                <w:rFonts w:eastAsia="Times New Roman" w:cs="Segoe UI"/>
                <w:sz w:val="20"/>
                <w:szCs w:val="20"/>
                <w:lang w:eastAsia="en-AU"/>
              </w:rPr>
              <w:t>discussion of any inconsistencies in estimates.</w:t>
            </w:r>
          </w:p>
          <w:p w14:paraId="02882CA6" w14:textId="25CE99DE" w:rsidR="008015BD" w:rsidRDefault="008A5286" w:rsidP="008505D7">
            <w:pPr>
              <w:pStyle w:val="ListParagraph"/>
              <w:numPr>
                <w:ilvl w:val="0"/>
                <w:numId w:val="78"/>
              </w:numPr>
              <w:spacing w:after="120"/>
              <w:ind w:left="274"/>
              <w:rPr>
                <w:rFonts w:eastAsia="Times New Roman" w:cs="Segoe UI"/>
                <w:color w:val="222A35"/>
                <w:kern w:val="24"/>
                <w:sz w:val="20"/>
                <w:szCs w:val="20"/>
                <w:lang w:eastAsia="en-AU"/>
              </w:rPr>
            </w:pPr>
            <w:r w:rsidRPr="00C53519">
              <w:rPr>
                <w:rFonts w:eastAsia="Times New Roman" w:cs="Segoe UI"/>
                <w:sz w:val="20"/>
                <w:szCs w:val="20"/>
                <w:lang w:eastAsia="en-AU"/>
              </w:rPr>
              <w:t>Methods relating to the u</w:t>
            </w:r>
            <w:r w:rsidRPr="00687095">
              <w:rPr>
                <w:rFonts w:eastAsia="Times New Roman" w:cs="Segoe UI"/>
                <w:sz w:val="20"/>
                <w:szCs w:val="20"/>
                <w:lang w:eastAsia="en-AU"/>
              </w:rPr>
              <w:t>se of nonrandomised studies</w:t>
            </w:r>
            <w:r w:rsidR="00B45898">
              <w:rPr>
                <w:rFonts w:eastAsia="Times New Roman" w:cs="Segoe UI"/>
                <w:sz w:val="20"/>
                <w:szCs w:val="20"/>
                <w:lang w:eastAsia="en-AU"/>
              </w:rPr>
              <w:t xml:space="preserve"> -</w:t>
            </w:r>
            <w:r w:rsidR="003E47A4">
              <w:rPr>
                <w:rFonts w:eastAsia="Times New Roman" w:cs="Segoe UI"/>
                <w:sz w:val="20"/>
                <w:szCs w:val="20"/>
                <w:lang w:eastAsia="en-AU"/>
              </w:rPr>
              <w:t xml:space="preserve"> </w:t>
            </w:r>
            <w:r w:rsidR="00B45898">
              <w:rPr>
                <w:rFonts w:eastAsia="Times New Roman" w:cs="Segoe UI"/>
                <w:color w:val="222A35"/>
                <w:kern w:val="24"/>
                <w:sz w:val="20"/>
                <w:szCs w:val="20"/>
                <w:lang w:eastAsia="en-AU"/>
              </w:rPr>
              <w:t>t</w:t>
            </w:r>
            <w:r w:rsidRPr="00DB623D">
              <w:rPr>
                <w:rFonts w:eastAsia="Times New Roman" w:cs="Segoe UI"/>
                <w:color w:val="222A35"/>
                <w:kern w:val="24"/>
                <w:sz w:val="20"/>
                <w:szCs w:val="20"/>
                <w:lang w:eastAsia="en-AU"/>
              </w:rPr>
              <w:t>he use of nonrandomised studies to estimate a treatment effect should be</w:t>
            </w:r>
            <w:r w:rsidR="003E47A4">
              <w:rPr>
                <w:rFonts w:eastAsia="Times New Roman" w:cs="Segoe UI"/>
                <w:color w:val="222A35"/>
                <w:kern w:val="24"/>
                <w:sz w:val="20"/>
                <w:szCs w:val="20"/>
                <w:lang w:eastAsia="en-AU"/>
              </w:rPr>
              <w:t>:</w:t>
            </w:r>
            <w:r w:rsidRPr="00DB623D">
              <w:rPr>
                <w:rFonts w:eastAsia="Times New Roman" w:cs="Segoe UI"/>
                <w:color w:val="222A35"/>
                <w:kern w:val="24"/>
                <w:sz w:val="20"/>
                <w:szCs w:val="20"/>
                <w:lang w:eastAsia="en-AU"/>
              </w:rPr>
              <w:t xml:space="preserve"> </w:t>
            </w:r>
          </w:p>
          <w:p w14:paraId="03155037" w14:textId="1FE5B646" w:rsidR="008015BD" w:rsidRDefault="008370C3" w:rsidP="008505D7">
            <w:pPr>
              <w:pStyle w:val="ListParagraph"/>
              <w:numPr>
                <w:ilvl w:val="0"/>
                <w:numId w:val="80"/>
              </w:numPr>
              <w:spacing w:after="0"/>
              <w:ind w:left="782" w:hanging="425"/>
              <w:rPr>
                <w:rFonts w:eastAsia="Times New Roman" w:cs="Segoe UI"/>
                <w:color w:val="222A35"/>
                <w:kern w:val="24"/>
                <w:sz w:val="20"/>
                <w:szCs w:val="20"/>
                <w:lang w:eastAsia="en-AU"/>
              </w:rPr>
            </w:pPr>
            <w:r>
              <w:rPr>
                <w:rFonts w:eastAsia="Times New Roman" w:cs="Segoe UI"/>
                <w:color w:val="222A35"/>
                <w:kern w:val="24"/>
                <w:sz w:val="20"/>
                <w:szCs w:val="20"/>
                <w:lang w:eastAsia="en-AU"/>
              </w:rPr>
              <w:t>w</w:t>
            </w:r>
            <w:r w:rsidR="008A5286" w:rsidRPr="00DB623D">
              <w:rPr>
                <w:rFonts w:eastAsia="Times New Roman" w:cs="Segoe UI"/>
                <w:color w:val="222A35"/>
                <w:kern w:val="24"/>
                <w:sz w:val="20"/>
                <w:szCs w:val="20"/>
                <w:lang w:eastAsia="en-AU"/>
              </w:rPr>
              <w:t>ell</w:t>
            </w:r>
            <w:r w:rsidR="008015BD">
              <w:rPr>
                <w:rFonts w:eastAsia="Times New Roman" w:cs="Segoe UI"/>
                <w:color w:val="222A35"/>
                <w:kern w:val="24"/>
                <w:sz w:val="20"/>
                <w:szCs w:val="20"/>
                <w:lang w:eastAsia="en-AU"/>
              </w:rPr>
              <w:t xml:space="preserve"> </w:t>
            </w:r>
            <w:r w:rsidR="008A5286" w:rsidRPr="00DB623D">
              <w:rPr>
                <w:rFonts w:eastAsia="Times New Roman" w:cs="Segoe UI"/>
                <w:color w:val="222A35"/>
                <w:kern w:val="24"/>
                <w:sz w:val="20"/>
                <w:szCs w:val="20"/>
                <w:lang w:eastAsia="en-AU"/>
              </w:rPr>
              <w:t xml:space="preserve">justified, </w:t>
            </w:r>
          </w:p>
          <w:p w14:paraId="40EF4782" w14:textId="1C584FB8" w:rsidR="008015BD" w:rsidRDefault="008A5286" w:rsidP="008505D7">
            <w:pPr>
              <w:pStyle w:val="ListParagraph"/>
              <w:numPr>
                <w:ilvl w:val="0"/>
                <w:numId w:val="80"/>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prospectively designed (preferably in collaboration</w:t>
            </w:r>
            <w:r w:rsidR="00306661">
              <w:rPr>
                <w:rFonts w:eastAsia="Times New Roman" w:cs="Segoe UI"/>
                <w:color w:val="222A35"/>
                <w:kern w:val="24"/>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with HTA or</w:t>
            </w:r>
            <w:r w:rsidR="008015BD">
              <w:rPr>
                <w:rFonts w:eastAsia="Times New Roman" w:cs="Segoe UI"/>
                <w:color w:val="222A35"/>
                <w:kern w:val="24"/>
                <w:sz w:val="20"/>
                <w:szCs w:val="20"/>
                <w:lang w:eastAsia="en-AU"/>
              </w:rPr>
              <w:t xml:space="preserve"> </w:t>
            </w:r>
            <w:r w:rsidRPr="00DB623D">
              <w:rPr>
                <w:rFonts w:eastAsia="Times New Roman" w:cs="Segoe UI"/>
                <w:color w:val="222A35"/>
                <w:kern w:val="24"/>
                <w:sz w:val="20"/>
                <w:szCs w:val="20"/>
                <w:lang w:eastAsia="en-AU"/>
              </w:rPr>
              <w:t>regulatory scientific advice)</w:t>
            </w:r>
            <w:r w:rsidRPr="00DB623D" w:rsidDel="008370C3">
              <w:rPr>
                <w:rFonts w:eastAsia="Times New Roman" w:cs="Segoe UI"/>
                <w:color w:val="222A35"/>
                <w:kern w:val="24"/>
                <w:sz w:val="20"/>
                <w:szCs w:val="20"/>
                <w:lang w:eastAsia="en-AU"/>
              </w:rPr>
              <w:t xml:space="preserve"> </w:t>
            </w:r>
          </w:p>
          <w:p w14:paraId="26DF6F31" w14:textId="77777777" w:rsidR="008370C3" w:rsidRDefault="008A5286" w:rsidP="008505D7">
            <w:pPr>
              <w:pStyle w:val="ListParagraph"/>
              <w:numPr>
                <w:ilvl w:val="0"/>
                <w:numId w:val="80"/>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registered, </w:t>
            </w:r>
            <w:r w:rsidR="008370C3">
              <w:rPr>
                <w:rFonts w:eastAsia="Times New Roman" w:cs="Segoe UI"/>
                <w:color w:val="222A35"/>
                <w:kern w:val="24"/>
                <w:sz w:val="20"/>
                <w:szCs w:val="20"/>
                <w:lang w:eastAsia="en-AU"/>
              </w:rPr>
              <w:t xml:space="preserve">and </w:t>
            </w:r>
          </w:p>
          <w:p w14:paraId="6EF38879" w14:textId="155B4FA5" w:rsidR="008A5286" w:rsidRPr="00DB623D" w:rsidRDefault="008A5286" w:rsidP="008505D7">
            <w:pPr>
              <w:pStyle w:val="ListParagraph"/>
              <w:numPr>
                <w:ilvl w:val="0"/>
                <w:numId w:val="80"/>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supported by multiple sensitivity</w:t>
            </w:r>
            <w:r w:rsidR="008370C3">
              <w:rPr>
                <w:rFonts w:eastAsia="Times New Roman" w:cs="Segoe UI"/>
                <w:color w:val="222A35"/>
                <w:kern w:val="24"/>
                <w:sz w:val="20"/>
                <w:szCs w:val="20"/>
                <w:lang w:eastAsia="en-AU"/>
              </w:rPr>
              <w:t xml:space="preserve"> </w:t>
            </w:r>
            <w:r w:rsidRPr="00DB623D">
              <w:rPr>
                <w:rFonts w:eastAsia="Times New Roman" w:cs="Segoe UI"/>
                <w:color w:val="222A35"/>
                <w:kern w:val="24"/>
                <w:sz w:val="20"/>
                <w:szCs w:val="20"/>
                <w:lang w:eastAsia="en-AU"/>
              </w:rPr>
              <w:t>analyses and transparently reported.</w:t>
            </w:r>
          </w:p>
          <w:p w14:paraId="1636C16B" w14:textId="14958B00" w:rsidR="008A5286" w:rsidRPr="00687095" w:rsidRDefault="008A5286" w:rsidP="008505D7">
            <w:pPr>
              <w:pStyle w:val="ListParagraph"/>
              <w:numPr>
                <w:ilvl w:val="0"/>
                <w:numId w:val="78"/>
              </w:numPr>
              <w:spacing w:after="120"/>
              <w:ind w:left="274"/>
              <w:rPr>
                <w:rFonts w:eastAsia="Times New Roman" w:cs="Segoe UI"/>
                <w:sz w:val="20"/>
                <w:szCs w:val="20"/>
                <w:lang w:eastAsia="en-AU"/>
              </w:rPr>
            </w:pPr>
            <w:r w:rsidRPr="00687095">
              <w:rPr>
                <w:rFonts w:eastAsia="Times New Roman" w:cs="Segoe UI"/>
                <w:sz w:val="20"/>
                <w:szCs w:val="20"/>
                <w:lang w:eastAsia="en-AU"/>
              </w:rPr>
              <w:t>Methods relating to adjust</w:t>
            </w:r>
            <w:r w:rsidR="009D6635">
              <w:rPr>
                <w:rFonts w:eastAsia="Times New Roman" w:cs="Segoe UI"/>
                <w:sz w:val="20"/>
                <w:szCs w:val="20"/>
                <w:lang w:eastAsia="en-AU"/>
              </w:rPr>
              <w:t>ment of</w:t>
            </w:r>
            <w:r w:rsidRPr="00687095">
              <w:rPr>
                <w:rFonts w:eastAsia="Times New Roman" w:cs="Segoe UI"/>
                <w:sz w:val="20"/>
                <w:szCs w:val="20"/>
                <w:lang w:eastAsia="en-AU"/>
              </w:rPr>
              <w:t xml:space="preserve"> the treatment effect in the presence of treatment </w:t>
            </w:r>
            <w:proofErr w:type="gramStart"/>
            <w:r w:rsidRPr="00687095">
              <w:rPr>
                <w:rFonts w:eastAsia="Times New Roman" w:cs="Segoe UI"/>
                <w:sz w:val="20"/>
                <w:szCs w:val="20"/>
                <w:lang w:eastAsia="en-AU"/>
              </w:rPr>
              <w:t>switching</w:t>
            </w:r>
            <w:proofErr w:type="gramEnd"/>
          </w:p>
          <w:p w14:paraId="7741EA2C" w14:textId="57BD2211" w:rsidR="008A5286" w:rsidRPr="00DB623D" w:rsidRDefault="008A5286" w:rsidP="008505D7">
            <w:pPr>
              <w:pStyle w:val="ListParagraph"/>
              <w:numPr>
                <w:ilvl w:val="0"/>
                <w:numId w:val="81"/>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Require multiple methods to be reported to show consistency of the results. This may include alternative approaches (not only methods to adjust for treatment switching) such as translating intermediate endpoints unaffected by treatment switching into final outcomes.</w:t>
            </w:r>
          </w:p>
          <w:p w14:paraId="7A9F889D" w14:textId="77777777" w:rsidR="008A5286" w:rsidRPr="00DB623D" w:rsidRDefault="008A5286" w:rsidP="008505D7">
            <w:pPr>
              <w:pStyle w:val="ListParagraph"/>
              <w:numPr>
                <w:ilvl w:val="0"/>
                <w:numId w:val="81"/>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Require a justification of the use of methods that are not pre-specified in the trial protocol of the key study for the proposed technology.</w:t>
            </w:r>
          </w:p>
          <w:p w14:paraId="66A354A9" w14:textId="1C09AE8A" w:rsidR="008A5286" w:rsidRPr="00687095" w:rsidRDefault="008A5286" w:rsidP="008505D7">
            <w:pPr>
              <w:pStyle w:val="ListParagraph"/>
              <w:numPr>
                <w:ilvl w:val="0"/>
                <w:numId w:val="78"/>
              </w:numPr>
              <w:spacing w:after="120"/>
              <w:ind w:left="274"/>
              <w:rPr>
                <w:rFonts w:eastAsia="Times New Roman" w:cs="Segoe UI"/>
                <w:sz w:val="20"/>
                <w:szCs w:val="20"/>
                <w:lang w:eastAsia="en-AU"/>
              </w:rPr>
            </w:pPr>
            <w:r w:rsidRPr="00687095">
              <w:rPr>
                <w:rFonts w:eastAsia="Times New Roman" w:cs="Segoe UI"/>
                <w:sz w:val="20"/>
                <w:szCs w:val="20"/>
                <w:lang w:eastAsia="en-AU"/>
              </w:rPr>
              <w:t>Methods relating to the use of RWD and RWE</w:t>
            </w:r>
            <w:r w:rsidR="00D75A2B">
              <w:rPr>
                <w:rFonts w:eastAsia="Times New Roman" w:cs="Segoe UI"/>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rFonts w:eastAsia="Times New Roman" w:cs="Segoe UI"/>
                <w:sz w:val="20"/>
                <w:szCs w:val="20"/>
                <w:lang w:eastAsia="en-AU"/>
              </w:rPr>
              <w:fldChar w:fldCharType="end"/>
            </w:r>
            <w:r w:rsidRPr="00687095">
              <w:rPr>
                <w:rFonts w:eastAsia="Times New Roman" w:cs="Segoe UI"/>
                <w:sz w:val="20"/>
                <w:szCs w:val="20"/>
                <w:lang w:eastAsia="en-AU"/>
              </w:rPr>
              <w:t xml:space="preserve"> in HTA:</w:t>
            </w:r>
          </w:p>
          <w:p w14:paraId="53FAA0AD" w14:textId="547BAA7D" w:rsidR="008A5286" w:rsidRPr="00DB623D" w:rsidRDefault="008A5286" w:rsidP="008505D7">
            <w:pPr>
              <w:pStyle w:val="ListParagraph"/>
              <w:numPr>
                <w:ilvl w:val="0"/>
                <w:numId w:val="8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Greater guidance for the use of RWD and RWE</w:t>
            </w:r>
            <w:r w:rsidR="00D75A2B" w:rsidRPr="00DB623D">
              <w:rPr>
                <w:rFonts w:eastAsia="Times New Roman" w:cs="Segoe UI"/>
                <w:color w:val="222A35"/>
                <w:kern w:val="24"/>
                <w:sz w:val="20"/>
                <w:szCs w:val="20"/>
                <w:lang w:eastAsia="en-AU"/>
              </w:rPr>
              <w:fldChar w:fldCharType="begin"/>
            </w:r>
            <w:r w:rsidR="00D75A2B" w:rsidRPr="00DB623D">
              <w:rPr>
                <w:rFonts w:eastAsia="Times New Roman" w:cs="Segoe UI"/>
                <w:color w:val="222A35"/>
                <w:kern w:val="24"/>
                <w:sz w:val="20"/>
                <w:szCs w:val="20"/>
                <w:lang w:eastAsia="en-AU"/>
              </w:rPr>
              <w:instrText xml:space="preserve"> XE "real-world </w:instrText>
            </w:r>
            <w:proofErr w:type="spellStart"/>
            <w:r w:rsidR="00D75A2B" w:rsidRPr="00DB623D">
              <w:rPr>
                <w:rFonts w:eastAsia="Times New Roman" w:cs="Segoe UI"/>
                <w:color w:val="222A35"/>
                <w:kern w:val="24"/>
                <w:sz w:val="20"/>
                <w:szCs w:val="20"/>
                <w:lang w:eastAsia="en-AU"/>
              </w:rPr>
              <w:instrText>evidence:RWE</w:instrText>
            </w:r>
            <w:proofErr w:type="spellEnd"/>
            <w:r w:rsidR="00D75A2B" w:rsidRPr="00DB623D">
              <w:rPr>
                <w:rFonts w:eastAsia="Times New Roman" w:cs="Segoe UI"/>
                <w:color w:val="222A35"/>
                <w:kern w:val="24"/>
                <w:sz w:val="20"/>
                <w:szCs w:val="20"/>
                <w:lang w:eastAsia="en-AU"/>
              </w:rPr>
              <w:instrText xml:space="preserve">" \b </w:instrText>
            </w:r>
            <w:r w:rsidR="00D75A2B"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in HTA is required. As well as a curated list of methods that may be used to generate RWE</w:t>
            </w:r>
            <w:r w:rsidR="00D75A2B" w:rsidRPr="00DB623D">
              <w:rPr>
                <w:rFonts w:eastAsia="Times New Roman" w:cs="Segoe UI"/>
                <w:color w:val="222A35"/>
                <w:kern w:val="24"/>
                <w:sz w:val="20"/>
                <w:szCs w:val="20"/>
                <w:lang w:eastAsia="en-AU"/>
              </w:rPr>
              <w:fldChar w:fldCharType="begin"/>
            </w:r>
            <w:r w:rsidR="00D75A2B" w:rsidRPr="00DB623D">
              <w:rPr>
                <w:rFonts w:eastAsia="Times New Roman" w:cs="Segoe UI"/>
                <w:color w:val="222A35"/>
                <w:kern w:val="24"/>
                <w:sz w:val="20"/>
                <w:szCs w:val="20"/>
                <w:lang w:eastAsia="en-AU"/>
              </w:rPr>
              <w:instrText xml:space="preserve"> XE "real-world </w:instrText>
            </w:r>
            <w:proofErr w:type="spellStart"/>
            <w:r w:rsidR="00D75A2B" w:rsidRPr="00DB623D">
              <w:rPr>
                <w:rFonts w:eastAsia="Times New Roman" w:cs="Segoe UI"/>
                <w:color w:val="222A35"/>
                <w:kern w:val="24"/>
                <w:sz w:val="20"/>
                <w:szCs w:val="20"/>
                <w:lang w:eastAsia="en-AU"/>
              </w:rPr>
              <w:instrText>evidence:RWE</w:instrText>
            </w:r>
            <w:proofErr w:type="spellEnd"/>
            <w:r w:rsidR="00D75A2B" w:rsidRPr="00DB623D">
              <w:rPr>
                <w:rFonts w:eastAsia="Times New Roman" w:cs="Segoe UI"/>
                <w:color w:val="222A35"/>
                <w:kern w:val="24"/>
                <w:sz w:val="20"/>
                <w:szCs w:val="20"/>
                <w:lang w:eastAsia="en-AU"/>
              </w:rPr>
              <w:instrText xml:space="preserve">" \b </w:instrText>
            </w:r>
            <w:r w:rsidR="00D75A2B"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guidance should consider what data sources would be acceptable for particular purposes (</w:t>
            </w:r>
            <w:proofErr w:type="gramStart"/>
            <w:r w:rsidRPr="00DB623D">
              <w:rPr>
                <w:rFonts w:eastAsia="Times New Roman" w:cs="Segoe UI"/>
                <w:color w:val="222A35"/>
                <w:kern w:val="24"/>
                <w:sz w:val="20"/>
                <w:szCs w:val="20"/>
                <w:lang w:eastAsia="en-AU"/>
              </w:rPr>
              <w:t>e.g.</w:t>
            </w:r>
            <w:proofErr w:type="gramEnd"/>
            <w:r w:rsidRPr="00DB623D">
              <w:rPr>
                <w:rFonts w:eastAsia="Times New Roman" w:cs="Segoe UI"/>
                <w:color w:val="222A35"/>
                <w:kern w:val="24"/>
                <w:sz w:val="20"/>
                <w:szCs w:val="20"/>
                <w:lang w:eastAsia="en-AU"/>
              </w:rPr>
              <w:t xml:space="preserve"> costs, utilities, treatment effect). Guidance should also adopt a terminology that defines different sources of RWD more precisely than the umbrella term of “RWD”. </w:t>
            </w:r>
          </w:p>
          <w:p w14:paraId="38452ED4" w14:textId="77001DB0" w:rsidR="008A5286" w:rsidRPr="00DB623D" w:rsidRDefault="008A5286" w:rsidP="008505D7">
            <w:pPr>
              <w:pStyle w:val="ListParagraph"/>
              <w:numPr>
                <w:ilvl w:val="0"/>
                <w:numId w:val="8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Specific guidance is required regarding the assessment of the quality of the data source, and it may be an option to require a minimum standard of data quality prior to use in HTA.</w:t>
            </w:r>
          </w:p>
          <w:p w14:paraId="0C93731B" w14:textId="4DE57FE7" w:rsidR="008A5286" w:rsidRPr="00951E37" w:rsidRDefault="008A5286" w:rsidP="008505D7">
            <w:pPr>
              <w:pStyle w:val="ListParagraph"/>
              <w:numPr>
                <w:ilvl w:val="0"/>
                <w:numId w:val="82"/>
              </w:numPr>
              <w:spacing w:after="0"/>
              <w:ind w:left="782" w:hanging="425"/>
              <w:rPr>
                <w:rFonts w:eastAsia="Times New Roman" w:cs="Segoe UI"/>
                <w:sz w:val="20"/>
                <w:szCs w:val="20"/>
                <w:lang w:eastAsia="en-AU"/>
              </w:rPr>
            </w:pPr>
            <w:r w:rsidRPr="00DB623D">
              <w:rPr>
                <w:rFonts w:eastAsia="Times New Roman" w:cs="Segoe UI"/>
                <w:color w:val="222A35"/>
                <w:kern w:val="24"/>
                <w:sz w:val="20"/>
                <w:szCs w:val="20"/>
                <w:lang w:eastAsia="en-AU"/>
              </w:rPr>
              <w:t>RWE</w:t>
            </w:r>
            <w:r w:rsidR="00D75A2B" w:rsidRPr="00DB623D">
              <w:rPr>
                <w:rFonts w:eastAsia="Times New Roman" w:cs="Segoe UI"/>
                <w:color w:val="222A35"/>
                <w:kern w:val="24"/>
                <w:sz w:val="20"/>
                <w:szCs w:val="20"/>
                <w:lang w:eastAsia="en-AU"/>
              </w:rPr>
              <w:fldChar w:fldCharType="begin"/>
            </w:r>
            <w:r w:rsidR="00D75A2B" w:rsidRPr="00DB623D">
              <w:rPr>
                <w:rFonts w:eastAsia="Times New Roman" w:cs="Segoe UI"/>
                <w:color w:val="222A35"/>
                <w:kern w:val="24"/>
                <w:sz w:val="20"/>
                <w:szCs w:val="20"/>
                <w:lang w:eastAsia="en-AU"/>
              </w:rPr>
              <w:instrText xml:space="preserve"> XE "real-world </w:instrText>
            </w:r>
            <w:proofErr w:type="spellStart"/>
            <w:r w:rsidR="00D75A2B" w:rsidRPr="00DB623D">
              <w:rPr>
                <w:rFonts w:eastAsia="Times New Roman" w:cs="Segoe UI"/>
                <w:color w:val="222A35"/>
                <w:kern w:val="24"/>
                <w:sz w:val="20"/>
                <w:szCs w:val="20"/>
                <w:lang w:eastAsia="en-AU"/>
              </w:rPr>
              <w:instrText>evidence:RWE</w:instrText>
            </w:r>
            <w:proofErr w:type="spellEnd"/>
            <w:r w:rsidR="00D75A2B" w:rsidRPr="00DB623D">
              <w:rPr>
                <w:rFonts w:eastAsia="Times New Roman" w:cs="Segoe UI"/>
                <w:color w:val="222A35"/>
                <w:kern w:val="24"/>
                <w:sz w:val="20"/>
                <w:szCs w:val="20"/>
                <w:lang w:eastAsia="en-AU"/>
              </w:rPr>
              <w:instrText xml:space="preserve">" \b </w:instrText>
            </w:r>
            <w:r w:rsidR="00D75A2B"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should not be acceptable to use for the purpose of determining treatment effectiveness of a technology unless the following con</w:t>
            </w:r>
            <w:r w:rsidRPr="003C2B1E">
              <w:rPr>
                <w:rFonts w:eastAsia="Times New Roman" w:cs="Segoe UI"/>
                <w:sz w:val="20"/>
                <w:szCs w:val="20"/>
                <w:lang w:eastAsia="en-AU"/>
              </w:rPr>
              <w:t>ditions are met, or there is</w:t>
            </w:r>
            <w:r>
              <w:rPr>
                <w:rFonts w:eastAsia="Times New Roman" w:cs="Segoe UI"/>
                <w:sz w:val="20"/>
                <w:szCs w:val="20"/>
                <w:lang w:eastAsia="en-AU"/>
              </w:rPr>
              <w:t xml:space="preserve"> </w:t>
            </w:r>
            <w:r w:rsidRPr="00951E37">
              <w:rPr>
                <w:rFonts w:eastAsia="Times New Roman" w:cs="Segoe UI"/>
                <w:sz w:val="20"/>
                <w:szCs w:val="20"/>
                <w:lang w:eastAsia="en-AU"/>
              </w:rPr>
              <w:t>a strong justification that they cannot be met:</w:t>
            </w:r>
          </w:p>
          <w:p w14:paraId="0FB395CC" w14:textId="267D445D" w:rsidR="008A5286" w:rsidRPr="007018BC" w:rsidRDefault="00B37781" w:rsidP="008505D7">
            <w:pPr>
              <w:pStyle w:val="ListParagraph"/>
              <w:numPr>
                <w:ilvl w:val="0"/>
                <w:numId w:val="48"/>
              </w:numPr>
              <w:spacing w:after="0"/>
              <w:rPr>
                <w:rFonts w:eastAsia="Times New Roman" w:cs="Segoe UI"/>
                <w:sz w:val="20"/>
                <w:szCs w:val="20"/>
                <w:lang w:eastAsia="en-AU"/>
              </w:rPr>
            </w:pPr>
            <w:r>
              <w:rPr>
                <w:rFonts w:eastAsia="Times New Roman" w:cs="Segoe UI"/>
                <w:sz w:val="20"/>
                <w:szCs w:val="20"/>
                <w:lang w:eastAsia="en-AU"/>
              </w:rPr>
              <w:t>t</w:t>
            </w:r>
            <w:r w:rsidR="008A5286" w:rsidRPr="007018BC">
              <w:rPr>
                <w:rFonts w:eastAsia="Times New Roman" w:cs="Segoe UI"/>
                <w:sz w:val="20"/>
                <w:szCs w:val="20"/>
                <w:lang w:eastAsia="en-AU"/>
              </w:rPr>
              <w:t xml:space="preserve">he technology is for use in a population with a </w:t>
            </w:r>
            <w:r w:rsidR="006A3BE9">
              <w:rPr>
                <w:rFonts w:eastAsia="Times New Roman" w:cs="Segoe UI"/>
                <w:sz w:val="20"/>
                <w:szCs w:val="20"/>
                <w:lang w:eastAsia="en-AU"/>
              </w:rPr>
              <w:t>HUCN</w:t>
            </w:r>
            <w:r w:rsidR="002401F9">
              <w:rPr>
                <w:rFonts w:eastAsia="Times New Roman" w:cs="Segoe UI"/>
                <w:sz w:val="20"/>
                <w:szCs w:val="20"/>
                <w:lang w:eastAsia="en-AU"/>
              </w:rPr>
              <w:fldChar w:fldCharType="begin"/>
            </w:r>
            <w:r w:rsidR="002401F9">
              <w:instrText xml:space="preserve"> XE "</w:instrText>
            </w:r>
            <w:r w:rsidR="002401F9" w:rsidRPr="002456C6">
              <w:instrText>unmet clinical need</w:instrText>
            </w:r>
            <w:r w:rsidR="002401F9">
              <w:instrText xml:space="preserve">" \b </w:instrText>
            </w:r>
            <w:r w:rsidR="002401F9">
              <w:rPr>
                <w:rFonts w:eastAsia="Times New Roman" w:cs="Segoe UI"/>
                <w:sz w:val="20"/>
                <w:szCs w:val="20"/>
                <w:lang w:eastAsia="en-AU"/>
              </w:rPr>
              <w:fldChar w:fldCharType="end"/>
            </w:r>
          </w:p>
          <w:p w14:paraId="7C53808E" w14:textId="58AC89B1" w:rsidR="008A5286" w:rsidRPr="007018BC" w:rsidRDefault="00B37781" w:rsidP="008505D7">
            <w:pPr>
              <w:pStyle w:val="ListParagraph"/>
              <w:numPr>
                <w:ilvl w:val="0"/>
                <w:numId w:val="48"/>
              </w:numPr>
              <w:spacing w:after="0"/>
              <w:rPr>
                <w:rFonts w:eastAsia="Times New Roman" w:cs="Segoe UI"/>
                <w:sz w:val="20"/>
                <w:szCs w:val="20"/>
                <w:lang w:eastAsia="en-AU"/>
              </w:rPr>
            </w:pPr>
            <w:r>
              <w:rPr>
                <w:rFonts w:eastAsia="Times New Roman" w:cs="Segoe UI"/>
                <w:sz w:val="20"/>
                <w:szCs w:val="20"/>
                <w:lang w:eastAsia="en-AU"/>
              </w:rPr>
              <w:t>h</w:t>
            </w:r>
            <w:r w:rsidR="008A5286" w:rsidRPr="007018BC">
              <w:rPr>
                <w:rFonts w:eastAsia="Times New Roman" w:cs="Segoe UI"/>
                <w:sz w:val="20"/>
                <w:szCs w:val="20"/>
                <w:lang w:eastAsia="en-AU"/>
              </w:rPr>
              <w:t>igher quality evidence cannot be generated, or will not be generated in</w:t>
            </w:r>
            <w:r w:rsidR="008A5286">
              <w:rPr>
                <w:rFonts w:eastAsia="Times New Roman" w:cs="Segoe UI"/>
                <w:sz w:val="20"/>
                <w:szCs w:val="20"/>
                <w:lang w:eastAsia="en-AU"/>
              </w:rPr>
              <w:t xml:space="preserve"> </w:t>
            </w:r>
            <w:r w:rsidR="008A5286" w:rsidRPr="007018BC">
              <w:rPr>
                <w:rFonts w:eastAsia="Times New Roman" w:cs="Segoe UI"/>
                <w:sz w:val="20"/>
                <w:szCs w:val="20"/>
                <w:lang w:eastAsia="en-AU"/>
              </w:rPr>
              <w:t xml:space="preserve">a timely </w:t>
            </w:r>
            <w:proofErr w:type="gramStart"/>
            <w:r w:rsidR="008A5286" w:rsidRPr="007018BC">
              <w:rPr>
                <w:rFonts w:eastAsia="Times New Roman" w:cs="Segoe UI"/>
                <w:sz w:val="20"/>
                <w:szCs w:val="20"/>
                <w:lang w:eastAsia="en-AU"/>
              </w:rPr>
              <w:t>fashion</w:t>
            </w:r>
            <w:proofErr w:type="gramEnd"/>
          </w:p>
          <w:p w14:paraId="292A1FE1" w14:textId="1A87F833" w:rsidR="008A5286" w:rsidRDefault="00B37781" w:rsidP="008505D7">
            <w:pPr>
              <w:pStyle w:val="ListParagraph"/>
              <w:numPr>
                <w:ilvl w:val="0"/>
                <w:numId w:val="48"/>
              </w:numPr>
              <w:spacing w:after="0"/>
              <w:rPr>
                <w:rFonts w:eastAsia="Times New Roman" w:cs="Segoe UI"/>
                <w:sz w:val="20"/>
                <w:szCs w:val="20"/>
                <w:lang w:eastAsia="en-AU"/>
              </w:rPr>
            </w:pPr>
            <w:r>
              <w:rPr>
                <w:rFonts w:eastAsia="Times New Roman" w:cs="Segoe UI"/>
                <w:sz w:val="20"/>
                <w:szCs w:val="20"/>
                <w:lang w:eastAsia="en-AU"/>
              </w:rPr>
              <w:lastRenderedPageBreak/>
              <w:t>m</w:t>
            </w:r>
            <w:r w:rsidR="008A5286" w:rsidRPr="007018BC">
              <w:rPr>
                <w:rFonts w:eastAsia="Times New Roman" w:cs="Segoe UI"/>
                <w:sz w:val="20"/>
                <w:szCs w:val="20"/>
                <w:lang w:eastAsia="en-AU"/>
              </w:rPr>
              <w:t>ultiple sources of RWE</w:t>
            </w:r>
            <w:r w:rsidR="00D75A2B">
              <w:rPr>
                <w:rFonts w:eastAsia="Times New Roman" w:cs="Segoe UI"/>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rFonts w:eastAsia="Times New Roman" w:cs="Segoe UI"/>
                <w:sz w:val="20"/>
                <w:szCs w:val="20"/>
                <w:lang w:eastAsia="en-AU"/>
              </w:rPr>
              <w:fldChar w:fldCharType="end"/>
            </w:r>
            <w:r w:rsidR="008A5286" w:rsidRPr="007018BC">
              <w:rPr>
                <w:rFonts w:eastAsia="Times New Roman" w:cs="Segoe UI"/>
                <w:sz w:val="20"/>
                <w:szCs w:val="20"/>
                <w:lang w:eastAsia="en-AU"/>
              </w:rPr>
              <w:t xml:space="preserve"> are presented (including both methods of</w:t>
            </w:r>
            <w:r w:rsidR="008A5286">
              <w:rPr>
                <w:rFonts w:eastAsia="Times New Roman" w:cs="Segoe UI"/>
                <w:sz w:val="20"/>
                <w:szCs w:val="20"/>
                <w:lang w:eastAsia="en-AU"/>
              </w:rPr>
              <w:t xml:space="preserve"> </w:t>
            </w:r>
            <w:r w:rsidR="008A5286" w:rsidRPr="007018BC">
              <w:rPr>
                <w:rFonts w:eastAsia="Times New Roman" w:cs="Segoe UI"/>
                <w:sz w:val="20"/>
                <w:szCs w:val="20"/>
                <w:lang w:eastAsia="en-AU"/>
              </w:rPr>
              <w:t>generating RWE</w:t>
            </w:r>
            <w:r w:rsidR="00D75A2B">
              <w:rPr>
                <w:rFonts w:eastAsia="Times New Roman" w:cs="Segoe UI"/>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rFonts w:eastAsia="Times New Roman" w:cs="Segoe UI"/>
                <w:sz w:val="20"/>
                <w:szCs w:val="20"/>
                <w:lang w:eastAsia="en-AU"/>
              </w:rPr>
              <w:fldChar w:fldCharType="end"/>
            </w:r>
            <w:r w:rsidR="008A5286" w:rsidRPr="007018BC">
              <w:rPr>
                <w:rFonts w:eastAsia="Times New Roman" w:cs="Segoe UI"/>
                <w:sz w:val="20"/>
                <w:szCs w:val="20"/>
                <w:lang w:eastAsia="en-AU"/>
              </w:rPr>
              <w:t xml:space="preserve"> from a source, and multiple RWD sources)</w:t>
            </w:r>
            <w:r>
              <w:rPr>
                <w:rFonts w:eastAsia="Times New Roman" w:cs="Segoe UI"/>
                <w:sz w:val="20"/>
                <w:szCs w:val="20"/>
                <w:lang w:eastAsia="en-AU"/>
              </w:rPr>
              <w:t>, and</w:t>
            </w:r>
          </w:p>
          <w:p w14:paraId="199B5018" w14:textId="7E17BD43" w:rsidR="008A5286" w:rsidRPr="00687095" w:rsidRDefault="00B37781" w:rsidP="008505D7">
            <w:pPr>
              <w:pStyle w:val="ListParagraph"/>
              <w:numPr>
                <w:ilvl w:val="0"/>
                <w:numId w:val="48"/>
              </w:numPr>
              <w:spacing w:after="0"/>
              <w:rPr>
                <w:rFonts w:eastAsia="Times New Roman" w:cs="Segoe UI"/>
                <w:sz w:val="20"/>
                <w:szCs w:val="20"/>
                <w:lang w:eastAsia="en-AU"/>
              </w:rPr>
            </w:pPr>
            <w:r>
              <w:rPr>
                <w:rFonts w:eastAsia="Times New Roman" w:cs="Segoe UI"/>
                <w:sz w:val="20"/>
                <w:szCs w:val="20"/>
                <w:lang w:eastAsia="en-AU"/>
              </w:rPr>
              <w:t>t</w:t>
            </w:r>
            <w:r w:rsidR="008A5286" w:rsidRPr="007018BC">
              <w:rPr>
                <w:rFonts w:eastAsia="Times New Roman" w:cs="Segoe UI"/>
                <w:sz w:val="20"/>
                <w:szCs w:val="20"/>
                <w:lang w:eastAsia="en-AU"/>
              </w:rPr>
              <w:t>he use of RWE</w:t>
            </w:r>
            <w:r w:rsidR="00D75A2B">
              <w:rPr>
                <w:rFonts w:eastAsia="Times New Roman" w:cs="Segoe UI"/>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rFonts w:eastAsia="Times New Roman" w:cs="Segoe UI"/>
                <w:sz w:val="20"/>
                <w:szCs w:val="20"/>
                <w:lang w:eastAsia="en-AU"/>
              </w:rPr>
              <w:fldChar w:fldCharType="end"/>
            </w:r>
            <w:r w:rsidR="008A5286" w:rsidRPr="007018BC">
              <w:rPr>
                <w:rFonts w:eastAsia="Times New Roman" w:cs="Segoe UI"/>
                <w:sz w:val="20"/>
                <w:szCs w:val="20"/>
                <w:lang w:eastAsia="en-AU"/>
              </w:rPr>
              <w:t xml:space="preserve"> is prespecified in the study protocol for the proposed</w:t>
            </w:r>
            <w:r w:rsidR="008A5286">
              <w:rPr>
                <w:rFonts w:eastAsia="Times New Roman" w:cs="Segoe UI"/>
                <w:sz w:val="20"/>
                <w:szCs w:val="20"/>
                <w:lang w:eastAsia="en-AU"/>
              </w:rPr>
              <w:t xml:space="preserve"> </w:t>
            </w:r>
            <w:r w:rsidR="008A5286" w:rsidRPr="007018BC">
              <w:rPr>
                <w:rFonts w:eastAsia="Times New Roman" w:cs="Segoe UI"/>
                <w:sz w:val="20"/>
                <w:szCs w:val="20"/>
                <w:lang w:eastAsia="en-AU"/>
              </w:rPr>
              <w:t>technology</w:t>
            </w:r>
          </w:p>
        </w:tc>
      </w:tr>
      <w:tr w:rsidR="008A5286" w:rsidRPr="006647C5" w14:paraId="099C5E51" w14:textId="77777777" w:rsidTr="00534579">
        <w:trPr>
          <w:trHeight w:val="350"/>
        </w:trPr>
        <w:tc>
          <w:tcPr>
            <w:tcW w:w="1055" w:type="dxa"/>
            <w:shd w:val="clear" w:color="auto" w:fill="FFFFFF" w:themeFill="background1"/>
            <w:tcMar>
              <w:top w:w="72" w:type="dxa"/>
              <w:left w:w="144" w:type="dxa"/>
              <w:bottom w:w="72" w:type="dxa"/>
              <w:right w:w="144" w:type="dxa"/>
            </w:tcMar>
          </w:tcPr>
          <w:p w14:paraId="122CB3C7" w14:textId="77777777" w:rsidR="008A5286" w:rsidRPr="00CA035A" w:rsidRDefault="008A5286" w:rsidP="008A5286">
            <w:pPr>
              <w:pStyle w:val="Heading6"/>
            </w:pPr>
          </w:p>
        </w:tc>
        <w:tc>
          <w:tcPr>
            <w:tcW w:w="1901" w:type="dxa"/>
            <w:gridSpan w:val="2"/>
            <w:tcBorders>
              <w:top w:val="single" w:sz="4" w:space="0" w:color="E7E6E6" w:themeColor="background2"/>
            </w:tcBorders>
            <w:shd w:val="clear" w:color="auto" w:fill="FFFFFF" w:themeFill="background1"/>
          </w:tcPr>
          <w:p w14:paraId="57F9A5A5" w14:textId="1335DE4E" w:rsidR="008A5286" w:rsidRDefault="008A5286" w:rsidP="008A5286">
            <w:pPr>
              <w:pStyle w:val="Heading7"/>
              <w:keepNext w:val="0"/>
              <w:keepLines w:val="0"/>
            </w:pPr>
            <w:r>
              <w:rPr>
                <w:lang w:eastAsia="en-AU"/>
              </w:rPr>
              <w:t>Methods for the assessment of surrogate endpoints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F70A102" w14:textId="6C0CBAD5" w:rsidR="008A5286" w:rsidRDefault="008A5286" w:rsidP="008C10BB">
            <w:pPr>
              <w:spacing w:after="120"/>
              <w:rPr>
                <w:rFonts w:eastAsia="Times New Roman" w:cs="Segoe UI"/>
                <w:sz w:val="20"/>
                <w:szCs w:val="20"/>
                <w:lang w:eastAsia="en-AU"/>
              </w:rPr>
            </w:pPr>
            <w:r>
              <w:rPr>
                <w:rFonts w:eastAsia="Times New Roman" w:cs="Segoe UI"/>
                <w:sz w:val="20"/>
                <w:szCs w:val="20"/>
                <w:lang w:eastAsia="en-AU"/>
              </w:rPr>
              <w:t>Implement the options relating to</w:t>
            </w:r>
            <w:r>
              <w:t xml:space="preserve"> </w:t>
            </w:r>
            <w:r w:rsidRPr="007023F8">
              <w:rPr>
                <w:rFonts w:eastAsia="Times New Roman" w:cs="Segoe UI"/>
                <w:sz w:val="20"/>
                <w:szCs w:val="20"/>
                <w:lang w:eastAsia="en-AU"/>
              </w:rPr>
              <w:t xml:space="preserve">the </w:t>
            </w:r>
            <w:r w:rsidRPr="00351906">
              <w:rPr>
                <w:rFonts w:eastAsia="Times New Roman" w:cs="Segoe UI"/>
                <w:sz w:val="20"/>
                <w:szCs w:val="20"/>
                <w:lang w:eastAsia="en-AU"/>
              </w:rPr>
              <w:t>methods relating to the use of surrogate endpoints</w:t>
            </w:r>
            <w:r>
              <w:rPr>
                <w:rFonts w:eastAsia="Times New Roman" w:cs="Segoe UI"/>
                <w:sz w:val="20"/>
                <w:szCs w:val="20"/>
                <w:lang w:eastAsia="en-AU"/>
              </w:rPr>
              <w:t xml:space="preserve"> as outlined in the </w:t>
            </w:r>
            <w:hyperlink r:id="rId87" w:anchor="page=164" w:history="1">
              <w:r w:rsidRPr="00CB4D15">
                <w:rPr>
                  <w:rStyle w:val="Hyperlink"/>
                  <w:rFonts w:eastAsia="Times New Roman" w:cs="Segoe UI"/>
                  <w:sz w:val="20"/>
                  <w:szCs w:val="20"/>
                  <w:lang w:eastAsia="en-AU"/>
                </w:rPr>
                <w:t>HTA Review Paper on Clinical Evaluation Methods in HTA</w:t>
              </w:r>
            </w:hyperlink>
            <w:r>
              <w:rPr>
                <w:rFonts w:eastAsia="Times New Roman" w:cs="Segoe UI"/>
                <w:sz w:val="20"/>
                <w:szCs w:val="20"/>
                <w:lang w:eastAsia="en-AU"/>
              </w:rPr>
              <w:t xml:space="preserve"> in line with the overarching principles mentioned above. Namely: </w:t>
            </w:r>
          </w:p>
          <w:p w14:paraId="43EF694D" w14:textId="697CAA39" w:rsidR="008A5286" w:rsidRPr="00687095" w:rsidRDefault="008A5286" w:rsidP="008505D7">
            <w:pPr>
              <w:pStyle w:val="ListParagraph"/>
              <w:numPr>
                <w:ilvl w:val="0"/>
                <w:numId w:val="90"/>
              </w:numPr>
              <w:spacing w:after="120"/>
              <w:ind w:left="274"/>
              <w:rPr>
                <w:rFonts w:eastAsia="Times New Roman" w:cs="Segoe UI"/>
                <w:sz w:val="20"/>
                <w:szCs w:val="20"/>
                <w:lang w:eastAsia="en-AU"/>
              </w:rPr>
            </w:pPr>
            <w:r w:rsidRPr="00687095">
              <w:rPr>
                <w:rFonts w:eastAsia="Times New Roman" w:cs="Segoe UI"/>
                <w:sz w:val="20"/>
                <w:szCs w:val="20"/>
                <w:lang w:eastAsia="en-AU"/>
              </w:rPr>
              <w:t>Guidance for the use of surrogate endpoints in HTA should include circumstances where surrogates would be acceptable (and may include a list of previously accepted surrogate endpoints paired with use cases). Guidance should also revisit methods required to validate surrogates to ensure they are achievable by industry and include methods for describing the uncertainty in the use of surrogate endpoints, particularly where surrogate relationships are used in combination with other methods (such as indirect comparisons or model extrapolation) where uncertainty may be substantially increased.</w:t>
            </w:r>
          </w:p>
          <w:p w14:paraId="1F54884E" w14:textId="54EB4EF3" w:rsidR="008A5286" w:rsidRDefault="008A5286" w:rsidP="008505D7">
            <w:pPr>
              <w:pStyle w:val="ListParagraph"/>
              <w:numPr>
                <w:ilvl w:val="0"/>
                <w:numId w:val="90"/>
              </w:numPr>
              <w:spacing w:after="120"/>
              <w:ind w:left="274"/>
              <w:rPr>
                <w:rFonts w:eastAsia="Times New Roman" w:cs="Segoe UI"/>
                <w:sz w:val="20"/>
                <w:szCs w:val="20"/>
                <w:lang w:eastAsia="en-AU"/>
              </w:rPr>
            </w:pPr>
            <w:r w:rsidRPr="00687095">
              <w:rPr>
                <w:rFonts w:eastAsia="Times New Roman" w:cs="Segoe UI"/>
                <w:sz w:val="20"/>
                <w:szCs w:val="20"/>
                <w:lang w:eastAsia="en-AU"/>
              </w:rPr>
              <w:t>Guidance for the evaluation of evidence using surrogate endpoints is required and should include methods for identifying the use of surrogates in submissions (as surrogate relationships can be implicit in economic models but not adequately presented for clinical evaluation).</w:t>
            </w:r>
          </w:p>
        </w:tc>
      </w:tr>
      <w:tr w:rsidR="00A65E7D" w:rsidRPr="006647C5" w14:paraId="7F1FA3E5" w14:textId="77777777" w:rsidTr="00534579">
        <w:trPr>
          <w:trHeight w:val="350"/>
        </w:trPr>
        <w:tc>
          <w:tcPr>
            <w:tcW w:w="1055" w:type="dxa"/>
            <w:shd w:val="clear" w:color="auto" w:fill="FFFFFF" w:themeFill="background1"/>
            <w:tcMar>
              <w:top w:w="72" w:type="dxa"/>
              <w:left w:w="144" w:type="dxa"/>
              <w:bottom w:w="72" w:type="dxa"/>
              <w:right w:w="144" w:type="dxa"/>
            </w:tcMar>
          </w:tcPr>
          <w:p w14:paraId="762D651D" w14:textId="77777777" w:rsidR="00A65E7D" w:rsidRPr="00CD3782" w:rsidRDefault="00A65E7D" w:rsidP="008C10BB">
            <w:pPr>
              <w:spacing w:after="120"/>
              <w:rPr>
                <w:rFonts w:eastAsia="Times New Roman" w:cs="Segoe UI"/>
                <w:color w:val="FF0000"/>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819B777" w14:textId="76E824D2" w:rsidR="00A65E7D" w:rsidRPr="004A234E" w:rsidRDefault="00411AF3" w:rsidP="008A5286">
            <w:pPr>
              <w:pStyle w:val="Heading7"/>
              <w:keepNext w:val="0"/>
              <w:keepLines w:val="0"/>
              <w:rPr>
                <w:kern w:val="24"/>
                <w:lang w:eastAsia="en-AU"/>
              </w:rPr>
            </w:pPr>
            <w:r w:rsidRPr="004A234E">
              <w:rPr>
                <w:lang w:eastAsia="en-AU"/>
              </w:rPr>
              <w:t>Generate a curated list of methodologies that are preferred by decision-makers, in collaboration</w:t>
            </w:r>
            <w:r w:rsidR="00306661">
              <w:rPr>
                <w:lang w:eastAsia="en-AU"/>
              </w:rPr>
              <w:fldChar w:fldCharType="begin"/>
            </w:r>
            <w:r w:rsidR="00306661">
              <w:instrText xml:space="preserve"> XE "</w:instrText>
            </w:r>
            <w:r w:rsidR="00306661" w:rsidRPr="004A2916">
              <w:instrText>collaboration</w:instrText>
            </w:r>
            <w:r w:rsidR="00306661">
              <w:instrText xml:space="preserve">" </w:instrText>
            </w:r>
            <w:r w:rsidR="00306661">
              <w:rPr>
                <w:lang w:eastAsia="en-AU"/>
              </w:rPr>
              <w:fldChar w:fldCharType="end"/>
            </w:r>
            <w:r w:rsidRPr="004A234E">
              <w:rPr>
                <w:lang w:eastAsia="en-AU"/>
              </w:rPr>
              <w:t xml:space="preserve"> with evaluation groups and sponsors.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CF9BA84" w14:textId="77777777" w:rsidR="00411AF3" w:rsidRPr="004A234E" w:rsidRDefault="00411AF3" w:rsidP="008505D7">
            <w:pPr>
              <w:pStyle w:val="ListParagraph"/>
              <w:numPr>
                <w:ilvl w:val="0"/>
                <w:numId w:val="91"/>
              </w:numPr>
              <w:spacing w:after="120"/>
              <w:ind w:left="274"/>
              <w:rPr>
                <w:rFonts w:eastAsia="Times New Roman" w:cs="Segoe UI"/>
                <w:sz w:val="20"/>
                <w:szCs w:val="20"/>
                <w:lang w:eastAsia="en-AU"/>
              </w:rPr>
            </w:pPr>
            <w:r w:rsidRPr="004A234E">
              <w:rPr>
                <w:rFonts w:eastAsia="Times New Roman" w:cs="Segoe UI"/>
                <w:sz w:val="20"/>
                <w:szCs w:val="20"/>
                <w:lang w:eastAsia="en-AU"/>
              </w:rPr>
              <w:t>For each method in the list, create a brief guidance paper that includes the following:</w:t>
            </w:r>
          </w:p>
          <w:p w14:paraId="2375433B" w14:textId="77777777" w:rsidR="00411AF3" w:rsidRPr="00DB623D" w:rsidRDefault="00411AF3" w:rsidP="008505D7">
            <w:pPr>
              <w:pStyle w:val="ListParagraph"/>
              <w:numPr>
                <w:ilvl w:val="0"/>
                <w:numId w:val="9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Description of the method including links to key peer-reviewed articles</w:t>
            </w:r>
          </w:p>
          <w:p w14:paraId="64A0E9C6" w14:textId="65524C54" w:rsidR="00411AF3" w:rsidRPr="00DB623D" w:rsidRDefault="00411AF3" w:rsidP="008505D7">
            <w:pPr>
              <w:pStyle w:val="ListParagraph"/>
              <w:numPr>
                <w:ilvl w:val="0"/>
                <w:numId w:val="9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Guidance for sponsors or evaluation groups on the presentation of the method and results in a submission or assessment report (including a checklist of what data may be required to validate the method) </w:t>
            </w:r>
            <w:r w:rsidR="00E202A9" w:rsidRPr="00DB623D">
              <w:rPr>
                <w:rFonts w:eastAsia="Times New Roman" w:cs="Segoe UI"/>
                <w:color w:val="222A35"/>
                <w:kern w:val="24"/>
                <w:sz w:val="20"/>
                <w:szCs w:val="20"/>
                <w:lang w:eastAsia="en-AU"/>
              </w:rPr>
              <w:t xml:space="preserve">to ensure </w:t>
            </w:r>
            <w:r w:rsidRPr="00DB623D">
              <w:rPr>
                <w:rFonts w:eastAsia="Times New Roman" w:cs="Segoe UI"/>
                <w:color w:val="222A35"/>
                <w:kern w:val="24"/>
                <w:sz w:val="20"/>
                <w:szCs w:val="20"/>
                <w:lang w:eastAsia="en-AU"/>
              </w:rPr>
              <w:t>transparency</w:t>
            </w:r>
            <w:r w:rsidR="002A0D74" w:rsidRPr="00DB623D">
              <w:rPr>
                <w:rFonts w:eastAsia="Times New Roman" w:cs="Segoe UI"/>
                <w:color w:val="222A35"/>
                <w:kern w:val="24"/>
                <w:sz w:val="20"/>
                <w:szCs w:val="20"/>
                <w:lang w:eastAsia="en-AU"/>
              </w:rPr>
              <w:fldChar w:fldCharType="begin"/>
            </w:r>
            <w:r w:rsidR="002A0D74" w:rsidRPr="00DB623D">
              <w:rPr>
                <w:rFonts w:eastAsia="Times New Roman" w:cs="Segoe UI"/>
                <w:color w:val="222A35"/>
                <w:kern w:val="24"/>
                <w:sz w:val="20"/>
                <w:szCs w:val="20"/>
                <w:lang w:eastAsia="en-AU"/>
              </w:rPr>
              <w:instrText xml:space="preserve"> XE "transparency" </w:instrText>
            </w:r>
            <w:r w:rsidR="002A0D74"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w:t>
            </w:r>
          </w:p>
          <w:p w14:paraId="0C354BBE" w14:textId="77777777" w:rsidR="00411AF3" w:rsidRPr="00DB623D" w:rsidRDefault="00411AF3" w:rsidP="008505D7">
            <w:pPr>
              <w:pStyle w:val="ListParagraph"/>
              <w:numPr>
                <w:ilvl w:val="0"/>
                <w:numId w:val="9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Guidance for evaluation groups on how to evaluate the results generated by a method, and how to present uncertainty and the impact of the uncertainty on risk faced by decision-makers.</w:t>
            </w:r>
          </w:p>
          <w:p w14:paraId="73A76055" w14:textId="77777777" w:rsidR="00411AF3" w:rsidRPr="00DB623D" w:rsidRDefault="00411AF3" w:rsidP="008505D7">
            <w:pPr>
              <w:pStyle w:val="ListParagraph"/>
              <w:numPr>
                <w:ilvl w:val="0"/>
                <w:numId w:val="9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Brief explanation for the decision-making committees about how to interpret the results derived by a method.</w:t>
            </w:r>
          </w:p>
          <w:p w14:paraId="77279270" w14:textId="77777777" w:rsidR="00411AF3" w:rsidRPr="00DB623D" w:rsidRDefault="00411AF3" w:rsidP="008505D7">
            <w:pPr>
              <w:pStyle w:val="ListParagraph"/>
              <w:numPr>
                <w:ilvl w:val="0"/>
                <w:numId w:val="92"/>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Brief lay explanation of the method for the benefit of patients, </w:t>
            </w:r>
            <w:proofErr w:type="gramStart"/>
            <w:r w:rsidRPr="00DB623D">
              <w:rPr>
                <w:rFonts w:eastAsia="Times New Roman" w:cs="Segoe UI"/>
                <w:color w:val="222A35"/>
                <w:kern w:val="24"/>
                <w:sz w:val="20"/>
                <w:szCs w:val="20"/>
                <w:lang w:eastAsia="en-AU"/>
              </w:rPr>
              <w:t>clinicians</w:t>
            </w:r>
            <w:proofErr w:type="gramEnd"/>
            <w:r w:rsidRPr="00DB623D">
              <w:rPr>
                <w:rFonts w:eastAsia="Times New Roman" w:cs="Segoe UI"/>
                <w:color w:val="222A35"/>
                <w:kern w:val="24"/>
                <w:sz w:val="20"/>
                <w:szCs w:val="20"/>
                <w:lang w:eastAsia="en-AU"/>
              </w:rPr>
              <w:t xml:space="preserve"> and the broader public.</w:t>
            </w:r>
          </w:p>
          <w:p w14:paraId="4429D2BD" w14:textId="77777777" w:rsidR="00411AF3" w:rsidRPr="004A234E" w:rsidRDefault="00411AF3" w:rsidP="008505D7">
            <w:pPr>
              <w:pStyle w:val="ListParagraph"/>
              <w:numPr>
                <w:ilvl w:val="0"/>
                <w:numId w:val="91"/>
              </w:numPr>
              <w:spacing w:after="120"/>
              <w:ind w:left="274"/>
              <w:rPr>
                <w:rFonts w:eastAsia="Times New Roman" w:cs="Segoe UI"/>
                <w:sz w:val="20"/>
                <w:szCs w:val="20"/>
                <w:lang w:eastAsia="en-AU"/>
              </w:rPr>
            </w:pPr>
            <w:r w:rsidRPr="004A234E">
              <w:rPr>
                <w:rFonts w:eastAsia="Times New Roman" w:cs="Segoe UI"/>
                <w:sz w:val="20"/>
                <w:szCs w:val="20"/>
                <w:lang w:eastAsia="en-AU"/>
              </w:rPr>
              <w:t>Provide training and guidance to evaluation groups when adopting new methods.</w:t>
            </w:r>
          </w:p>
          <w:p w14:paraId="7DA00653" w14:textId="4A9ABA22" w:rsidR="00A65E7D" w:rsidRPr="004A234E" w:rsidRDefault="00A65E7D" w:rsidP="008505D7">
            <w:pPr>
              <w:pStyle w:val="ListParagraph"/>
              <w:numPr>
                <w:ilvl w:val="0"/>
                <w:numId w:val="91"/>
              </w:numPr>
              <w:spacing w:after="120"/>
              <w:ind w:left="274"/>
              <w:rPr>
                <w:rFonts w:eastAsia="Times New Roman" w:cs="Segoe UI"/>
                <w:sz w:val="20"/>
                <w:szCs w:val="20"/>
                <w:lang w:eastAsia="en-AU"/>
              </w:rPr>
            </w:pPr>
            <w:r w:rsidRPr="004A234E">
              <w:rPr>
                <w:rFonts w:eastAsia="Times New Roman" w:cs="Segoe UI"/>
                <w:sz w:val="20"/>
                <w:szCs w:val="20"/>
                <w:lang w:eastAsia="en-AU"/>
              </w:rPr>
              <w:t>Provide feedback to sponsors on their use and presentation of analyses based on more</w:t>
            </w:r>
            <w:r w:rsidR="00411AF3" w:rsidRPr="004A234E">
              <w:rPr>
                <w:rFonts w:eastAsia="Times New Roman" w:cs="Segoe UI"/>
                <w:sz w:val="20"/>
                <w:szCs w:val="20"/>
                <w:lang w:eastAsia="en-AU"/>
              </w:rPr>
              <w:t xml:space="preserve"> </w:t>
            </w:r>
            <w:r w:rsidRPr="004A234E">
              <w:rPr>
                <w:rFonts w:eastAsia="Times New Roman" w:cs="Segoe UI"/>
                <w:sz w:val="20"/>
                <w:szCs w:val="20"/>
                <w:lang w:eastAsia="en-AU"/>
              </w:rPr>
              <w:t>complex methods.</w:t>
            </w:r>
          </w:p>
        </w:tc>
      </w:tr>
      <w:tr w:rsidR="00996B42" w:rsidRPr="006647C5" w14:paraId="3D281A0A" w14:textId="77777777" w:rsidTr="00534579">
        <w:trPr>
          <w:trHeight w:val="350"/>
        </w:trPr>
        <w:tc>
          <w:tcPr>
            <w:tcW w:w="1055" w:type="dxa"/>
            <w:shd w:val="clear" w:color="auto" w:fill="FFFFFF" w:themeFill="background1"/>
            <w:tcMar>
              <w:top w:w="72" w:type="dxa"/>
              <w:left w:w="144" w:type="dxa"/>
              <w:bottom w:w="72" w:type="dxa"/>
              <w:right w:w="144" w:type="dxa"/>
            </w:tcMar>
          </w:tcPr>
          <w:p w14:paraId="182A9243" w14:textId="77777777" w:rsidR="00996B42" w:rsidRPr="00CD3782" w:rsidRDefault="00996B42" w:rsidP="008C10BB">
            <w:pPr>
              <w:spacing w:after="120"/>
              <w:rPr>
                <w:rFonts w:eastAsia="Times New Roman" w:cs="Segoe UI"/>
                <w:color w:val="FF0000"/>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0DF01FC7" w14:textId="3793FD71" w:rsidR="009A3DD4" w:rsidRPr="004A234E" w:rsidRDefault="009A3DD4" w:rsidP="008A5286">
            <w:pPr>
              <w:pStyle w:val="Heading7"/>
              <w:keepNext w:val="0"/>
              <w:keepLines w:val="0"/>
              <w:rPr>
                <w:rFonts w:eastAsia="Times New Roman"/>
                <w:lang w:eastAsia="en-AU"/>
              </w:rPr>
            </w:pPr>
            <w:bookmarkStart w:id="40" w:name="_Develop_an_explicit"/>
            <w:bookmarkEnd w:id="40"/>
            <w:r w:rsidRPr="004A234E">
              <w:rPr>
                <w:lang w:eastAsia="en-AU"/>
              </w:rPr>
              <w:t xml:space="preserve">Develop an explicit </w:t>
            </w:r>
            <w:r w:rsidR="00951E37">
              <w:rPr>
                <w:lang w:eastAsia="en-AU"/>
              </w:rPr>
              <w:t xml:space="preserve">qualitative </w:t>
            </w:r>
            <w:r w:rsidRPr="004A234E">
              <w:rPr>
                <w:lang w:eastAsia="en-AU"/>
              </w:rPr>
              <w:t>value framework</w:t>
            </w:r>
            <w:r w:rsidR="00420583">
              <w:rPr>
                <w:lang w:eastAsia="en-AU"/>
              </w:rPr>
              <w:fldChar w:fldCharType="begin"/>
            </w:r>
            <w:r w:rsidR="00420583">
              <w:instrText xml:space="preserve"> XE "</w:instrText>
            </w:r>
            <w:r w:rsidR="00420583" w:rsidRPr="009F39D2">
              <w:rPr>
                <w:rFonts w:eastAsia="Arial" w:cs="Arial"/>
                <w:color w:val="000000" w:themeColor="text1"/>
                <w:szCs w:val="22"/>
              </w:rPr>
              <w:instrText>value framework</w:instrText>
            </w:r>
            <w:r w:rsidR="00420583">
              <w:instrText xml:space="preserve">" \b </w:instrText>
            </w:r>
            <w:r w:rsidR="00420583">
              <w:rPr>
                <w:lang w:eastAsia="en-AU"/>
              </w:rPr>
              <w:fldChar w:fldCharType="end"/>
            </w:r>
            <w:r w:rsidRPr="004A234E">
              <w:rPr>
                <w:lang w:eastAsia="en-AU"/>
              </w:rPr>
              <w:t xml:space="preserve"> </w:t>
            </w:r>
          </w:p>
          <w:p w14:paraId="3439CF4F" w14:textId="77777777" w:rsidR="00996B42" w:rsidRPr="004A234E" w:rsidRDefault="00996B42" w:rsidP="008C10BB">
            <w:pPr>
              <w:spacing w:after="120"/>
              <w:rPr>
                <w:rFonts w:eastAsia="Times New Roman" w:cs="Segoe UI"/>
                <w:sz w:val="20"/>
                <w:szCs w:val="20"/>
                <w:lang w:eastAsia="en-AU"/>
              </w:rPr>
            </w:pP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83E1E4E" w14:textId="27A8BA77" w:rsidR="009A3DD4" w:rsidRPr="004A234E" w:rsidRDefault="00FA3DC5" w:rsidP="008505D7">
            <w:pPr>
              <w:pStyle w:val="ListParagraph"/>
              <w:numPr>
                <w:ilvl w:val="0"/>
                <w:numId w:val="93"/>
              </w:numPr>
              <w:spacing w:after="120"/>
              <w:ind w:left="274"/>
              <w:rPr>
                <w:rFonts w:eastAsia="Times New Roman" w:cs="Segoe UI"/>
                <w:sz w:val="20"/>
                <w:szCs w:val="20"/>
                <w:lang w:eastAsia="en-AU"/>
              </w:rPr>
            </w:pPr>
            <w:r>
              <w:rPr>
                <w:rFonts w:eastAsia="Times New Roman" w:cs="Segoe UI"/>
                <w:sz w:val="20"/>
                <w:szCs w:val="20"/>
                <w:lang w:eastAsia="en-AU"/>
              </w:rPr>
              <w:t xml:space="preserve">The HTA Committee to </w:t>
            </w:r>
            <w:r w:rsidR="00591F7C">
              <w:rPr>
                <w:rFonts w:eastAsia="Times New Roman" w:cs="Segoe UI"/>
                <w:sz w:val="20"/>
                <w:szCs w:val="20"/>
                <w:lang w:eastAsia="en-AU"/>
              </w:rPr>
              <w:t>d</w:t>
            </w:r>
            <w:r w:rsidR="009A3DD4" w:rsidRPr="004A234E">
              <w:rPr>
                <w:rFonts w:eastAsia="Times New Roman" w:cs="Segoe UI"/>
                <w:sz w:val="20"/>
                <w:szCs w:val="20"/>
                <w:lang w:eastAsia="en-AU"/>
              </w:rPr>
              <w:t>evelop, in consultation with a range of stakeholders, explicit guidance regarding the elements (beyond clinical effectiveness, cost-effectiveness, and financial impact</w:t>
            </w:r>
            <w:r w:rsidR="00711027">
              <w:rPr>
                <w:rFonts w:eastAsia="Times New Roman" w:cs="Segoe UI"/>
                <w:sz w:val="20"/>
                <w:szCs w:val="20"/>
                <w:lang w:eastAsia="en-AU"/>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Times New Roman" w:cs="Segoe UI"/>
                <w:sz w:val="20"/>
                <w:szCs w:val="20"/>
                <w:lang w:eastAsia="en-AU"/>
              </w:rPr>
              <w:fldChar w:fldCharType="end"/>
            </w:r>
            <w:r w:rsidR="009A3DD4" w:rsidRPr="004A234E">
              <w:rPr>
                <w:rFonts w:eastAsia="Times New Roman" w:cs="Segoe UI"/>
                <w:sz w:val="20"/>
                <w:szCs w:val="20"/>
                <w:lang w:eastAsia="en-AU"/>
              </w:rPr>
              <w:t>) that the committee </w:t>
            </w:r>
            <w:r w:rsidR="00847B3D">
              <w:rPr>
                <w:rFonts w:eastAsia="Times New Roman" w:cs="Segoe UI"/>
                <w:sz w:val="20"/>
                <w:szCs w:val="20"/>
                <w:lang w:eastAsia="en-AU"/>
              </w:rPr>
              <w:t xml:space="preserve">will </w:t>
            </w:r>
            <w:r w:rsidR="009A3DD4" w:rsidRPr="004A234E">
              <w:rPr>
                <w:rFonts w:eastAsia="Times New Roman" w:cs="Segoe UI"/>
                <w:sz w:val="20"/>
                <w:szCs w:val="20"/>
                <w:lang w:eastAsia="en-AU"/>
              </w:rPr>
              <w:t xml:space="preserve">consider, how they </w:t>
            </w:r>
            <w:r w:rsidR="008E1618">
              <w:rPr>
                <w:rFonts w:eastAsia="Times New Roman" w:cs="Segoe UI"/>
                <w:sz w:val="20"/>
                <w:szCs w:val="20"/>
                <w:lang w:eastAsia="en-AU"/>
              </w:rPr>
              <w:t>will</w:t>
            </w:r>
            <w:r w:rsidR="009A3DD4" w:rsidRPr="004A234E">
              <w:rPr>
                <w:rFonts w:eastAsia="Times New Roman" w:cs="Segoe UI"/>
                <w:sz w:val="20"/>
                <w:szCs w:val="20"/>
                <w:lang w:eastAsia="en-AU"/>
              </w:rPr>
              <w:t xml:space="preserve"> consider them, and what impact they have on decision-making.</w:t>
            </w:r>
          </w:p>
          <w:p w14:paraId="057A2C61" w14:textId="55F4EEFB" w:rsidR="009A3DD4" w:rsidRPr="004A234E" w:rsidRDefault="009A3DD4" w:rsidP="008505D7">
            <w:pPr>
              <w:pStyle w:val="ListParagraph"/>
              <w:numPr>
                <w:ilvl w:val="0"/>
                <w:numId w:val="93"/>
              </w:numPr>
              <w:spacing w:after="120"/>
              <w:ind w:left="274"/>
              <w:rPr>
                <w:rFonts w:eastAsia="Times New Roman" w:cs="Segoe UI"/>
                <w:sz w:val="20"/>
                <w:szCs w:val="20"/>
                <w:lang w:eastAsia="en-AU"/>
              </w:rPr>
            </w:pPr>
            <w:r w:rsidRPr="004A234E">
              <w:rPr>
                <w:rFonts w:eastAsia="Times New Roman" w:cs="Segoe UI"/>
                <w:sz w:val="20"/>
                <w:szCs w:val="20"/>
                <w:lang w:eastAsia="en-AU"/>
              </w:rPr>
              <w:t>The value framework</w:t>
            </w:r>
            <w:r w:rsidR="00420583">
              <w:rPr>
                <w:rFonts w:eastAsia="Times New Roman" w:cs="Segoe UI"/>
                <w:sz w:val="20"/>
                <w:szCs w:val="20"/>
                <w:lang w:eastAsia="en-AU"/>
              </w:rPr>
              <w:fldChar w:fldCharType="begin"/>
            </w:r>
            <w:r w:rsidR="00420583" w:rsidRPr="00DB623D">
              <w:rPr>
                <w:rFonts w:eastAsia="Times New Roman" w:cs="Segoe UI"/>
                <w:sz w:val="20"/>
                <w:szCs w:val="20"/>
                <w:lang w:eastAsia="en-AU"/>
              </w:rPr>
              <w:instrText xml:space="preserve"> XE "value framework" \b </w:instrText>
            </w:r>
            <w:r w:rsidR="00420583">
              <w:rPr>
                <w:rFonts w:eastAsia="Times New Roman" w:cs="Segoe UI"/>
                <w:sz w:val="20"/>
                <w:szCs w:val="20"/>
                <w:lang w:eastAsia="en-AU"/>
              </w:rPr>
              <w:fldChar w:fldCharType="end"/>
            </w:r>
            <w:r w:rsidRPr="004A234E">
              <w:rPr>
                <w:rFonts w:eastAsia="Times New Roman" w:cs="Segoe UI"/>
                <w:sz w:val="20"/>
                <w:szCs w:val="20"/>
                <w:lang w:eastAsia="en-AU"/>
              </w:rPr>
              <w:t xml:space="preserve"> would allow enough flexibility for the deliberation process itself to add value to the decisions </w:t>
            </w:r>
            <w:proofErr w:type="gramStart"/>
            <w:r w:rsidRPr="004A234E">
              <w:rPr>
                <w:rFonts w:eastAsia="Times New Roman" w:cs="Segoe UI"/>
                <w:sz w:val="20"/>
                <w:szCs w:val="20"/>
                <w:lang w:eastAsia="en-AU"/>
              </w:rPr>
              <w:t>i.e.</w:t>
            </w:r>
            <w:proofErr w:type="gramEnd"/>
            <w:r w:rsidRPr="004A234E">
              <w:rPr>
                <w:rFonts w:eastAsia="Times New Roman" w:cs="Segoe UI"/>
                <w:sz w:val="20"/>
                <w:szCs w:val="20"/>
                <w:lang w:eastAsia="en-AU"/>
              </w:rPr>
              <w:t xml:space="preserve"> not be pre-weighted and scored.</w:t>
            </w:r>
          </w:p>
          <w:p w14:paraId="5DD0E255" w14:textId="77777777" w:rsidR="00996B42" w:rsidRDefault="009A3DD4" w:rsidP="008505D7">
            <w:pPr>
              <w:pStyle w:val="ListParagraph"/>
              <w:numPr>
                <w:ilvl w:val="0"/>
                <w:numId w:val="93"/>
              </w:numPr>
              <w:spacing w:after="120"/>
              <w:ind w:left="274"/>
              <w:rPr>
                <w:rFonts w:eastAsia="Times New Roman" w:cs="Segoe UI"/>
                <w:sz w:val="20"/>
                <w:szCs w:val="20"/>
                <w:lang w:eastAsia="en-AU"/>
              </w:rPr>
            </w:pPr>
            <w:r w:rsidRPr="004A234E">
              <w:rPr>
                <w:rFonts w:eastAsia="Times New Roman" w:cs="Segoe UI"/>
                <w:sz w:val="20"/>
                <w:szCs w:val="20"/>
                <w:lang w:eastAsia="en-AU"/>
              </w:rPr>
              <w:t>The consideration of the value elements would need to be explicit before, during and after consideration of a technology and be transparently communicated in Public Summary Documents.</w:t>
            </w:r>
          </w:p>
          <w:p w14:paraId="4A391572" w14:textId="1797795B" w:rsidR="004D5104" w:rsidRPr="00566D14" w:rsidRDefault="0073016A" w:rsidP="008505D7">
            <w:pPr>
              <w:pStyle w:val="ListParagraph"/>
              <w:numPr>
                <w:ilvl w:val="0"/>
                <w:numId w:val="93"/>
              </w:numPr>
              <w:spacing w:after="120"/>
              <w:ind w:left="274"/>
              <w:rPr>
                <w:rFonts w:eastAsia="Times New Roman" w:cs="Segoe UI"/>
                <w:sz w:val="20"/>
                <w:szCs w:val="20"/>
                <w:lang w:eastAsia="en-AU"/>
              </w:rPr>
            </w:pPr>
            <w:r w:rsidRPr="00566D14">
              <w:rPr>
                <w:rFonts w:eastAsia="Times New Roman" w:cs="Segoe UI"/>
                <w:sz w:val="20"/>
                <w:szCs w:val="20"/>
                <w:lang w:eastAsia="en-AU"/>
              </w:rPr>
              <w:lastRenderedPageBreak/>
              <w:t>Develop d</w:t>
            </w:r>
            <w:r w:rsidR="009A26C0" w:rsidRPr="00566D14">
              <w:rPr>
                <w:rFonts w:eastAsia="Times New Roman" w:cs="Segoe UI"/>
                <w:sz w:val="20"/>
                <w:szCs w:val="20"/>
                <w:lang w:eastAsia="en-AU"/>
              </w:rPr>
              <w:t>ocumentation regarding how the framework will be considered during</w:t>
            </w:r>
            <w:r w:rsidRPr="00566D14">
              <w:rPr>
                <w:rFonts w:eastAsia="Times New Roman" w:cs="Segoe UI"/>
                <w:sz w:val="20"/>
                <w:szCs w:val="20"/>
                <w:lang w:eastAsia="en-AU"/>
              </w:rPr>
              <w:t xml:space="preserve"> </w:t>
            </w:r>
            <w:r w:rsidR="009A26C0" w:rsidRPr="00566D14">
              <w:rPr>
                <w:rFonts w:eastAsia="Times New Roman" w:cs="Segoe UI"/>
                <w:sz w:val="20"/>
                <w:szCs w:val="20"/>
                <w:lang w:eastAsia="en-AU"/>
              </w:rPr>
              <w:t>committee deliberations</w:t>
            </w:r>
            <w:r w:rsidR="00F31062" w:rsidRPr="00566D14">
              <w:rPr>
                <w:rFonts w:eastAsia="Times New Roman" w:cs="Segoe UI"/>
                <w:sz w:val="20"/>
                <w:szCs w:val="20"/>
                <w:lang w:eastAsia="en-AU"/>
              </w:rPr>
              <w:t xml:space="preserve"> and g</w:t>
            </w:r>
            <w:r w:rsidR="009A26C0" w:rsidRPr="00566D14">
              <w:rPr>
                <w:rFonts w:eastAsia="Times New Roman" w:cs="Segoe UI"/>
                <w:sz w:val="20"/>
                <w:szCs w:val="20"/>
                <w:lang w:eastAsia="en-AU"/>
              </w:rPr>
              <w:t>uidance explaining how</w:t>
            </w:r>
            <w:r w:rsidR="00566D14" w:rsidRPr="00566D14">
              <w:rPr>
                <w:rFonts w:eastAsia="Times New Roman" w:cs="Segoe UI"/>
                <w:sz w:val="20"/>
                <w:szCs w:val="20"/>
                <w:lang w:eastAsia="en-AU"/>
              </w:rPr>
              <w:t xml:space="preserve"> </w:t>
            </w:r>
            <w:r w:rsidR="005C17EF" w:rsidRPr="00566D14">
              <w:rPr>
                <w:rFonts w:eastAsia="Times New Roman" w:cs="Segoe UI"/>
                <w:sz w:val="20"/>
                <w:szCs w:val="20"/>
                <w:lang w:eastAsia="en-AU"/>
              </w:rPr>
              <w:t>sponsors</w:t>
            </w:r>
            <w:r w:rsidR="009A26C0" w:rsidRPr="00566D14">
              <w:rPr>
                <w:rFonts w:eastAsia="Times New Roman" w:cs="Segoe UI"/>
                <w:sz w:val="20"/>
                <w:szCs w:val="20"/>
                <w:lang w:eastAsia="en-AU"/>
              </w:rPr>
              <w:t xml:space="preserve"> could provide data to respond to additional value domains</w:t>
            </w:r>
            <w:r w:rsidR="00566D14" w:rsidRPr="00566D14">
              <w:rPr>
                <w:rFonts w:eastAsia="Times New Roman" w:cs="Segoe UI"/>
                <w:sz w:val="20"/>
                <w:szCs w:val="20"/>
                <w:lang w:eastAsia="en-AU"/>
              </w:rPr>
              <w:t xml:space="preserve">, and </w:t>
            </w:r>
            <w:r w:rsidR="00136D3F">
              <w:rPr>
                <w:rFonts w:eastAsia="Times New Roman" w:cs="Segoe UI"/>
                <w:sz w:val="20"/>
                <w:szCs w:val="20"/>
                <w:lang w:eastAsia="en-AU"/>
              </w:rPr>
              <w:t>p</w:t>
            </w:r>
            <w:r w:rsidR="009A26C0" w:rsidRPr="00566D14">
              <w:rPr>
                <w:rFonts w:eastAsia="Times New Roman" w:cs="Segoe UI"/>
                <w:sz w:val="20"/>
                <w:szCs w:val="20"/>
                <w:lang w:eastAsia="en-AU"/>
              </w:rPr>
              <w:t>atients or citizens could provide submissions to respond to additional</w:t>
            </w:r>
            <w:r w:rsidR="00694504" w:rsidRPr="00566D14">
              <w:rPr>
                <w:rFonts w:eastAsia="Times New Roman" w:cs="Segoe UI"/>
                <w:sz w:val="20"/>
                <w:szCs w:val="20"/>
                <w:lang w:eastAsia="en-AU"/>
              </w:rPr>
              <w:t xml:space="preserve"> </w:t>
            </w:r>
            <w:r w:rsidR="009A26C0" w:rsidRPr="00566D14">
              <w:rPr>
                <w:rFonts w:eastAsia="Times New Roman" w:cs="Segoe UI"/>
                <w:sz w:val="20"/>
                <w:szCs w:val="20"/>
                <w:lang w:eastAsia="en-AU"/>
              </w:rPr>
              <w:t>value domains</w:t>
            </w:r>
            <w:r w:rsidR="0001364D" w:rsidRPr="00566D14">
              <w:rPr>
                <w:rFonts w:eastAsia="Times New Roman" w:cs="Segoe UI"/>
                <w:sz w:val="20"/>
                <w:szCs w:val="20"/>
                <w:lang w:eastAsia="en-AU"/>
              </w:rPr>
              <w:t>.</w:t>
            </w:r>
            <w:r w:rsidR="004D5104" w:rsidRPr="00566D14">
              <w:rPr>
                <w:rFonts w:eastAsia="Times New Roman" w:cs="Segoe UI"/>
                <w:sz w:val="20"/>
                <w:szCs w:val="20"/>
                <w:lang w:eastAsia="en-AU"/>
              </w:rPr>
              <w:t xml:space="preserve"> </w:t>
            </w:r>
          </w:p>
          <w:p w14:paraId="28D2E1AB" w14:textId="3DFC9CEC" w:rsidR="002C0538" w:rsidRPr="004A234E" w:rsidRDefault="009A0207" w:rsidP="008505D7">
            <w:pPr>
              <w:pStyle w:val="ListParagraph"/>
              <w:numPr>
                <w:ilvl w:val="0"/>
                <w:numId w:val="93"/>
              </w:numPr>
              <w:spacing w:after="120"/>
              <w:ind w:left="274"/>
              <w:rPr>
                <w:rFonts w:eastAsia="Times New Roman" w:cs="Segoe UI"/>
                <w:sz w:val="20"/>
                <w:szCs w:val="20"/>
                <w:lang w:eastAsia="en-AU"/>
              </w:rPr>
            </w:pPr>
            <w:r>
              <w:rPr>
                <w:rFonts w:eastAsia="Times New Roman" w:cs="Segoe UI"/>
                <w:sz w:val="20"/>
                <w:szCs w:val="20"/>
                <w:lang w:eastAsia="en-AU"/>
              </w:rPr>
              <w:t xml:space="preserve">Informed by published research and public consultation, </w:t>
            </w:r>
            <w:r w:rsidR="001F2E1C">
              <w:rPr>
                <w:rFonts w:eastAsia="Times New Roman" w:cs="Segoe UI"/>
                <w:sz w:val="20"/>
                <w:szCs w:val="20"/>
                <w:lang w:eastAsia="en-AU"/>
              </w:rPr>
              <w:t>develop a</w:t>
            </w:r>
            <w:r w:rsidR="00505700" w:rsidRPr="00505700">
              <w:rPr>
                <w:rFonts w:eastAsia="Times New Roman" w:cs="Segoe UI"/>
                <w:sz w:val="20"/>
                <w:szCs w:val="20"/>
                <w:lang w:eastAsia="en-AU"/>
              </w:rPr>
              <w:t xml:space="preserve"> checklist to assist HTA decision makers to integrate equity</w:t>
            </w:r>
            <w:r w:rsidR="00A67FBB">
              <w:rPr>
                <w:rFonts w:eastAsia="Times New Roman" w:cs="Segoe UI"/>
                <w:sz w:val="20"/>
                <w:szCs w:val="20"/>
                <w:lang w:eastAsia="en-AU"/>
              </w:rPr>
              <w:fldChar w:fldCharType="begin"/>
            </w:r>
            <w:r w:rsidR="00A67FBB" w:rsidRPr="00DB623D">
              <w:rPr>
                <w:rFonts w:eastAsia="Times New Roman" w:cs="Segoe UI"/>
                <w:sz w:val="20"/>
                <w:szCs w:val="20"/>
                <w:lang w:eastAsia="en-AU"/>
              </w:rPr>
              <w:instrText xml:space="preserve"> XE "equity" </w:instrText>
            </w:r>
            <w:r w:rsidR="00A67FBB">
              <w:rPr>
                <w:rFonts w:eastAsia="Times New Roman" w:cs="Segoe UI"/>
                <w:sz w:val="20"/>
                <w:szCs w:val="20"/>
                <w:lang w:eastAsia="en-AU"/>
              </w:rPr>
              <w:fldChar w:fldCharType="end"/>
            </w:r>
            <w:r w:rsidR="006C3CE1">
              <w:rPr>
                <w:rFonts w:eastAsia="Times New Roman" w:cs="Segoe UI"/>
                <w:sz w:val="20"/>
                <w:szCs w:val="20"/>
                <w:lang w:eastAsia="en-AU"/>
              </w:rPr>
              <w:t xml:space="preserve"> </w:t>
            </w:r>
            <w:r w:rsidR="00505700" w:rsidRPr="00505700">
              <w:rPr>
                <w:rFonts w:eastAsia="Times New Roman" w:cs="Segoe UI"/>
                <w:sz w:val="20"/>
                <w:szCs w:val="20"/>
                <w:lang w:eastAsia="en-AU"/>
              </w:rPr>
              <w:t>considerations into their deliberations in a more comprehensive and systematic way.</w:t>
            </w:r>
            <w:r w:rsidR="00D859D0">
              <w:rPr>
                <w:rFonts w:eastAsia="Times New Roman" w:cs="Segoe UI"/>
                <w:sz w:val="20"/>
                <w:szCs w:val="20"/>
                <w:lang w:eastAsia="en-AU"/>
              </w:rPr>
              <w:t xml:space="preserve"> </w:t>
            </w:r>
            <w:r w:rsidR="001C484C">
              <w:rPr>
                <w:rFonts w:eastAsia="Times New Roman" w:cs="Segoe UI"/>
                <w:sz w:val="20"/>
                <w:szCs w:val="20"/>
                <w:lang w:eastAsia="en-AU"/>
              </w:rPr>
              <w:t xml:space="preserve">Noting that </w:t>
            </w:r>
            <w:r w:rsidR="009D648C">
              <w:rPr>
                <w:rFonts w:eastAsia="Times New Roman" w:cs="Segoe UI"/>
                <w:sz w:val="20"/>
                <w:szCs w:val="20"/>
                <w:lang w:eastAsia="en-AU"/>
              </w:rPr>
              <w:t xml:space="preserve">some </w:t>
            </w:r>
            <w:r w:rsidR="00300A20">
              <w:rPr>
                <w:rFonts w:eastAsia="Times New Roman" w:cs="Segoe UI"/>
                <w:sz w:val="20"/>
                <w:szCs w:val="20"/>
                <w:lang w:eastAsia="en-AU"/>
              </w:rPr>
              <w:t xml:space="preserve">new health technologies may have a negative impact on health equity </w:t>
            </w:r>
            <w:r w:rsidR="00FA41A2">
              <w:rPr>
                <w:rFonts w:eastAsia="Times New Roman" w:cs="Segoe UI"/>
                <w:sz w:val="20"/>
                <w:szCs w:val="20"/>
                <w:lang w:eastAsia="en-AU"/>
              </w:rPr>
              <w:t xml:space="preserve">also. </w:t>
            </w:r>
            <w:r w:rsidR="009208F9">
              <w:rPr>
                <w:rFonts w:eastAsia="Times New Roman" w:cs="Segoe UI"/>
                <w:sz w:val="20"/>
                <w:szCs w:val="20"/>
                <w:lang w:eastAsia="en-AU"/>
              </w:rPr>
              <w:t xml:space="preserve">This </w:t>
            </w:r>
            <w:r w:rsidR="00325459">
              <w:rPr>
                <w:rFonts w:eastAsia="Times New Roman" w:cs="Segoe UI"/>
                <w:sz w:val="20"/>
                <w:szCs w:val="20"/>
                <w:lang w:eastAsia="en-AU"/>
              </w:rPr>
              <w:t xml:space="preserve">could include </w:t>
            </w:r>
            <w:r w:rsidR="009208F9" w:rsidRPr="009208F9">
              <w:rPr>
                <w:rFonts w:eastAsia="Times New Roman" w:cs="Segoe UI"/>
                <w:sz w:val="20"/>
                <w:szCs w:val="20"/>
                <w:lang w:eastAsia="en-AU"/>
              </w:rPr>
              <w:t xml:space="preserve">explicit </w:t>
            </w:r>
            <w:r w:rsidR="004026A5">
              <w:rPr>
                <w:rFonts w:eastAsia="Times New Roman" w:cs="Segoe UI"/>
                <w:sz w:val="20"/>
                <w:szCs w:val="20"/>
                <w:lang w:eastAsia="en-AU"/>
              </w:rPr>
              <w:t>con</w:t>
            </w:r>
            <w:r w:rsidR="00906316">
              <w:rPr>
                <w:rFonts w:eastAsia="Times New Roman" w:cs="Segoe UI"/>
                <w:sz w:val="20"/>
                <w:szCs w:val="20"/>
                <w:lang w:eastAsia="en-AU"/>
              </w:rPr>
              <w:t xml:space="preserve">sideration </w:t>
            </w:r>
            <w:r w:rsidR="00E14C5B">
              <w:rPr>
                <w:rFonts w:eastAsia="Times New Roman" w:cs="Segoe UI"/>
                <w:sz w:val="20"/>
                <w:szCs w:val="20"/>
                <w:lang w:eastAsia="en-AU"/>
              </w:rPr>
              <w:t xml:space="preserve">of priority populations such as First Nations </w:t>
            </w:r>
            <w:r w:rsidR="00E520B4">
              <w:rPr>
                <w:rFonts w:eastAsia="Times New Roman" w:cs="Segoe UI"/>
                <w:sz w:val="20"/>
                <w:szCs w:val="20"/>
                <w:lang w:eastAsia="en-AU"/>
              </w:rPr>
              <w:t>p</w:t>
            </w:r>
            <w:r w:rsidR="00E14C5B">
              <w:rPr>
                <w:rFonts w:eastAsia="Times New Roman" w:cs="Segoe UI"/>
                <w:sz w:val="20"/>
                <w:szCs w:val="20"/>
                <w:lang w:eastAsia="en-AU"/>
              </w:rPr>
              <w:t>eople</w:t>
            </w:r>
            <w:r w:rsidR="00E520B4">
              <w:rPr>
                <w:rFonts w:eastAsia="Times New Roman" w:cs="Segoe UI"/>
                <w:sz w:val="20"/>
                <w:szCs w:val="20"/>
                <w:lang w:eastAsia="en-AU"/>
              </w:rPr>
              <w:t>s</w:t>
            </w:r>
            <w:r w:rsidR="009950D4">
              <w:rPr>
                <w:rFonts w:eastAsia="Times New Roman" w:cs="Segoe UI"/>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sz w:val="20"/>
                <w:szCs w:val="20"/>
                <w:lang w:eastAsia="en-AU"/>
              </w:rPr>
              <w:fldChar w:fldCharType="end"/>
            </w:r>
            <w:r w:rsidR="003722E3">
              <w:rPr>
                <w:rFonts w:eastAsia="Times New Roman" w:cs="Segoe UI"/>
                <w:sz w:val="20"/>
                <w:szCs w:val="20"/>
                <w:lang w:eastAsia="en-AU"/>
              </w:rPr>
              <w:t xml:space="preserve">. </w:t>
            </w:r>
          </w:p>
        </w:tc>
      </w:tr>
      <w:tr w:rsidR="00704E99" w:rsidRPr="006647C5" w14:paraId="03B8FC97" w14:textId="77777777" w:rsidTr="00534579">
        <w:trPr>
          <w:trHeight w:val="350"/>
        </w:trPr>
        <w:tc>
          <w:tcPr>
            <w:tcW w:w="1055" w:type="dxa"/>
            <w:shd w:val="clear" w:color="auto" w:fill="FFFFFF" w:themeFill="background1"/>
            <w:tcMar>
              <w:top w:w="72" w:type="dxa"/>
              <w:left w:w="144" w:type="dxa"/>
              <w:bottom w:w="72" w:type="dxa"/>
              <w:right w:w="144" w:type="dxa"/>
            </w:tcMar>
          </w:tcPr>
          <w:p w14:paraId="5E690563" w14:textId="77777777" w:rsidR="00704E99" w:rsidRPr="00CD3782" w:rsidRDefault="00704E99" w:rsidP="008C10BB">
            <w:pPr>
              <w:spacing w:after="120"/>
              <w:rPr>
                <w:rFonts w:eastAsia="Times New Roman" w:cs="Segoe UI"/>
                <w:color w:val="FF0000"/>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7E008BE4" w14:textId="7ECC2FF5" w:rsidR="00704E99" w:rsidRPr="004A234E" w:rsidRDefault="0078640D" w:rsidP="008A5286">
            <w:pPr>
              <w:pStyle w:val="Heading7"/>
              <w:keepNext w:val="0"/>
              <w:keepLines w:val="0"/>
              <w:rPr>
                <w:lang w:eastAsia="en-AU"/>
              </w:rPr>
            </w:pPr>
            <w:r>
              <w:rPr>
                <w:lang w:eastAsia="en-AU"/>
              </w:rPr>
              <w:t xml:space="preserve">Therapies </w:t>
            </w:r>
            <w:r w:rsidR="00586E60">
              <w:rPr>
                <w:lang w:eastAsia="en-AU"/>
              </w:rPr>
              <w:t>that</w:t>
            </w:r>
            <w:r>
              <w:rPr>
                <w:lang w:eastAsia="en-AU"/>
              </w:rPr>
              <w:t xml:space="preserve"> target bioma</w:t>
            </w:r>
            <w:r w:rsidR="000E1DF7">
              <w:rPr>
                <w:lang w:eastAsia="en-AU"/>
              </w:rPr>
              <w:t>rkers</w:t>
            </w:r>
            <w:r w:rsidR="000A4E7B">
              <w:rPr>
                <w:lang w:eastAsia="en-AU"/>
              </w:rPr>
              <w:t xml:space="preserve"> </w:t>
            </w:r>
            <w:r w:rsidR="006803E4">
              <w:rPr>
                <w:lang w:eastAsia="en-AU"/>
              </w:rPr>
              <w:t>(</w:t>
            </w:r>
            <w:proofErr w:type="gramStart"/>
            <w:r w:rsidR="006A0F76">
              <w:rPr>
                <w:lang w:eastAsia="en-AU"/>
              </w:rPr>
              <w:t>e.g.</w:t>
            </w:r>
            <w:proofErr w:type="gramEnd"/>
            <w:r w:rsidR="006A0F76">
              <w:rPr>
                <w:lang w:eastAsia="en-AU"/>
              </w:rPr>
              <w:t xml:space="preserve"> </w:t>
            </w:r>
            <w:r w:rsidR="000F08F7">
              <w:rPr>
                <w:lang w:eastAsia="en-AU"/>
              </w:rPr>
              <w:t xml:space="preserve">tumour agnostic </w:t>
            </w:r>
            <w:r w:rsidR="005928B2">
              <w:rPr>
                <w:lang w:eastAsia="en-AU"/>
              </w:rPr>
              <w:t>cancer therapies</w:t>
            </w:r>
            <w:r w:rsidR="008D0DC8">
              <w:rPr>
                <w:lang w:eastAsia="en-AU"/>
              </w:rPr>
              <w:t xml:space="preserve">, </w:t>
            </w:r>
            <w:r w:rsidR="00E17BD7">
              <w:rPr>
                <w:lang w:eastAsia="en-AU"/>
              </w:rPr>
              <w:t>ther</w:t>
            </w:r>
            <w:r w:rsidR="00690470">
              <w:rPr>
                <w:lang w:eastAsia="en-AU"/>
              </w:rPr>
              <w:t xml:space="preserve">apies that target </w:t>
            </w:r>
            <w:r w:rsidR="007E4393">
              <w:rPr>
                <w:lang w:eastAsia="en-AU"/>
              </w:rPr>
              <w:t>particular gene alterations</w:t>
            </w:r>
            <w:r w:rsidR="008D0DC8">
              <w:rPr>
                <w:lang w:eastAsia="en-AU"/>
              </w:rPr>
              <w:t>)</w:t>
            </w:r>
            <w:r w:rsidR="00767EBA">
              <w:rPr>
                <w:lang w:eastAsia="en-AU"/>
              </w:rPr>
              <w:t xml:space="preserve"> </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94456EC" w14:textId="7D770D77" w:rsidR="00E40F74" w:rsidRPr="00687095" w:rsidRDefault="00E40F74" w:rsidP="008505D7">
            <w:pPr>
              <w:pStyle w:val="ListParagraph"/>
              <w:numPr>
                <w:ilvl w:val="0"/>
                <w:numId w:val="37"/>
              </w:numPr>
              <w:rPr>
                <w:rFonts w:eastAsia="Times New Roman" w:cs="Segoe UI"/>
                <w:sz w:val="20"/>
                <w:szCs w:val="20"/>
                <w:lang w:eastAsia="en-AU"/>
              </w:rPr>
            </w:pPr>
            <w:r w:rsidRPr="00687095">
              <w:rPr>
                <w:rFonts w:eastAsia="Times New Roman" w:cs="Segoe UI"/>
                <w:sz w:val="20"/>
                <w:szCs w:val="20"/>
                <w:lang w:eastAsia="en-AU"/>
              </w:rPr>
              <w:t>Develop a guideline on the assessment and appraisal of tumour agnostic therapies</w:t>
            </w:r>
            <w:r w:rsidR="00F01EB7">
              <w:rPr>
                <w:rFonts w:eastAsia="Times New Roman" w:cs="Segoe UI"/>
                <w:sz w:val="20"/>
                <w:szCs w:val="20"/>
                <w:lang w:eastAsia="en-AU"/>
              </w:rPr>
              <w:fldChar w:fldCharType="begin"/>
            </w:r>
            <w:r w:rsidR="00F01EB7">
              <w:instrText xml:space="preserve"> XE "</w:instrText>
            </w:r>
            <w:r w:rsidR="00F01EB7" w:rsidRPr="00530351">
              <w:rPr>
                <w:rFonts w:eastAsia="Times New Roman" w:cs="Segoe UI"/>
                <w:sz w:val="20"/>
                <w:szCs w:val="20"/>
                <w:lang w:eastAsia="en-AU"/>
              </w:rPr>
              <w:instrText>tumour agnostic therapies</w:instrText>
            </w:r>
            <w:r w:rsidR="00F01EB7">
              <w:instrText xml:space="preserve">" \b </w:instrText>
            </w:r>
            <w:r w:rsidR="00F01EB7">
              <w:rPr>
                <w:rFonts w:eastAsia="Times New Roman" w:cs="Segoe UI"/>
                <w:sz w:val="20"/>
                <w:szCs w:val="20"/>
                <w:lang w:eastAsia="en-AU"/>
              </w:rPr>
              <w:fldChar w:fldCharType="end"/>
            </w:r>
            <w:r w:rsidRPr="00687095">
              <w:rPr>
                <w:rFonts w:eastAsia="Times New Roman" w:cs="Segoe UI"/>
                <w:sz w:val="20"/>
                <w:szCs w:val="20"/>
                <w:lang w:eastAsia="en-AU"/>
              </w:rPr>
              <w:t xml:space="preserve"> </w:t>
            </w:r>
            <w:r w:rsidR="00CF5943">
              <w:rPr>
                <w:rFonts w:eastAsia="Times New Roman" w:cs="Segoe UI"/>
                <w:sz w:val="20"/>
                <w:szCs w:val="20"/>
                <w:lang w:eastAsia="en-AU"/>
              </w:rPr>
              <w:t xml:space="preserve">as outlined at 6.6.4 of the </w:t>
            </w:r>
            <w:hyperlink r:id="rId88" w:anchor="page=151" w:history="1">
              <w:r w:rsidR="00CF5943" w:rsidRPr="00CB4D15">
                <w:rPr>
                  <w:rStyle w:val="Hyperlink"/>
                  <w:rFonts w:eastAsia="Times New Roman" w:cs="Segoe UI"/>
                  <w:sz w:val="20"/>
                  <w:szCs w:val="20"/>
                  <w:lang w:eastAsia="en-AU"/>
                </w:rPr>
                <w:t>HTA Review Paper on Clinical Evaluation Methods in HTA</w:t>
              </w:r>
            </w:hyperlink>
          </w:p>
          <w:p w14:paraId="32AF16C2" w14:textId="4CC2FB1D" w:rsidR="00A538EB" w:rsidRPr="00E40F74" w:rsidRDefault="00A538EB" w:rsidP="008505D7">
            <w:pPr>
              <w:pStyle w:val="ListParagraph"/>
              <w:numPr>
                <w:ilvl w:val="0"/>
                <w:numId w:val="37"/>
              </w:numPr>
              <w:rPr>
                <w:rFonts w:eastAsia="Times New Roman" w:cs="Segoe UI"/>
                <w:sz w:val="20"/>
                <w:szCs w:val="20"/>
                <w:lang w:eastAsia="en-AU"/>
              </w:rPr>
            </w:pPr>
            <w:r w:rsidRPr="00060CB8">
              <w:rPr>
                <w:rFonts w:eastAsia="Times New Roman" w:cs="Segoe UI"/>
                <w:sz w:val="20"/>
                <w:szCs w:val="20"/>
                <w:lang w:eastAsia="en-AU"/>
              </w:rPr>
              <w:t>Develop a guideline on the assessment and appraisal of genomic technologies and gene therapies for HTA decisions in Australia</w:t>
            </w:r>
            <w:r w:rsidR="004314E0" w:rsidRPr="00060CB8">
              <w:rPr>
                <w:rFonts w:eastAsia="Times New Roman" w:cs="Segoe UI"/>
                <w:sz w:val="20"/>
                <w:szCs w:val="20"/>
                <w:lang w:eastAsia="en-AU"/>
              </w:rPr>
              <w:t>.</w:t>
            </w:r>
          </w:p>
          <w:p w14:paraId="0208E24D" w14:textId="2193D02B" w:rsidR="00A538EB" w:rsidRPr="00DB623D" w:rsidRDefault="00A538EB" w:rsidP="008505D7">
            <w:pPr>
              <w:pStyle w:val="ListParagraph"/>
              <w:numPr>
                <w:ilvl w:val="0"/>
                <w:numId w:val="94"/>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This could be for pharmacogenomic technologies only, should PBAC’s remit remain as appraising medicines, vaccines</w:t>
            </w:r>
            <w:r w:rsidR="004D283C" w:rsidRPr="00DB623D">
              <w:rPr>
                <w:rFonts w:eastAsia="Times New Roman" w:cs="Segoe UI"/>
                <w:color w:val="222A35"/>
                <w:kern w:val="24"/>
                <w:sz w:val="20"/>
                <w:szCs w:val="20"/>
                <w:lang w:eastAsia="en-AU"/>
              </w:rPr>
              <w:fldChar w:fldCharType="begin"/>
            </w:r>
            <w:r w:rsidR="004D283C" w:rsidRPr="00DB623D">
              <w:rPr>
                <w:rFonts w:eastAsia="Times New Roman" w:cs="Segoe UI"/>
                <w:color w:val="222A35"/>
                <w:kern w:val="24"/>
                <w:sz w:val="20"/>
                <w:szCs w:val="20"/>
                <w:lang w:eastAsia="en-AU"/>
              </w:rPr>
              <w:instrText xml:space="preserve"> XE "vaccines" \b </w:instrText>
            </w:r>
            <w:r w:rsidR="004D283C" w:rsidRPr="00DB623D">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w:t>
            </w:r>
            <w:r w:rsidR="004173E0">
              <w:rPr>
                <w:rFonts w:eastAsia="Times New Roman" w:cs="Segoe UI"/>
                <w:color w:val="222A35"/>
                <w:kern w:val="24"/>
                <w:sz w:val="20"/>
                <w:szCs w:val="20"/>
                <w:lang w:eastAsia="en-AU"/>
              </w:rPr>
              <w:t>advanced therapies</w:t>
            </w:r>
            <w:r w:rsidR="00700B73">
              <w:rPr>
                <w:rFonts w:eastAsia="Times New Roman" w:cs="Segoe UI"/>
                <w:color w:val="222A35"/>
                <w:kern w:val="24"/>
                <w:sz w:val="20"/>
                <w:szCs w:val="20"/>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sz w:val="20"/>
                <w:szCs w:val="20"/>
                <w:lang w:eastAsia="en-AU"/>
              </w:rPr>
              <w:fldChar w:fldCharType="end"/>
            </w:r>
            <w:r w:rsidR="004173E0">
              <w:rPr>
                <w:rFonts w:eastAsia="Times New Roman" w:cs="Segoe UI"/>
                <w:color w:val="222A35"/>
                <w:kern w:val="24"/>
                <w:sz w:val="20"/>
                <w:szCs w:val="20"/>
                <w:lang w:eastAsia="en-AU"/>
              </w:rPr>
              <w:t>,</w:t>
            </w:r>
            <w:r w:rsidRPr="00DB623D">
              <w:rPr>
                <w:rFonts w:eastAsia="Times New Roman" w:cs="Segoe UI"/>
                <w:color w:val="222A35"/>
                <w:kern w:val="24"/>
                <w:sz w:val="20"/>
                <w:szCs w:val="20"/>
                <w:lang w:eastAsia="en-AU"/>
              </w:rPr>
              <w:t xml:space="preserve"> and codependent technologies</w:t>
            </w:r>
            <w:r w:rsidR="00D64E29">
              <w:rPr>
                <w:rFonts w:eastAsia="Times New Roman" w:cs="Segoe UI"/>
                <w:color w:val="222A35"/>
                <w:kern w:val="24"/>
                <w:sz w:val="20"/>
                <w:szCs w:val="20"/>
                <w:lang w:eastAsia="en-AU"/>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rFonts w:eastAsia="Times New Roman" w:cs="Segoe UI"/>
                <w:color w:val="222A35"/>
                <w:kern w:val="24"/>
                <w:sz w:val="20"/>
                <w:szCs w:val="20"/>
                <w:lang w:eastAsia="en-AU"/>
              </w:rPr>
              <w:fldChar w:fldCharType="end"/>
            </w:r>
            <w:r w:rsidRPr="00DB623D">
              <w:rPr>
                <w:rFonts w:eastAsia="Times New Roman" w:cs="Segoe UI"/>
                <w:color w:val="222A35"/>
                <w:kern w:val="24"/>
                <w:sz w:val="20"/>
                <w:szCs w:val="20"/>
                <w:lang w:eastAsia="en-AU"/>
              </w:rPr>
              <w:t xml:space="preserve">. Alternatively, if the </w:t>
            </w:r>
            <w:hyperlink w:anchor="_Unified_HTA_pathway" w:history="1">
              <w:r w:rsidRPr="00012516">
                <w:rPr>
                  <w:rStyle w:val="Hyperlink"/>
                  <w:rFonts w:eastAsia="Times New Roman" w:cs="Segoe UI"/>
                  <w:kern w:val="24"/>
                  <w:sz w:val="20"/>
                  <w:szCs w:val="20"/>
                  <w:lang w:eastAsia="en-AU"/>
                </w:rPr>
                <w:t>Unified HTA pathway</w:t>
              </w:r>
            </w:hyperlink>
            <w:r w:rsidRPr="00DB623D">
              <w:rPr>
                <w:rFonts w:eastAsia="Times New Roman" w:cs="Segoe UI"/>
                <w:color w:val="222A35"/>
                <w:kern w:val="24"/>
                <w:sz w:val="20"/>
                <w:szCs w:val="20"/>
                <w:lang w:eastAsia="en-AU"/>
              </w:rPr>
              <w:t xml:space="preserve"> is adopted and a single HTA Committee is constituted in Australia, then it could also include genomic tests more generally </w:t>
            </w:r>
            <w:r w:rsidR="00CA090D" w:rsidRPr="00CA090D">
              <w:rPr>
                <w:rFonts w:eastAsia="Times New Roman" w:cs="Segoe UI"/>
                <w:color w:val="222A35"/>
                <w:kern w:val="24"/>
                <w:sz w:val="20"/>
                <w:szCs w:val="20"/>
                <w:lang w:eastAsia="en-AU"/>
              </w:rPr>
              <w:t>(</w:t>
            </w:r>
            <w:proofErr w:type="gramStart"/>
            <w:r w:rsidRPr="00DB623D">
              <w:rPr>
                <w:rFonts w:eastAsia="Times New Roman" w:cs="Segoe UI"/>
                <w:color w:val="222A35"/>
                <w:kern w:val="24"/>
                <w:sz w:val="20"/>
                <w:szCs w:val="20"/>
                <w:lang w:eastAsia="en-AU"/>
              </w:rPr>
              <w:t>i.e.</w:t>
            </w:r>
            <w:proofErr w:type="gramEnd"/>
            <w:r w:rsidRPr="00DB623D">
              <w:rPr>
                <w:rFonts w:eastAsia="Times New Roman" w:cs="Segoe UI"/>
                <w:color w:val="222A35"/>
                <w:kern w:val="24"/>
                <w:sz w:val="20"/>
                <w:szCs w:val="20"/>
                <w:lang w:eastAsia="en-AU"/>
              </w:rPr>
              <w:t xml:space="preserve"> for </w:t>
            </w:r>
            <w:r w:rsidR="2726D4BE" w:rsidRPr="00DB623D">
              <w:rPr>
                <w:rFonts w:eastAsia="Times New Roman" w:cs="Segoe UI"/>
                <w:color w:val="222A35"/>
                <w:kern w:val="24"/>
                <w:sz w:val="20"/>
                <w:szCs w:val="20"/>
                <w:lang w:eastAsia="en-AU"/>
              </w:rPr>
              <w:t xml:space="preserve">Medicare Benefits Schedule </w:t>
            </w:r>
            <w:r w:rsidRPr="00DB623D">
              <w:rPr>
                <w:rFonts w:eastAsia="Times New Roman" w:cs="Segoe UI"/>
                <w:color w:val="222A35"/>
                <w:kern w:val="24"/>
                <w:sz w:val="20"/>
                <w:szCs w:val="20"/>
                <w:lang w:eastAsia="en-AU"/>
              </w:rPr>
              <w:t>funding decisions</w:t>
            </w:r>
            <w:r w:rsidR="00CA090D">
              <w:rPr>
                <w:rFonts w:eastAsia="Times New Roman" w:cs="Segoe UI"/>
                <w:color w:val="222A35"/>
                <w:kern w:val="24"/>
                <w:sz w:val="20"/>
                <w:szCs w:val="20"/>
                <w:lang w:eastAsia="en-AU"/>
              </w:rPr>
              <w:t>)</w:t>
            </w:r>
            <w:r w:rsidRPr="00CA090D">
              <w:rPr>
                <w:rFonts w:eastAsia="Times New Roman" w:cs="Segoe UI"/>
                <w:color w:val="222A35"/>
                <w:kern w:val="24"/>
                <w:sz w:val="20"/>
                <w:szCs w:val="20"/>
                <w:lang w:eastAsia="en-AU"/>
              </w:rPr>
              <w:t>.</w:t>
            </w:r>
          </w:p>
          <w:p w14:paraId="29DE64F0" w14:textId="77777777" w:rsidR="00A538EB" w:rsidRPr="00DB623D" w:rsidRDefault="00A538EB" w:rsidP="008505D7">
            <w:pPr>
              <w:pStyle w:val="ListParagraph"/>
              <w:numPr>
                <w:ilvl w:val="0"/>
                <w:numId w:val="94"/>
              </w:numPr>
              <w:spacing w:after="0"/>
              <w:ind w:left="782" w:hanging="425"/>
              <w:rPr>
                <w:rFonts w:eastAsia="Times New Roman" w:cs="Segoe UI"/>
                <w:color w:val="222A35"/>
                <w:kern w:val="24"/>
                <w:sz w:val="20"/>
                <w:szCs w:val="20"/>
                <w:lang w:eastAsia="en-AU"/>
              </w:rPr>
            </w:pPr>
            <w:r w:rsidRPr="00DB623D">
              <w:rPr>
                <w:rFonts w:eastAsia="Times New Roman" w:cs="Segoe UI"/>
                <w:color w:val="222A35"/>
                <w:kern w:val="24"/>
                <w:sz w:val="20"/>
                <w:szCs w:val="20"/>
                <w:lang w:eastAsia="en-AU"/>
              </w:rPr>
              <w:t xml:space="preserve">As part of the guideline development, a Statement of Principles concerning the access and use of genomic technologies and gene therapies should be co-designed with the public. This would involve patients and clinicians but also citizens who do not have an immediate vested interest in these technologies. </w:t>
            </w:r>
          </w:p>
          <w:p w14:paraId="76039D5D" w14:textId="53D3112C" w:rsidR="00704E99" w:rsidRPr="004A234E" w:rsidRDefault="00A538EB" w:rsidP="008505D7">
            <w:pPr>
              <w:pStyle w:val="ListParagraph"/>
              <w:numPr>
                <w:ilvl w:val="0"/>
                <w:numId w:val="94"/>
              </w:numPr>
              <w:spacing w:after="0"/>
              <w:ind w:left="782" w:hanging="425"/>
              <w:rPr>
                <w:rFonts w:eastAsia="Times New Roman" w:cs="Segoe UI"/>
                <w:sz w:val="20"/>
                <w:szCs w:val="20"/>
                <w:lang w:eastAsia="en-AU"/>
              </w:rPr>
            </w:pPr>
            <w:r w:rsidRPr="00DB623D">
              <w:rPr>
                <w:rFonts w:eastAsia="Times New Roman" w:cs="Segoe UI"/>
                <w:color w:val="222A35"/>
                <w:kern w:val="24"/>
                <w:sz w:val="20"/>
                <w:szCs w:val="20"/>
                <w:lang w:eastAsia="en-AU"/>
              </w:rPr>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 making.</w:t>
            </w:r>
          </w:p>
        </w:tc>
      </w:tr>
      <w:tr w:rsidR="002F5EF5" w:rsidRPr="006647C5" w14:paraId="1B10E5A0" w14:textId="77777777" w:rsidTr="001D05C1">
        <w:trPr>
          <w:trHeight w:val="350"/>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575735E3" w14:textId="77777777" w:rsidR="002F5EF5" w:rsidRPr="00CD3782" w:rsidRDefault="002F5EF5" w:rsidP="008C10BB">
            <w:pPr>
              <w:spacing w:after="120"/>
              <w:rPr>
                <w:rFonts w:eastAsia="Times New Roman" w:cs="Segoe UI"/>
                <w:color w:val="FF0000"/>
                <w:kern w:val="24"/>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47BB2B4B" w14:textId="1238D074" w:rsidR="002F5EF5" w:rsidRDefault="002F5EF5" w:rsidP="008A5286">
            <w:pPr>
              <w:pStyle w:val="Heading7"/>
              <w:keepNext w:val="0"/>
              <w:keepLines w:val="0"/>
              <w:rPr>
                <w:lang w:eastAsia="en-AU"/>
              </w:rPr>
            </w:pPr>
            <w:r>
              <w:rPr>
                <w:lang w:eastAsia="en-AU"/>
              </w:rPr>
              <w:t>Pharmacogenomic technologies</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1D10635A" w14:textId="746DE2DC" w:rsidR="002F5EF5" w:rsidRPr="002F5EF5" w:rsidRDefault="002F5EF5" w:rsidP="008C10BB">
            <w:pPr>
              <w:rPr>
                <w:rFonts w:eastAsia="Times New Roman" w:cs="Segoe UI"/>
                <w:sz w:val="20"/>
                <w:szCs w:val="20"/>
                <w:lang w:eastAsia="en-AU"/>
              </w:rPr>
            </w:pPr>
            <w:r w:rsidRPr="002F5EF5">
              <w:rPr>
                <w:rFonts w:eastAsia="Times New Roman" w:cs="Segoe UI"/>
                <w:sz w:val="20"/>
                <w:szCs w:val="20"/>
                <w:lang w:eastAsia="en-AU"/>
              </w:rPr>
              <w:t>Develop a guideline on the assessment and appraisal of genomic technologies and gene therapies for HTA decisions in Australia</w:t>
            </w:r>
            <w:r w:rsidR="00D26287" w:rsidRPr="002F5EF5">
              <w:rPr>
                <w:rFonts w:eastAsia="Times New Roman" w:cs="Segoe UI"/>
                <w:sz w:val="20"/>
                <w:szCs w:val="20"/>
                <w:lang w:eastAsia="en-AU"/>
              </w:rPr>
              <w:t>.</w:t>
            </w:r>
          </w:p>
          <w:p w14:paraId="18C03077" w14:textId="55F7CF9A" w:rsidR="002F5EF5" w:rsidRPr="00DB623D" w:rsidRDefault="002F5EF5" w:rsidP="008C10BB">
            <w:pPr>
              <w:spacing w:after="120"/>
              <w:rPr>
                <w:sz w:val="20"/>
                <w:szCs w:val="20"/>
              </w:rPr>
            </w:pPr>
            <w:r w:rsidRPr="00DB623D">
              <w:rPr>
                <w:sz w:val="20"/>
                <w:szCs w:val="20"/>
              </w:rPr>
              <w:t>This could be for pharmacogenomic technologies only, should PBAC’s remit remain as appraising medicines, vaccines</w:t>
            </w:r>
            <w:r w:rsidRPr="00DB623D">
              <w:rPr>
                <w:sz w:val="20"/>
                <w:szCs w:val="20"/>
              </w:rPr>
              <w:fldChar w:fldCharType="begin"/>
            </w:r>
            <w:r w:rsidRPr="00DB623D">
              <w:rPr>
                <w:sz w:val="20"/>
                <w:szCs w:val="20"/>
              </w:rPr>
              <w:instrText xml:space="preserve"> XE "vaccines" \b </w:instrText>
            </w:r>
            <w:r w:rsidRPr="00DB623D">
              <w:rPr>
                <w:sz w:val="20"/>
                <w:szCs w:val="20"/>
              </w:rPr>
              <w:fldChar w:fldCharType="end"/>
            </w:r>
            <w:r w:rsidRPr="00DB623D">
              <w:rPr>
                <w:sz w:val="20"/>
                <w:szCs w:val="20"/>
              </w:rPr>
              <w:t xml:space="preserve">, </w:t>
            </w:r>
            <w:r w:rsidR="00D302F2">
              <w:rPr>
                <w:sz w:val="20"/>
                <w:szCs w:val="20"/>
              </w:rPr>
              <w:t>Advanced Therap</w:t>
            </w:r>
            <w:r w:rsidR="00E60179">
              <w:rPr>
                <w:sz w:val="20"/>
                <w:szCs w:val="20"/>
              </w:rPr>
              <w:t xml:space="preserve">ies </w:t>
            </w:r>
            <w:r w:rsidRPr="00DB623D">
              <w:rPr>
                <w:sz w:val="20"/>
                <w:szCs w:val="20"/>
              </w:rPr>
              <w:t>and codependent technologies</w:t>
            </w:r>
            <w:r w:rsidR="00D64E29">
              <w:rPr>
                <w:sz w:val="20"/>
                <w:szCs w:val="20"/>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sz w:val="20"/>
                <w:szCs w:val="20"/>
              </w:rPr>
              <w:fldChar w:fldCharType="end"/>
            </w:r>
            <w:r w:rsidRPr="00DB623D">
              <w:rPr>
                <w:sz w:val="20"/>
                <w:szCs w:val="20"/>
              </w:rPr>
              <w:t>. Alternatively, if</w:t>
            </w:r>
            <w:r>
              <w:rPr>
                <w:sz w:val="20"/>
                <w:szCs w:val="20"/>
              </w:rPr>
              <w:t xml:space="preserve"> </w:t>
            </w:r>
            <w:r w:rsidR="003D4EB1">
              <w:rPr>
                <w:sz w:val="20"/>
                <w:szCs w:val="20"/>
              </w:rPr>
              <w:t>the</w:t>
            </w:r>
            <w:r w:rsidRPr="00DB623D">
              <w:rPr>
                <w:sz w:val="20"/>
                <w:szCs w:val="20"/>
              </w:rPr>
              <w:t xml:space="preserve"> </w:t>
            </w:r>
            <w:r w:rsidR="00FA77E3" w:rsidRPr="006732A5">
              <w:rPr>
                <w:color w:val="1D437F" w:themeColor="accent1"/>
                <w:sz w:val="20"/>
                <w:szCs w:val="20"/>
                <w:u w:val="single"/>
              </w:rPr>
              <w:fldChar w:fldCharType="begin"/>
            </w:r>
            <w:r w:rsidR="00FA77E3" w:rsidRPr="006732A5">
              <w:rPr>
                <w:color w:val="1D437F" w:themeColor="accent1"/>
                <w:sz w:val="20"/>
                <w:szCs w:val="20"/>
                <w:u w:val="single"/>
              </w:rPr>
              <w:instrText xml:space="preserve"> REF _Ref156862035 \h </w:instrText>
            </w:r>
            <w:r w:rsidR="00F869F5" w:rsidRPr="006732A5">
              <w:rPr>
                <w:color w:val="1D437F" w:themeColor="accent1"/>
                <w:sz w:val="20"/>
                <w:szCs w:val="20"/>
                <w:u w:val="single"/>
              </w:rPr>
              <w:instrText xml:space="preserve"> \* MERGEFORMAT </w:instrText>
            </w:r>
            <w:r w:rsidR="00FA77E3" w:rsidRPr="006732A5">
              <w:rPr>
                <w:color w:val="1D437F" w:themeColor="accent1"/>
                <w:sz w:val="20"/>
                <w:szCs w:val="20"/>
                <w:u w:val="single"/>
              </w:rPr>
            </w:r>
            <w:r w:rsidR="00FA77E3" w:rsidRPr="006732A5">
              <w:rPr>
                <w:color w:val="1D437F" w:themeColor="accent1"/>
                <w:sz w:val="20"/>
                <w:szCs w:val="20"/>
                <w:u w:val="single"/>
              </w:rPr>
              <w:fldChar w:fldCharType="separate"/>
            </w:r>
            <w:r w:rsidR="00474ED6" w:rsidRPr="00474ED6">
              <w:rPr>
                <w:color w:val="1D437F" w:themeColor="accent1"/>
                <w:sz w:val="20"/>
                <w:szCs w:val="20"/>
                <w:u w:val="single"/>
                <w:lang w:eastAsia="en-AU"/>
              </w:rPr>
              <w:t>Unified HTA pathway for all health technologies with Commonwealth funding</w:t>
            </w:r>
            <w:r w:rsidR="00FA77E3" w:rsidRPr="006732A5">
              <w:rPr>
                <w:color w:val="1D437F" w:themeColor="accent1"/>
                <w:sz w:val="20"/>
                <w:szCs w:val="20"/>
                <w:u w:val="single"/>
              </w:rPr>
              <w:fldChar w:fldCharType="end"/>
            </w:r>
            <w:r w:rsidR="00F869F5">
              <w:rPr>
                <w:sz w:val="20"/>
                <w:szCs w:val="20"/>
              </w:rPr>
              <w:t xml:space="preserve"> </w:t>
            </w:r>
            <w:r w:rsidRPr="00DB623D">
              <w:rPr>
                <w:sz w:val="20"/>
                <w:szCs w:val="20"/>
              </w:rPr>
              <w:t>is adopted and a single HTA Committee is constituted in Australia, then it could also include genomic tests more generally (</w:t>
            </w:r>
            <w:r w:rsidR="00817991">
              <w:rPr>
                <w:sz w:val="20"/>
                <w:szCs w:val="20"/>
              </w:rPr>
              <w:t>i.e.</w:t>
            </w:r>
            <w:r w:rsidRPr="00DB623D">
              <w:rPr>
                <w:sz w:val="20"/>
                <w:szCs w:val="20"/>
              </w:rPr>
              <w:t xml:space="preserve"> for MBS funding decisions).</w:t>
            </w:r>
          </w:p>
          <w:p w14:paraId="2010049F" w14:textId="77777777" w:rsidR="002F5EF5" w:rsidRPr="00DB623D" w:rsidRDefault="002F5EF5" w:rsidP="008C10BB">
            <w:pPr>
              <w:spacing w:after="120"/>
              <w:rPr>
                <w:sz w:val="20"/>
                <w:szCs w:val="20"/>
              </w:rPr>
            </w:pPr>
            <w:r w:rsidRPr="00DB623D">
              <w:rPr>
                <w:sz w:val="20"/>
                <w:szCs w:val="20"/>
              </w:rPr>
              <w:t xml:space="preserve">As part of the guideline development, a Statement of Principles concerning the access and use of genomic technologies and gene therapies should be co-designed with the public. This would involve patients and clinicians but also people who do not have an immediate vested interest in these technologies. </w:t>
            </w:r>
          </w:p>
          <w:p w14:paraId="7278B050" w14:textId="218E14DD" w:rsidR="002F5EF5" w:rsidRPr="00DB623D" w:rsidRDefault="002F5EF5" w:rsidP="008C10BB">
            <w:pPr>
              <w:rPr>
                <w:rFonts w:eastAsia="Times New Roman" w:cs="Segoe UI"/>
                <w:sz w:val="20"/>
                <w:szCs w:val="20"/>
                <w:lang w:eastAsia="en-AU"/>
              </w:rPr>
            </w:pPr>
            <w:r w:rsidRPr="00DB623D">
              <w:rPr>
                <w:sz w:val="20"/>
                <w:szCs w:val="20"/>
              </w:rPr>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decision-making.</w:t>
            </w:r>
          </w:p>
        </w:tc>
      </w:tr>
      <w:tr w:rsidR="00B96804" w:rsidRPr="006647C5" w14:paraId="5243FA77" w14:textId="77777777" w:rsidTr="001D05C1">
        <w:trPr>
          <w:trHeight w:val="181"/>
        </w:trPr>
        <w:tc>
          <w:tcPr>
            <w:tcW w:w="2956" w:type="dxa"/>
            <w:gridSpan w:val="3"/>
            <w:tcBorders>
              <w:top w:val="single" w:sz="2" w:space="0" w:color="1D437F" w:themeColor="accent1"/>
            </w:tcBorders>
            <w:shd w:val="clear" w:color="auto" w:fill="FFFFFF" w:themeFill="background1"/>
            <w:tcMar>
              <w:top w:w="72" w:type="dxa"/>
              <w:left w:w="144" w:type="dxa"/>
              <w:bottom w:w="72" w:type="dxa"/>
              <w:right w:w="144" w:type="dxa"/>
            </w:tcMar>
          </w:tcPr>
          <w:p w14:paraId="1BD9725B" w14:textId="74A141E6" w:rsidR="00B96804" w:rsidRPr="006647C5" w:rsidRDefault="00B96804" w:rsidP="008505D7">
            <w:pPr>
              <w:pStyle w:val="Heading6"/>
              <w:numPr>
                <w:ilvl w:val="1"/>
                <w:numId w:val="35"/>
              </w:numPr>
              <w:ind w:left="274"/>
            </w:pPr>
            <w:bookmarkStart w:id="41" w:name="_Economic_evaluation"/>
            <w:bookmarkEnd w:id="41"/>
            <w:r w:rsidRPr="009D14F6">
              <w:rPr>
                <w:color w:val="1D437F" w:themeColor="accent1"/>
              </w:rPr>
              <w:lastRenderedPageBreak/>
              <w:t>Economic evaluation</w:t>
            </w:r>
          </w:p>
        </w:tc>
        <w:tc>
          <w:tcPr>
            <w:tcW w:w="12779" w:type="dxa"/>
            <w:gridSpan w:val="2"/>
            <w:tcBorders>
              <w:top w:val="single" w:sz="2" w:space="0" w:color="1D437F" w:themeColor="accent1"/>
              <w:bottom w:val="single" w:sz="4" w:space="0" w:color="E7E6E6" w:themeColor="background2"/>
            </w:tcBorders>
            <w:shd w:val="clear" w:color="auto" w:fill="FFFFFF" w:themeFill="background1"/>
            <w:tcMar>
              <w:top w:w="72" w:type="dxa"/>
              <w:left w:w="144" w:type="dxa"/>
              <w:bottom w:w="72" w:type="dxa"/>
              <w:right w:w="144" w:type="dxa"/>
            </w:tcMar>
          </w:tcPr>
          <w:p w14:paraId="0004C69C" w14:textId="77777777" w:rsidR="00B96804" w:rsidRPr="00174970" w:rsidRDefault="00B96804" w:rsidP="008C10BB">
            <w:pPr>
              <w:spacing w:after="0"/>
              <w:rPr>
                <w:rFonts w:eastAsia="Times New Roman" w:cs="Segoe UI"/>
                <w:sz w:val="20"/>
                <w:szCs w:val="20"/>
                <w:lang w:eastAsia="en-AU"/>
              </w:rPr>
            </w:pPr>
          </w:p>
        </w:tc>
      </w:tr>
      <w:tr w:rsidR="004D7AC5" w:rsidRPr="006647C5" w14:paraId="07F3F8A9" w14:textId="77777777" w:rsidTr="00534579">
        <w:trPr>
          <w:trHeight w:val="180"/>
        </w:trPr>
        <w:tc>
          <w:tcPr>
            <w:tcW w:w="1055" w:type="dxa"/>
            <w:shd w:val="clear" w:color="auto" w:fill="FFFFFF" w:themeFill="background1"/>
            <w:tcMar>
              <w:top w:w="72" w:type="dxa"/>
              <w:left w:w="144" w:type="dxa"/>
              <w:bottom w:w="72" w:type="dxa"/>
              <w:right w:w="144" w:type="dxa"/>
            </w:tcMar>
          </w:tcPr>
          <w:p w14:paraId="23FC516B" w14:textId="77777777" w:rsidR="004D7AC5" w:rsidRPr="006647C5" w:rsidRDefault="004D7AC5"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1CC4632" w14:textId="5326C299" w:rsidR="004D7AC5" w:rsidRDefault="004D7AC5" w:rsidP="008A5286">
            <w:pPr>
              <w:pStyle w:val="Heading7"/>
              <w:keepNext w:val="0"/>
              <w:keepLines w:val="0"/>
              <w:rPr>
                <w:lang w:eastAsia="en-AU"/>
              </w:rPr>
            </w:pPr>
            <w:r>
              <w:rPr>
                <w:lang w:eastAsia="en-AU"/>
              </w:rPr>
              <w:t>Selection of the comparator</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104F331" w14:textId="39E2152D" w:rsidR="002A7AE4" w:rsidRPr="004E0226" w:rsidRDefault="00BF7596" w:rsidP="008505D7">
            <w:pPr>
              <w:pStyle w:val="ListParagraph"/>
              <w:numPr>
                <w:ilvl w:val="0"/>
                <w:numId w:val="100"/>
              </w:numPr>
              <w:rPr>
                <w:rFonts w:eastAsia="Times New Roman" w:cs="Segoe UI"/>
                <w:sz w:val="20"/>
                <w:szCs w:val="20"/>
                <w:lang w:eastAsia="en-AU"/>
              </w:rPr>
            </w:pPr>
            <w:r w:rsidRPr="004E0226">
              <w:rPr>
                <w:rFonts w:eastAsia="Times New Roman" w:cs="Segoe UI"/>
                <w:sz w:val="20"/>
                <w:szCs w:val="20"/>
                <w:lang w:eastAsia="en-AU"/>
              </w:rPr>
              <w:t xml:space="preserve">Develop </w:t>
            </w:r>
            <w:r w:rsidR="002A7AE4" w:rsidRPr="004E0226">
              <w:rPr>
                <w:rFonts w:eastAsia="Times New Roman" w:cs="Segoe UI"/>
                <w:sz w:val="20"/>
                <w:szCs w:val="20"/>
                <w:lang w:eastAsia="en-AU"/>
              </w:rPr>
              <w:t xml:space="preserve">guidelines </w:t>
            </w:r>
            <w:r w:rsidR="003E0FC8" w:rsidRPr="004E0226">
              <w:rPr>
                <w:rFonts w:eastAsia="Times New Roman" w:cs="Segoe UI"/>
                <w:sz w:val="20"/>
                <w:szCs w:val="20"/>
                <w:lang w:eastAsia="en-AU"/>
              </w:rPr>
              <w:t>to distinguish between the selection of comparator</w:t>
            </w:r>
            <w:r w:rsidR="0091571D">
              <w:rPr>
                <w:rFonts w:eastAsia="Times New Roman" w:cs="Segoe UI"/>
                <w:sz w:val="20"/>
                <w:szCs w:val="20"/>
                <w:lang w:eastAsia="en-AU"/>
              </w:rPr>
              <w:fldChar w:fldCharType="begin"/>
            </w:r>
            <w:r w:rsidR="0091571D">
              <w:instrText xml:space="preserve"> XE "</w:instrText>
            </w:r>
            <w:r w:rsidR="0091571D" w:rsidRPr="00325E5E">
              <w:rPr>
                <w:rFonts w:eastAsia="Times New Roman" w:cs="Segoe UI"/>
                <w:sz w:val="20"/>
                <w:szCs w:val="20"/>
                <w:lang w:eastAsia="en-AU"/>
              </w:rPr>
              <w:instrText>selection of comparator</w:instrText>
            </w:r>
            <w:r w:rsidR="0091571D">
              <w:instrText xml:space="preserve">" \b </w:instrText>
            </w:r>
            <w:r w:rsidR="0091571D">
              <w:rPr>
                <w:rFonts w:eastAsia="Times New Roman" w:cs="Segoe UI"/>
                <w:sz w:val="20"/>
                <w:szCs w:val="20"/>
                <w:lang w:eastAsia="en-AU"/>
              </w:rPr>
              <w:fldChar w:fldCharType="end"/>
            </w:r>
            <w:r w:rsidR="003E0FC8" w:rsidRPr="004E0226">
              <w:rPr>
                <w:rFonts w:eastAsia="Times New Roman" w:cs="Segoe UI"/>
                <w:sz w:val="20"/>
                <w:szCs w:val="20"/>
                <w:lang w:eastAsia="en-AU"/>
              </w:rPr>
              <w:t xml:space="preserve"> for submission</w:t>
            </w:r>
            <w:r w:rsidR="00E07983">
              <w:rPr>
                <w:rFonts w:eastAsia="Times New Roman" w:cs="Segoe UI"/>
                <w:sz w:val="20"/>
                <w:szCs w:val="20"/>
                <w:lang w:eastAsia="en-AU"/>
              </w:rPr>
              <w:t>s</w:t>
            </w:r>
            <w:r w:rsidR="003E0FC8" w:rsidRPr="004E0226">
              <w:rPr>
                <w:rFonts w:eastAsia="Times New Roman" w:cs="Segoe UI"/>
                <w:sz w:val="20"/>
                <w:szCs w:val="20"/>
                <w:lang w:eastAsia="en-AU"/>
              </w:rPr>
              <w:t xml:space="preserve"> claiming superiority </w:t>
            </w:r>
            <w:r w:rsidR="00EB55A8">
              <w:rPr>
                <w:rFonts w:eastAsia="Times New Roman" w:cs="Segoe UI"/>
                <w:sz w:val="20"/>
                <w:szCs w:val="20"/>
                <w:lang w:eastAsia="en-AU"/>
              </w:rPr>
              <w:t>and</w:t>
            </w:r>
            <w:r w:rsidR="00692DF0" w:rsidRPr="004E0226">
              <w:rPr>
                <w:rFonts w:eastAsia="Times New Roman" w:cs="Segoe UI"/>
                <w:sz w:val="20"/>
                <w:szCs w:val="20"/>
                <w:lang w:eastAsia="en-AU"/>
              </w:rPr>
              <w:t xml:space="preserve"> to </w:t>
            </w:r>
            <w:r w:rsidR="003E0FC8" w:rsidRPr="004E0226">
              <w:rPr>
                <w:rFonts w:eastAsia="Times New Roman" w:cs="Segoe UI"/>
                <w:sz w:val="20"/>
                <w:szCs w:val="20"/>
                <w:lang w:eastAsia="en-AU"/>
              </w:rPr>
              <w:t xml:space="preserve">submissions claiming </w:t>
            </w:r>
            <w:r w:rsidR="00F22CC4">
              <w:rPr>
                <w:rFonts w:eastAsia="Times New Roman" w:cs="Segoe UI"/>
                <w:sz w:val="20"/>
                <w:szCs w:val="20"/>
                <w:lang w:eastAsia="en-AU"/>
              </w:rPr>
              <w:t>non-inferiority</w:t>
            </w:r>
            <w:r w:rsidR="00C33E34" w:rsidRPr="004E0226">
              <w:rPr>
                <w:rFonts w:eastAsia="Times New Roman" w:cs="Segoe UI"/>
                <w:sz w:val="20"/>
                <w:szCs w:val="20"/>
                <w:lang w:eastAsia="en-AU"/>
              </w:rPr>
              <w:t xml:space="preserve"> </w:t>
            </w:r>
            <w:r w:rsidR="002A7AE4" w:rsidRPr="004E0226">
              <w:rPr>
                <w:rFonts w:eastAsia="Times New Roman" w:cs="Segoe UI"/>
                <w:sz w:val="20"/>
                <w:szCs w:val="20"/>
                <w:lang w:eastAsia="en-AU"/>
              </w:rPr>
              <w:t>to make clear</w:t>
            </w:r>
            <w:r w:rsidR="00D36341" w:rsidRPr="004E0226">
              <w:rPr>
                <w:rFonts w:eastAsia="Times New Roman" w:cs="Segoe UI"/>
                <w:sz w:val="20"/>
                <w:szCs w:val="20"/>
                <w:lang w:eastAsia="en-AU"/>
              </w:rPr>
              <w:t xml:space="preserve"> </w:t>
            </w:r>
            <w:r w:rsidR="002A7AE4" w:rsidRPr="004E0226">
              <w:rPr>
                <w:rFonts w:eastAsia="Times New Roman" w:cs="Segoe UI"/>
                <w:sz w:val="20"/>
                <w:szCs w:val="20"/>
                <w:lang w:eastAsia="en-AU"/>
              </w:rPr>
              <w:t xml:space="preserve">which comparator should be selected when there are multiple potential comparators. </w:t>
            </w:r>
          </w:p>
          <w:p w14:paraId="4E24BF5E" w14:textId="7EDB4D9B" w:rsidR="009732B6" w:rsidRPr="00F22048" w:rsidRDefault="007E267D" w:rsidP="008C10BB">
            <w:pPr>
              <w:ind w:left="360"/>
              <w:rPr>
                <w:rFonts w:eastAsia="Times New Roman" w:cs="Segoe UI"/>
                <w:sz w:val="20"/>
                <w:szCs w:val="20"/>
                <w:lang w:eastAsia="en-AU"/>
              </w:rPr>
            </w:pPr>
            <w:r w:rsidRPr="00F22048">
              <w:rPr>
                <w:rFonts w:eastAsia="Times New Roman" w:cs="Segoe UI"/>
                <w:sz w:val="20"/>
                <w:szCs w:val="20"/>
                <w:lang w:eastAsia="en-AU"/>
              </w:rPr>
              <w:t>Refer</w:t>
            </w:r>
            <w:r w:rsidR="0026631D" w:rsidRPr="00F22048">
              <w:rPr>
                <w:rFonts w:eastAsia="Times New Roman" w:cs="Segoe UI"/>
                <w:sz w:val="20"/>
                <w:szCs w:val="20"/>
                <w:lang w:eastAsia="en-AU"/>
              </w:rPr>
              <w:t xml:space="preserve">: </w:t>
            </w:r>
            <w:r w:rsidR="00AC52D2" w:rsidRPr="00E61E42">
              <w:rPr>
                <w:rFonts w:eastAsia="Times New Roman" w:cs="Segoe UI"/>
                <w:i/>
                <w:iCs/>
                <w:color w:val="1D437F" w:themeColor="accent1"/>
                <w:sz w:val="20"/>
                <w:szCs w:val="20"/>
                <w:u w:val="single"/>
                <w:lang w:eastAsia="en-AU"/>
              </w:rPr>
              <w:fldChar w:fldCharType="begin"/>
            </w:r>
            <w:r w:rsidR="00AC52D2" w:rsidRPr="00E61E42">
              <w:rPr>
                <w:rFonts w:eastAsia="Times New Roman" w:cs="Segoe UI"/>
                <w:i/>
                <w:iCs/>
                <w:color w:val="1D437F" w:themeColor="accent1"/>
                <w:sz w:val="20"/>
                <w:szCs w:val="20"/>
                <w:u w:val="single"/>
                <w:lang w:eastAsia="en-AU"/>
              </w:rPr>
              <w:instrText xml:space="preserve"> REF _Ref156833982 \h </w:instrText>
            </w:r>
            <w:r w:rsidR="00F22048" w:rsidRPr="00E61E42">
              <w:rPr>
                <w:rFonts w:eastAsia="Times New Roman" w:cs="Segoe UI"/>
                <w:i/>
                <w:iCs/>
                <w:color w:val="1D437F" w:themeColor="accent1"/>
                <w:sz w:val="20"/>
                <w:szCs w:val="20"/>
                <w:u w:val="single"/>
                <w:lang w:eastAsia="en-AU"/>
              </w:rPr>
              <w:instrText xml:space="preserve"> \* MERGEFORMAT </w:instrText>
            </w:r>
            <w:r w:rsidR="00AC52D2" w:rsidRPr="00E61E42">
              <w:rPr>
                <w:rFonts w:eastAsia="Times New Roman" w:cs="Segoe UI"/>
                <w:i/>
                <w:iCs/>
                <w:color w:val="1D437F" w:themeColor="accent1"/>
                <w:sz w:val="20"/>
                <w:szCs w:val="20"/>
                <w:u w:val="single"/>
                <w:lang w:eastAsia="en-AU"/>
              </w:rPr>
            </w:r>
            <w:r w:rsidR="00AC52D2" w:rsidRPr="00E61E42">
              <w:rPr>
                <w:rFonts w:eastAsia="Times New Roman" w:cs="Segoe UI"/>
                <w:i/>
                <w:iCs/>
                <w:color w:val="1D437F" w:themeColor="accent1"/>
                <w:sz w:val="20"/>
                <w:szCs w:val="20"/>
                <w:u w:val="single"/>
                <w:lang w:eastAsia="en-AU"/>
              </w:rPr>
              <w:fldChar w:fldCharType="separate"/>
            </w:r>
            <w:r w:rsidR="00474ED6" w:rsidRPr="00474ED6">
              <w:rPr>
                <w:i/>
                <w:iCs/>
                <w:color w:val="1D437F" w:themeColor="accent1"/>
                <w:sz w:val="20"/>
                <w:szCs w:val="20"/>
                <w:u w:val="single"/>
                <w:lang w:eastAsia="en-AU"/>
              </w:rPr>
              <w:t>The operation of section 101(3B) of the National Health Act 1953 – the selection of the comparator</w:t>
            </w:r>
            <w:r w:rsidR="00AC52D2" w:rsidRPr="00E61E42">
              <w:rPr>
                <w:rFonts w:eastAsia="Times New Roman" w:cs="Segoe UI"/>
                <w:i/>
                <w:iCs/>
                <w:color w:val="1D437F" w:themeColor="accent1"/>
                <w:sz w:val="20"/>
                <w:szCs w:val="20"/>
                <w:u w:val="single"/>
                <w:lang w:eastAsia="en-AU"/>
              </w:rPr>
              <w:fldChar w:fldCharType="end"/>
            </w:r>
          </w:p>
          <w:p w14:paraId="728F1DB2" w14:textId="00804601" w:rsidR="00E71507" w:rsidRPr="001609FC" w:rsidRDefault="00E71507" w:rsidP="008505D7">
            <w:pPr>
              <w:pStyle w:val="ListParagraph"/>
              <w:numPr>
                <w:ilvl w:val="0"/>
                <w:numId w:val="100"/>
              </w:numPr>
              <w:rPr>
                <w:sz w:val="20"/>
                <w:szCs w:val="20"/>
              </w:rPr>
            </w:pPr>
            <w:r w:rsidRPr="001609FC">
              <w:rPr>
                <w:sz w:val="20"/>
                <w:szCs w:val="20"/>
              </w:rPr>
              <w:t xml:space="preserve">In line </w:t>
            </w:r>
            <w:r w:rsidR="00ED38C7">
              <w:rPr>
                <w:sz w:val="20"/>
                <w:szCs w:val="20"/>
              </w:rPr>
              <w:t>with</w:t>
            </w:r>
            <w:r w:rsidRPr="001609FC">
              <w:rPr>
                <w:sz w:val="20"/>
                <w:szCs w:val="20"/>
              </w:rPr>
              <w:t xml:space="preserve"> other options included to calibrate the methods and level of appraisal to the level of risk and clinical need / benefit of submissions, investigate situations where it may be appropriate to move away from the current method/s used in the application of </w:t>
            </w:r>
            <w:r w:rsidR="00493507">
              <w:rPr>
                <w:sz w:val="20"/>
                <w:szCs w:val="20"/>
              </w:rPr>
              <w:t xml:space="preserve">this </w:t>
            </w:r>
            <w:r w:rsidRPr="001609FC">
              <w:rPr>
                <w:sz w:val="20"/>
                <w:szCs w:val="20"/>
              </w:rPr>
              <w:t>interpretation</w:t>
            </w:r>
            <w:r w:rsidR="00246D6B" w:rsidRPr="001609FC">
              <w:rPr>
                <w:sz w:val="20"/>
                <w:szCs w:val="20"/>
              </w:rPr>
              <w:t>.</w:t>
            </w:r>
          </w:p>
          <w:p w14:paraId="777320A9" w14:textId="77777777" w:rsidR="00E71507" w:rsidRPr="006732A5" w:rsidRDefault="00E71507" w:rsidP="008505D7">
            <w:pPr>
              <w:pStyle w:val="ListParagraph"/>
              <w:numPr>
                <w:ilvl w:val="0"/>
                <w:numId w:val="101"/>
              </w:numPr>
              <w:spacing w:after="0"/>
              <w:ind w:left="782" w:hanging="425"/>
              <w:rPr>
                <w:rFonts w:eastAsia="Times New Roman" w:cs="Segoe UI"/>
                <w:color w:val="222A35"/>
                <w:kern w:val="24"/>
                <w:sz w:val="20"/>
                <w:szCs w:val="20"/>
                <w:lang w:eastAsia="en-AU"/>
              </w:rPr>
            </w:pPr>
            <w:r w:rsidRPr="006732A5">
              <w:rPr>
                <w:rFonts w:eastAsia="Times New Roman" w:cs="Segoe UI"/>
                <w:color w:val="222A35"/>
                <w:kern w:val="24"/>
                <w:sz w:val="20"/>
                <w:szCs w:val="20"/>
                <w:lang w:eastAsia="en-AU"/>
              </w:rPr>
              <w:t xml:space="preserve">This could include a mechanism to differentiate different type of cost-minimisation submissions based on their proportional benefit. </w:t>
            </w:r>
          </w:p>
          <w:p w14:paraId="16B8DBEC" w14:textId="20713D47" w:rsidR="00E71507" w:rsidRPr="006732A5" w:rsidRDefault="00E71507" w:rsidP="008505D7">
            <w:pPr>
              <w:pStyle w:val="ListParagraph"/>
              <w:numPr>
                <w:ilvl w:val="0"/>
                <w:numId w:val="101"/>
              </w:numPr>
              <w:ind w:left="782" w:hanging="425"/>
              <w:rPr>
                <w:rFonts w:eastAsia="Times New Roman" w:cs="Segoe UI"/>
                <w:color w:val="222A35"/>
                <w:kern w:val="24"/>
                <w:sz w:val="20"/>
                <w:szCs w:val="20"/>
                <w:lang w:eastAsia="en-AU"/>
              </w:rPr>
            </w:pPr>
            <w:r w:rsidRPr="006732A5">
              <w:rPr>
                <w:rFonts w:eastAsia="Times New Roman" w:cs="Segoe UI"/>
                <w:color w:val="222A35"/>
                <w:kern w:val="24"/>
                <w:sz w:val="20"/>
                <w:szCs w:val="20"/>
                <w:lang w:eastAsia="en-AU"/>
              </w:rPr>
              <w:t xml:space="preserve">Any alternative consideration would require explicit consideration of the opportunity cost and budget implications relative to the base case of the status quo. </w:t>
            </w:r>
          </w:p>
          <w:p w14:paraId="34ADBB37" w14:textId="5FED8F8D" w:rsidR="00061BCF" w:rsidRPr="00351096" w:rsidRDefault="007F30CF" w:rsidP="008C10BB">
            <w:pPr>
              <w:spacing w:after="0"/>
              <w:rPr>
                <w:rFonts w:eastAsia="Times New Roman" w:cs="Segoe UI"/>
                <w:sz w:val="20"/>
                <w:szCs w:val="20"/>
                <w:lang w:eastAsia="en-AU"/>
              </w:rPr>
            </w:pPr>
            <w:r w:rsidRPr="001609FC">
              <w:rPr>
                <w:i/>
                <w:sz w:val="20"/>
                <w:szCs w:val="20"/>
              </w:rPr>
              <w:t xml:space="preserve">Note: </w:t>
            </w:r>
            <w:r w:rsidR="002A7AE4" w:rsidRPr="001609FC">
              <w:rPr>
                <w:i/>
                <w:sz w:val="20"/>
                <w:szCs w:val="20"/>
              </w:rPr>
              <w:t xml:space="preserve">These considerations will include downstream consequences for budget </w:t>
            </w:r>
            <w:r w:rsidR="00E71507" w:rsidRPr="001609FC">
              <w:rPr>
                <w:i/>
                <w:iCs/>
                <w:sz w:val="20"/>
                <w:szCs w:val="20"/>
              </w:rPr>
              <w:t>impacts</w:t>
            </w:r>
            <w:r w:rsidR="002A7AE4" w:rsidRPr="001609FC">
              <w:rPr>
                <w:i/>
                <w:sz w:val="20"/>
                <w:szCs w:val="20"/>
              </w:rPr>
              <w:t xml:space="preserve"> noting that </w:t>
            </w:r>
            <w:r w:rsidR="002E7A79" w:rsidRPr="00955D32">
              <w:rPr>
                <w:rFonts w:cs="Segoe UI"/>
                <w:i/>
                <w:iCs/>
                <w:sz w:val="20"/>
                <w:szCs w:val="20"/>
              </w:rPr>
              <w:t xml:space="preserve">Australia does not have policies that encourage the use of older medicines that remain as comparatively effective and safe as more recently listed alternatives and have lower prices. </w:t>
            </w:r>
            <w:r w:rsidR="002E7A79">
              <w:rPr>
                <w:rFonts w:cs="Segoe UI"/>
                <w:i/>
                <w:iCs/>
                <w:sz w:val="20"/>
                <w:szCs w:val="20"/>
              </w:rPr>
              <w:t>This results in</w:t>
            </w:r>
            <w:r w:rsidR="002E7A79" w:rsidRPr="00955D32">
              <w:rPr>
                <w:rFonts w:cs="Segoe UI"/>
                <w:i/>
                <w:iCs/>
                <w:sz w:val="20"/>
                <w:szCs w:val="20"/>
              </w:rPr>
              <w:t xml:space="preserve"> a market share erosion of older, lower priced medicines.</w:t>
            </w:r>
          </w:p>
        </w:tc>
      </w:tr>
      <w:tr w:rsidR="002A7AE4" w:rsidRPr="006647C5" w14:paraId="738A1847" w14:textId="77777777" w:rsidTr="00534579">
        <w:trPr>
          <w:trHeight w:val="180"/>
        </w:trPr>
        <w:tc>
          <w:tcPr>
            <w:tcW w:w="1055" w:type="dxa"/>
            <w:shd w:val="clear" w:color="auto" w:fill="FFFFFF" w:themeFill="background1"/>
            <w:tcMar>
              <w:top w:w="72" w:type="dxa"/>
              <w:left w:w="144" w:type="dxa"/>
              <w:bottom w:w="72" w:type="dxa"/>
              <w:right w:w="144" w:type="dxa"/>
            </w:tcMar>
          </w:tcPr>
          <w:p w14:paraId="2EE5D79F" w14:textId="77777777" w:rsidR="002A7AE4" w:rsidRPr="006647C5" w:rsidRDefault="002A7AE4"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428DB7D1" w14:textId="397DA402" w:rsidR="002A7AE4" w:rsidRPr="004A234E" w:rsidRDefault="002A7AE4" w:rsidP="006732A5">
            <w:pPr>
              <w:pStyle w:val="Heading7"/>
              <w:keepNext w:val="0"/>
              <w:keepLines w:val="0"/>
              <w:rPr>
                <w:rFonts w:eastAsia="Times New Roman"/>
                <w:lang w:eastAsia="en-AU"/>
              </w:rPr>
            </w:pPr>
            <w:r w:rsidRPr="004A234E">
              <w:rPr>
                <w:lang w:eastAsia="en-AU"/>
              </w:rPr>
              <w:t>Valuing</w:t>
            </w:r>
            <w:r w:rsidR="00F446A8">
              <w:rPr>
                <w:lang w:eastAsia="en-AU"/>
              </w:rPr>
              <w:t xml:space="preserve"> </w:t>
            </w:r>
            <w:r w:rsidR="007F4C93">
              <w:rPr>
                <w:lang w:eastAsia="en-AU"/>
              </w:rPr>
              <w:t>of long</w:t>
            </w:r>
            <w:r w:rsidR="001D5F48">
              <w:rPr>
                <w:lang w:eastAsia="en-AU"/>
              </w:rPr>
              <w:t>-</w:t>
            </w:r>
            <w:r w:rsidR="007F4C93">
              <w:rPr>
                <w:lang w:eastAsia="en-AU"/>
              </w:rPr>
              <w:t xml:space="preserve">term benefits </w:t>
            </w:r>
            <w:bookmarkStart w:id="42" w:name="_and_managing_uncertainty"/>
            <w:bookmarkEnd w:id="42"/>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92353CF" w14:textId="6743761D" w:rsidR="00BC63EF" w:rsidRDefault="002A105F" w:rsidP="008C10BB">
            <w:pPr>
              <w:spacing w:after="0"/>
              <w:rPr>
                <w:rFonts w:eastAsia="Times New Roman" w:cs="Segoe UI"/>
                <w:sz w:val="20"/>
                <w:szCs w:val="20"/>
                <w:lang w:eastAsia="en-AU"/>
              </w:rPr>
            </w:pPr>
            <w:r>
              <w:rPr>
                <w:rFonts w:eastAsia="Times New Roman" w:cs="Segoe UI"/>
                <w:sz w:val="20"/>
                <w:szCs w:val="20"/>
                <w:lang w:eastAsia="en-AU"/>
              </w:rPr>
              <w:t>Noting</w:t>
            </w:r>
            <w:r w:rsidR="002B2D76" w:rsidRPr="004A234E">
              <w:rPr>
                <w:rFonts w:eastAsia="Times New Roman" w:cs="Segoe UI"/>
                <w:sz w:val="20"/>
                <w:szCs w:val="20"/>
                <w:lang w:eastAsia="en-AU"/>
              </w:rPr>
              <w:t xml:space="preserve"> </w:t>
            </w:r>
            <w:r w:rsidR="002A7AE4" w:rsidRPr="004A234E">
              <w:rPr>
                <w:rFonts w:eastAsia="Times New Roman" w:cs="Segoe UI"/>
                <w:sz w:val="20"/>
                <w:szCs w:val="20"/>
                <w:lang w:eastAsia="en-AU"/>
              </w:rPr>
              <w:t>the PBAC’s July 2022 recommendation</w:t>
            </w:r>
            <w:r w:rsidR="00C95036">
              <w:rPr>
                <w:rFonts w:eastAsia="Times New Roman" w:cs="Segoe UI"/>
                <w:sz w:val="20"/>
                <w:szCs w:val="20"/>
                <w:lang w:eastAsia="en-AU"/>
              </w:rPr>
              <w:t xml:space="preserve"> as follows</w:t>
            </w:r>
            <w:r w:rsidR="00855A9B">
              <w:rPr>
                <w:rFonts w:eastAsia="Times New Roman" w:cs="Segoe UI"/>
                <w:sz w:val="20"/>
                <w:szCs w:val="20"/>
                <w:lang w:eastAsia="en-AU"/>
              </w:rPr>
              <w:t xml:space="preserve">: </w:t>
            </w:r>
          </w:p>
          <w:p w14:paraId="68B10E6B" w14:textId="77777777" w:rsidR="00BC63EF" w:rsidRDefault="00BC63EF" w:rsidP="008C10BB">
            <w:pPr>
              <w:spacing w:after="0"/>
              <w:rPr>
                <w:rFonts w:eastAsia="Times New Roman" w:cs="Segoe UI"/>
                <w:sz w:val="20"/>
                <w:szCs w:val="20"/>
                <w:lang w:eastAsia="en-AU"/>
              </w:rPr>
            </w:pPr>
          </w:p>
          <w:p w14:paraId="3696307A" w14:textId="2E991A76" w:rsidR="00EB69D6" w:rsidRPr="006732A5" w:rsidRDefault="00855A9B" w:rsidP="008C10BB">
            <w:pPr>
              <w:spacing w:after="0"/>
              <w:rPr>
                <w:rFonts w:eastAsia="Times New Roman" w:cs="Segoe UI"/>
                <w:i/>
                <w:sz w:val="20"/>
                <w:szCs w:val="20"/>
                <w:lang w:eastAsia="en-AU"/>
              </w:rPr>
            </w:pPr>
            <w:r w:rsidRPr="006732A5">
              <w:rPr>
                <w:rFonts w:eastAsia="Times New Roman" w:cs="Segoe UI"/>
                <w:i/>
                <w:sz w:val="20"/>
                <w:szCs w:val="20"/>
                <w:lang w:eastAsia="en-AU"/>
              </w:rPr>
              <w:t>“The PBAC did not recommend a stand-alone change to the base-case discount rate</w:t>
            </w:r>
            <w:r w:rsidR="00483308" w:rsidRPr="006732A5">
              <w:rPr>
                <w:rFonts w:eastAsia="Times New Roman" w:cs="Segoe UI"/>
                <w:i/>
                <w:sz w:val="20"/>
                <w:szCs w:val="20"/>
                <w:lang w:eastAsia="en-AU"/>
              </w:rPr>
              <w:fldChar w:fldCharType="begin"/>
            </w:r>
            <w:r w:rsidR="00483308" w:rsidRPr="006732A5">
              <w:rPr>
                <w:i/>
              </w:rPr>
              <w:instrText xml:space="preserve"> XE "</w:instrText>
            </w:r>
            <w:r w:rsidR="00483308" w:rsidRPr="006732A5">
              <w:rPr>
                <w:rFonts w:eastAsia="Times New Roman"/>
                <w:i/>
                <w:lang w:eastAsia="en-AU"/>
              </w:rPr>
              <w:instrText>discount rate</w:instrText>
            </w:r>
            <w:r w:rsidR="00483308" w:rsidRPr="006732A5">
              <w:rPr>
                <w:i/>
              </w:rPr>
              <w:instrText xml:space="preserve">" \b </w:instrText>
            </w:r>
            <w:r w:rsidR="00483308" w:rsidRPr="006732A5">
              <w:rPr>
                <w:rFonts w:eastAsia="Times New Roman" w:cs="Segoe UI"/>
                <w:i/>
                <w:sz w:val="20"/>
                <w:szCs w:val="20"/>
                <w:lang w:eastAsia="en-AU"/>
              </w:rPr>
              <w:fldChar w:fldCharType="end"/>
            </w:r>
            <w:r w:rsidRPr="006732A5">
              <w:rPr>
                <w:rFonts w:eastAsia="Times New Roman" w:cs="Segoe UI"/>
                <w:i/>
                <w:sz w:val="20"/>
                <w:szCs w:val="20"/>
                <w:lang w:eastAsia="en-AU"/>
              </w:rPr>
              <w:t xml:space="preserve"> in its Guidelines. The PBAC recommended that, given the range of factors, in addition to the discount rate, that contribute to the assessed value of a medicine or vaccine, any policy decision on</w:t>
            </w:r>
            <w:r w:rsidRPr="00855A9B">
              <w:rPr>
                <w:rFonts w:eastAsia="Times New Roman" w:cs="Segoe UI"/>
                <w:sz w:val="20"/>
                <w:szCs w:val="20"/>
                <w:lang w:eastAsia="en-AU"/>
              </w:rPr>
              <w:t xml:space="preserve"> </w:t>
            </w:r>
            <w:r w:rsidRPr="006732A5">
              <w:rPr>
                <w:rFonts w:eastAsia="Times New Roman" w:cs="Segoe UI"/>
                <w:i/>
                <w:sz w:val="20"/>
                <w:szCs w:val="20"/>
                <w:lang w:eastAsia="en-AU"/>
              </w:rPr>
              <w:t>a general reduction in the standard base-case discount rate for health interventions should be assessed alongside other relevant factors in decision making as part of the broader HTA review.</w:t>
            </w:r>
          </w:p>
          <w:p w14:paraId="1F203ED3" w14:textId="77777777" w:rsidR="00EB69D6" w:rsidRPr="006732A5" w:rsidRDefault="00EB69D6" w:rsidP="008C10BB">
            <w:pPr>
              <w:spacing w:after="0"/>
              <w:rPr>
                <w:rFonts w:eastAsia="Times New Roman" w:cs="Segoe UI"/>
                <w:i/>
                <w:sz w:val="20"/>
                <w:szCs w:val="20"/>
                <w:lang w:eastAsia="en-AU"/>
              </w:rPr>
            </w:pPr>
          </w:p>
          <w:p w14:paraId="401C40B1" w14:textId="751F8C10" w:rsidR="00F154CF" w:rsidRPr="006732A5" w:rsidRDefault="00EB69D6" w:rsidP="008C10BB">
            <w:pPr>
              <w:spacing w:after="0"/>
              <w:rPr>
                <w:rFonts w:eastAsia="Times New Roman" w:cs="Segoe UI"/>
                <w:i/>
                <w:sz w:val="20"/>
                <w:szCs w:val="20"/>
                <w:lang w:eastAsia="en-AU"/>
              </w:rPr>
            </w:pPr>
            <w:r w:rsidRPr="006732A5">
              <w:rPr>
                <w:rFonts w:eastAsia="Times New Roman" w:cs="Segoe UI"/>
                <w:i/>
                <w:sz w:val="20"/>
                <w:szCs w:val="20"/>
                <w:lang w:eastAsia="en-AU"/>
              </w:rPr>
              <w:t>The PBAC recommended that should the Government make a broader policy decision to change the standard base-case discount rate</w:t>
            </w:r>
            <w:r w:rsidR="00483308" w:rsidRPr="006732A5">
              <w:rPr>
                <w:rFonts w:eastAsia="Times New Roman" w:cs="Segoe UI"/>
                <w:i/>
                <w:sz w:val="20"/>
                <w:szCs w:val="20"/>
                <w:lang w:eastAsia="en-AU"/>
              </w:rPr>
              <w:fldChar w:fldCharType="begin"/>
            </w:r>
            <w:r w:rsidR="00483308" w:rsidRPr="006732A5">
              <w:rPr>
                <w:i/>
              </w:rPr>
              <w:instrText xml:space="preserve"> XE "</w:instrText>
            </w:r>
            <w:r w:rsidR="00483308" w:rsidRPr="006732A5">
              <w:rPr>
                <w:rFonts w:eastAsia="Times New Roman"/>
                <w:i/>
                <w:lang w:eastAsia="en-AU"/>
              </w:rPr>
              <w:instrText>discount rate</w:instrText>
            </w:r>
            <w:r w:rsidR="00483308" w:rsidRPr="006732A5">
              <w:rPr>
                <w:i/>
              </w:rPr>
              <w:instrText xml:space="preserve">" \b </w:instrText>
            </w:r>
            <w:r w:rsidR="00483308" w:rsidRPr="006732A5">
              <w:rPr>
                <w:rFonts w:eastAsia="Times New Roman" w:cs="Segoe UI"/>
                <w:i/>
                <w:sz w:val="20"/>
                <w:szCs w:val="20"/>
                <w:lang w:eastAsia="en-AU"/>
              </w:rPr>
              <w:fldChar w:fldCharType="end"/>
            </w:r>
            <w:r w:rsidRPr="006732A5">
              <w:rPr>
                <w:rFonts w:eastAsia="Times New Roman" w:cs="Segoe UI"/>
                <w:i/>
                <w:sz w:val="20"/>
                <w:szCs w:val="20"/>
                <w:lang w:eastAsia="en-AU"/>
              </w:rPr>
              <w:t xml:space="preserve"> for economic evaluations of health interventions after considering cross-portfolio implications and the HTA Review:</w:t>
            </w:r>
          </w:p>
          <w:p w14:paraId="7A83F130" w14:textId="0081C407" w:rsidR="00F154CF" w:rsidRPr="006732A5" w:rsidRDefault="00EB69D6" w:rsidP="008505D7">
            <w:pPr>
              <w:pStyle w:val="ListParagraph"/>
              <w:numPr>
                <w:ilvl w:val="0"/>
                <w:numId w:val="47"/>
              </w:numPr>
              <w:spacing w:after="0"/>
              <w:ind w:left="786"/>
              <w:rPr>
                <w:rFonts w:eastAsia="Times New Roman" w:cs="Segoe UI"/>
                <w:i/>
                <w:sz w:val="20"/>
                <w:szCs w:val="20"/>
                <w:lang w:eastAsia="en-AU"/>
              </w:rPr>
            </w:pPr>
            <w:r w:rsidRPr="006732A5">
              <w:rPr>
                <w:rFonts w:eastAsia="Times New Roman" w:cs="Segoe UI"/>
                <w:i/>
                <w:sz w:val="20"/>
                <w:szCs w:val="20"/>
                <w:lang w:eastAsia="en-AU"/>
              </w:rPr>
              <w:t>the base-case discount rate</w:t>
            </w:r>
            <w:r w:rsidR="00483308" w:rsidRPr="006732A5">
              <w:rPr>
                <w:rFonts w:eastAsia="Times New Roman" w:cs="Segoe UI"/>
                <w:i/>
                <w:sz w:val="20"/>
                <w:szCs w:val="20"/>
                <w:lang w:eastAsia="en-AU"/>
              </w:rPr>
              <w:fldChar w:fldCharType="begin"/>
            </w:r>
            <w:r w:rsidR="00483308" w:rsidRPr="006732A5">
              <w:rPr>
                <w:i/>
              </w:rPr>
              <w:instrText xml:space="preserve"> XE "</w:instrText>
            </w:r>
            <w:r w:rsidR="00483308" w:rsidRPr="006732A5">
              <w:rPr>
                <w:rFonts w:eastAsia="Times New Roman"/>
                <w:i/>
                <w:lang w:eastAsia="en-AU"/>
              </w:rPr>
              <w:instrText>discount rate</w:instrText>
            </w:r>
            <w:r w:rsidR="00483308" w:rsidRPr="006732A5">
              <w:rPr>
                <w:i/>
              </w:rPr>
              <w:instrText xml:space="preserve">" \b </w:instrText>
            </w:r>
            <w:r w:rsidR="00483308" w:rsidRPr="006732A5">
              <w:rPr>
                <w:rFonts w:eastAsia="Times New Roman" w:cs="Segoe UI"/>
                <w:i/>
                <w:sz w:val="20"/>
                <w:szCs w:val="20"/>
                <w:lang w:eastAsia="en-AU"/>
              </w:rPr>
              <w:fldChar w:fldCharType="end"/>
            </w:r>
            <w:r w:rsidRPr="006732A5">
              <w:rPr>
                <w:rFonts w:eastAsia="Times New Roman" w:cs="Segoe UI"/>
                <w:i/>
                <w:sz w:val="20"/>
                <w:szCs w:val="20"/>
                <w:lang w:eastAsia="en-AU"/>
              </w:rPr>
              <w:t xml:space="preserve"> should be no lower than 3.5% - 4% per </w:t>
            </w:r>
            <w:proofErr w:type="gramStart"/>
            <w:r w:rsidRPr="006732A5">
              <w:rPr>
                <w:rFonts w:eastAsia="Times New Roman" w:cs="Segoe UI"/>
                <w:i/>
                <w:sz w:val="20"/>
                <w:szCs w:val="20"/>
                <w:lang w:eastAsia="en-AU"/>
              </w:rPr>
              <w:t>year</w:t>
            </w:r>
            <w:proofErr w:type="gramEnd"/>
          </w:p>
          <w:p w14:paraId="2A39A32F" w14:textId="77777777" w:rsidR="00361701" w:rsidRPr="006732A5" w:rsidRDefault="00EB69D6" w:rsidP="008505D7">
            <w:pPr>
              <w:pStyle w:val="ListParagraph"/>
              <w:numPr>
                <w:ilvl w:val="0"/>
                <w:numId w:val="47"/>
              </w:numPr>
              <w:spacing w:after="0"/>
              <w:ind w:left="786"/>
              <w:rPr>
                <w:rFonts w:eastAsia="Times New Roman" w:cs="Segoe UI"/>
                <w:i/>
                <w:sz w:val="20"/>
                <w:szCs w:val="20"/>
                <w:lang w:eastAsia="en-AU"/>
              </w:rPr>
            </w:pPr>
            <w:r w:rsidRPr="006732A5">
              <w:rPr>
                <w:rFonts w:eastAsia="Times New Roman" w:cs="Segoe UI"/>
                <w:i/>
                <w:sz w:val="20"/>
                <w:szCs w:val="20"/>
                <w:lang w:eastAsia="en-AU"/>
              </w:rPr>
              <w:t xml:space="preserve">approaches for evaluating economic uncertainty arising from value attributed to future and extrapolated benefits be adjusted to ensure the uncertainty of future costs and benefits is fully captured and considered in decision </w:t>
            </w:r>
            <w:proofErr w:type="gramStart"/>
            <w:r w:rsidRPr="006732A5">
              <w:rPr>
                <w:rFonts w:eastAsia="Times New Roman" w:cs="Segoe UI"/>
                <w:i/>
                <w:sz w:val="20"/>
                <w:szCs w:val="20"/>
                <w:lang w:eastAsia="en-AU"/>
              </w:rPr>
              <w:t>making</w:t>
            </w:r>
            <w:proofErr w:type="gramEnd"/>
          </w:p>
          <w:p w14:paraId="2CA955F6" w14:textId="77777777" w:rsidR="00361701" w:rsidRPr="006732A5" w:rsidRDefault="00EB69D6" w:rsidP="008505D7">
            <w:pPr>
              <w:pStyle w:val="ListParagraph"/>
              <w:numPr>
                <w:ilvl w:val="0"/>
                <w:numId w:val="47"/>
              </w:numPr>
              <w:spacing w:after="0"/>
              <w:ind w:left="786"/>
              <w:rPr>
                <w:rFonts w:eastAsia="Times New Roman" w:cs="Segoe UI"/>
                <w:i/>
                <w:sz w:val="20"/>
                <w:szCs w:val="20"/>
                <w:lang w:eastAsia="en-AU"/>
              </w:rPr>
            </w:pPr>
            <w:r w:rsidRPr="006732A5">
              <w:rPr>
                <w:rFonts w:eastAsia="Times New Roman" w:cs="Segoe UI"/>
                <w:i/>
                <w:sz w:val="20"/>
                <w:szCs w:val="20"/>
                <w:lang w:eastAsia="en-AU"/>
              </w:rPr>
              <w:t xml:space="preserve">equal discount rates for costs and health outcomes should be maintained, consistent with most common international </w:t>
            </w:r>
            <w:proofErr w:type="gramStart"/>
            <w:r w:rsidRPr="006732A5">
              <w:rPr>
                <w:rFonts w:eastAsia="Times New Roman" w:cs="Segoe UI"/>
                <w:i/>
                <w:sz w:val="20"/>
                <w:szCs w:val="20"/>
                <w:lang w:eastAsia="en-AU"/>
              </w:rPr>
              <w:t>practice</w:t>
            </w:r>
            <w:proofErr w:type="gramEnd"/>
          </w:p>
          <w:p w14:paraId="5F60E0DD" w14:textId="3D5D20F5" w:rsidR="002B2D76" w:rsidRPr="00DD2E48" w:rsidRDefault="00EB69D6" w:rsidP="008505D7">
            <w:pPr>
              <w:pStyle w:val="ListParagraph"/>
              <w:numPr>
                <w:ilvl w:val="0"/>
                <w:numId w:val="47"/>
              </w:numPr>
              <w:ind w:left="786"/>
              <w:rPr>
                <w:rFonts w:eastAsia="Times New Roman" w:cs="Segoe UI"/>
                <w:i/>
                <w:sz w:val="20"/>
                <w:szCs w:val="20"/>
                <w:lang w:eastAsia="en-AU"/>
              </w:rPr>
            </w:pPr>
            <w:r w:rsidRPr="006732A5">
              <w:rPr>
                <w:rFonts w:eastAsia="Times New Roman" w:cs="Segoe UI"/>
                <w:i/>
                <w:sz w:val="20"/>
                <w:szCs w:val="20"/>
                <w:lang w:eastAsia="en-AU"/>
              </w:rPr>
              <w:t>a mandatory 5% discount rate</w:t>
            </w:r>
            <w:r w:rsidR="00483308" w:rsidRPr="006732A5">
              <w:rPr>
                <w:rFonts w:eastAsia="Times New Roman" w:cs="Segoe UI"/>
                <w:i/>
                <w:sz w:val="20"/>
                <w:szCs w:val="20"/>
                <w:lang w:eastAsia="en-AU"/>
              </w:rPr>
              <w:fldChar w:fldCharType="begin"/>
            </w:r>
            <w:r w:rsidR="00483308" w:rsidRPr="006732A5">
              <w:rPr>
                <w:i/>
              </w:rPr>
              <w:instrText xml:space="preserve"> XE "</w:instrText>
            </w:r>
            <w:r w:rsidR="00483308" w:rsidRPr="006732A5">
              <w:rPr>
                <w:rFonts w:eastAsia="Times New Roman"/>
                <w:i/>
                <w:lang w:eastAsia="en-AU"/>
              </w:rPr>
              <w:instrText>discount rate</w:instrText>
            </w:r>
            <w:r w:rsidR="00483308" w:rsidRPr="006732A5">
              <w:rPr>
                <w:i/>
              </w:rPr>
              <w:instrText xml:space="preserve">" \b </w:instrText>
            </w:r>
            <w:r w:rsidR="00483308" w:rsidRPr="006732A5">
              <w:rPr>
                <w:rFonts w:eastAsia="Times New Roman" w:cs="Segoe UI"/>
                <w:i/>
                <w:sz w:val="20"/>
                <w:szCs w:val="20"/>
                <w:lang w:eastAsia="en-AU"/>
              </w:rPr>
              <w:fldChar w:fldCharType="end"/>
            </w:r>
            <w:r w:rsidRPr="006732A5">
              <w:rPr>
                <w:rFonts w:eastAsia="Times New Roman" w:cs="Segoe UI"/>
                <w:i/>
                <w:sz w:val="20"/>
                <w:szCs w:val="20"/>
                <w:lang w:eastAsia="en-AU"/>
              </w:rPr>
              <w:t xml:space="preserve"> sensitivity analysis would need to be conducted for purpose of being explicit about the impact on opportunity cost and budget, and to ensure consistency with prior decisions by allowing advisory committees to compare ICERs for new listing requests with previously considered items based</w:t>
            </w:r>
            <w:r w:rsidR="00A2123D" w:rsidRPr="006732A5">
              <w:rPr>
                <w:rFonts w:eastAsia="Times New Roman" w:cs="Segoe UI"/>
                <w:i/>
                <w:sz w:val="20"/>
                <w:szCs w:val="20"/>
                <w:lang w:eastAsia="en-AU"/>
              </w:rPr>
              <w:t>”.</w:t>
            </w:r>
          </w:p>
          <w:p w14:paraId="6C810606" w14:textId="00E998E0" w:rsidR="00231D2B" w:rsidRPr="00231D2B" w:rsidRDefault="00827145" w:rsidP="006732A5">
            <w:pPr>
              <w:rPr>
                <w:lang w:eastAsia="en-AU"/>
              </w:rPr>
            </w:pPr>
            <w:r>
              <w:rPr>
                <w:rFonts w:eastAsia="Times New Roman" w:cs="Segoe UI"/>
                <w:sz w:val="20"/>
                <w:szCs w:val="20"/>
                <w:lang w:eastAsia="en-AU"/>
              </w:rPr>
              <w:lastRenderedPageBreak/>
              <w:t xml:space="preserve">Develop </w:t>
            </w:r>
            <w:r w:rsidR="00881963" w:rsidRPr="009D14F6">
              <w:rPr>
                <w:rFonts w:eastAsia="Times New Roman" w:cs="Segoe UI"/>
                <w:sz w:val="20"/>
                <w:szCs w:val="20"/>
                <w:lang w:eastAsia="en-AU"/>
              </w:rPr>
              <w:t xml:space="preserve">modelling of the </w:t>
            </w:r>
            <w:r w:rsidR="009E0BC2">
              <w:rPr>
                <w:rFonts w:eastAsia="Times New Roman" w:cs="Segoe UI"/>
                <w:sz w:val="20"/>
                <w:szCs w:val="20"/>
                <w:lang w:eastAsia="en-AU"/>
              </w:rPr>
              <w:t xml:space="preserve">aggregate </w:t>
            </w:r>
            <w:r w:rsidR="00F34005" w:rsidRPr="009D14F6">
              <w:rPr>
                <w:rFonts w:eastAsia="Times New Roman" w:cs="Segoe UI"/>
                <w:sz w:val="20"/>
                <w:szCs w:val="20"/>
                <w:lang w:eastAsia="en-AU"/>
              </w:rPr>
              <w:t>impact of the HTA Review recommendations</w:t>
            </w:r>
            <w:r w:rsidR="00EB1A2D">
              <w:rPr>
                <w:rFonts w:eastAsia="Times New Roman" w:cs="Segoe UI"/>
                <w:sz w:val="20"/>
                <w:szCs w:val="20"/>
                <w:lang w:eastAsia="en-AU"/>
              </w:rPr>
              <w:t xml:space="preserve"> and</w:t>
            </w:r>
            <w:r w:rsidR="00020EBA">
              <w:rPr>
                <w:rFonts w:eastAsia="Times New Roman" w:cs="Segoe UI"/>
                <w:sz w:val="20"/>
                <w:szCs w:val="20"/>
                <w:lang w:eastAsia="en-AU"/>
              </w:rPr>
              <w:t xml:space="preserve"> include </w:t>
            </w:r>
            <w:r w:rsidR="00AD4024">
              <w:rPr>
                <w:rFonts w:eastAsia="Times New Roman" w:cs="Segoe UI"/>
                <w:sz w:val="20"/>
                <w:szCs w:val="20"/>
                <w:lang w:eastAsia="en-AU"/>
              </w:rPr>
              <w:t xml:space="preserve">different </w:t>
            </w:r>
            <w:r w:rsidR="00020EBA">
              <w:rPr>
                <w:rFonts w:eastAsia="Times New Roman" w:cs="Segoe UI"/>
                <w:sz w:val="20"/>
                <w:szCs w:val="20"/>
                <w:lang w:eastAsia="en-AU"/>
              </w:rPr>
              <w:t xml:space="preserve">scenarios of </w:t>
            </w:r>
            <w:r w:rsidR="00AB7BE3">
              <w:rPr>
                <w:rFonts w:eastAsia="Times New Roman" w:cs="Segoe UI"/>
                <w:sz w:val="20"/>
                <w:szCs w:val="20"/>
                <w:lang w:eastAsia="en-AU"/>
              </w:rPr>
              <w:t xml:space="preserve">varying </w:t>
            </w:r>
            <w:r w:rsidR="00D93C33">
              <w:rPr>
                <w:rFonts w:eastAsia="Times New Roman" w:cs="Segoe UI"/>
                <w:sz w:val="20"/>
                <w:szCs w:val="20"/>
                <w:lang w:eastAsia="en-AU"/>
              </w:rPr>
              <w:t xml:space="preserve">the discount </w:t>
            </w:r>
            <w:r w:rsidR="002D29C0">
              <w:rPr>
                <w:rFonts w:eastAsia="Times New Roman" w:cs="Segoe UI"/>
                <w:sz w:val="20"/>
                <w:szCs w:val="20"/>
                <w:lang w:eastAsia="en-AU"/>
              </w:rPr>
              <w:t>rate</w:t>
            </w:r>
            <w:r w:rsidR="00483308">
              <w:rPr>
                <w:rFonts w:eastAsia="Times New Roman" w:cs="Segoe UI"/>
                <w:sz w:val="20"/>
                <w:szCs w:val="20"/>
                <w:lang w:eastAsia="en-AU"/>
              </w:rPr>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rPr>
                <w:rFonts w:eastAsia="Times New Roman" w:cs="Segoe UI"/>
                <w:sz w:val="20"/>
                <w:szCs w:val="20"/>
                <w:lang w:eastAsia="en-AU"/>
              </w:rPr>
              <w:fldChar w:fldCharType="end"/>
            </w:r>
            <w:r w:rsidR="002D29C0">
              <w:rPr>
                <w:rFonts w:eastAsia="Times New Roman" w:cs="Segoe UI"/>
                <w:sz w:val="20"/>
                <w:szCs w:val="20"/>
                <w:lang w:eastAsia="en-AU"/>
              </w:rPr>
              <w:t xml:space="preserve"> </w:t>
            </w:r>
            <w:r w:rsidR="00A03374">
              <w:rPr>
                <w:rFonts w:eastAsia="Times New Roman" w:cs="Segoe UI"/>
                <w:sz w:val="20"/>
                <w:szCs w:val="20"/>
                <w:lang w:eastAsia="en-AU"/>
              </w:rPr>
              <w:t>for</w:t>
            </w:r>
            <w:r w:rsidR="002E477C" w:rsidRPr="009D14F6">
              <w:rPr>
                <w:rFonts w:eastAsia="Times New Roman" w:cs="Segoe UI"/>
                <w:sz w:val="20"/>
                <w:szCs w:val="20"/>
                <w:lang w:eastAsia="en-AU"/>
              </w:rPr>
              <w:t xml:space="preserve"> various different technologies </w:t>
            </w:r>
            <w:r w:rsidR="006B1897">
              <w:rPr>
                <w:rFonts w:eastAsia="Times New Roman" w:cs="Segoe UI"/>
                <w:sz w:val="20"/>
                <w:szCs w:val="20"/>
                <w:lang w:eastAsia="en-AU"/>
              </w:rPr>
              <w:t>(</w:t>
            </w:r>
            <w:r w:rsidR="002E477C" w:rsidRPr="009D14F6">
              <w:rPr>
                <w:rFonts w:eastAsia="Times New Roman" w:cs="Segoe UI"/>
                <w:sz w:val="20"/>
                <w:szCs w:val="20"/>
                <w:lang w:eastAsia="en-AU"/>
              </w:rPr>
              <w:t xml:space="preserve">in particular health technologies </w:t>
            </w:r>
            <w:r w:rsidR="00AA378F" w:rsidRPr="009D14F6">
              <w:rPr>
                <w:rFonts w:eastAsia="Times New Roman" w:cs="Segoe UI"/>
                <w:sz w:val="20"/>
                <w:szCs w:val="20"/>
                <w:lang w:eastAsia="en-AU"/>
              </w:rPr>
              <w:t xml:space="preserve">including those that </w:t>
            </w:r>
            <w:r w:rsidR="00B9164E">
              <w:rPr>
                <w:rFonts w:eastAsia="Times New Roman" w:cs="Segoe UI"/>
                <w:sz w:val="20"/>
                <w:szCs w:val="20"/>
                <w:lang w:eastAsia="en-AU"/>
              </w:rPr>
              <w:t>h</w:t>
            </w:r>
            <w:r w:rsidR="002E477C" w:rsidRPr="009D14F6">
              <w:rPr>
                <w:rFonts w:eastAsia="Times New Roman" w:cs="Segoe UI"/>
                <w:sz w:val="20"/>
                <w:szCs w:val="20"/>
                <w:lang w:eastAsia="en-AU"/>
              </w:rPr>
              <w:t xml:space="preserve">ave </w:t>
            </w:r>
            <w:r w:rsidR="00B9164E">
              <w:rPr>
                <w:rFonts w:eastAsia="Times New Roman" w:cs="Segoe UI"/>
                <w:sz w:val="20"/>
                <w:szCs w:val="20"/>
                <w:lang w:eastAsia="en-AU"/>
              </w:rPr>
              <w:t xml:space="preserve">high </w:t>
            </w:r>
            <w:r w:rsidR="002E477C" w:rsidRPr="009D14F6">
              <w:rPr>
                <w:rFonts w:eastAsia="Times New Roman" w:cs="Segoe UI"/>
                <w:sz w:val="20"/>
                <w:szCs w:val="20"/>
                <w:lang w:eastAsia="en-AU"/>
              </w:rPr>
              <w:t>upfront costs and benefits that accrue over a long period of time</w:t>
            </w:r>
            <w:r w:rsidR="00AA378F" w:rsidRPr="009D14F6">
              <w:rPr>
                <w:rFonts w:eastAsia="Times New Roman" w:cs="Segoe UI"/>
                <w:sz w:val="20"/>
                <w:szCs w:val="20"/>
                <w:lang w:eastAsia="en-AU"/>
              </w:rPr>
              <w:t xml:space="preserve"> such as vaccines</w:t>
            </w:r>
            <w:r w:rsidR="004D283C">
              <w:rPr>
                <w:rFonts w:eastAsia="Times New Roman" w:cs="Segoe UI"/>
                <w:sz w:val="20"/>
                <w:szCs w:val="20"/>
                <w:lang w:eastAsia="en-AU"/>
              </w:rPr>
              <w:fldChar w:fldCharType="begin"/>
            </w:r>
            <w:r w:rsidR="004D283C">
              <w:instrText xml:space="preserve"> XE "</w:instrText>
            </w:r>
            <w:r w:rsidR="004D283C" w:rsidRPr="0001709C">
              <w:instrText>vaccines</w:instrText>
            </w:r>
            <w:r w:rsidR="004D283C">
              <w:instrText xml:space="preserve">" \b </w:instrText>
            </w:r>
            <w:r w:rsidR="004D283C">
              <w:rPr>
                <w:rFonts w:eastAsia="Times New Roman" w:cs="Segoe UI"/>
                <w:sz w:val="20"/>
                <w:szCs w:val="20"/>
                <w:lang w:eastAsia="en-AU"/>
              </w:rPr>
              <w:fldChar w:fldCharType="end"/>
            </w:r>
            <w:r w:rsidR="000E5FDE" w:rsidRPr="009D14F6">
              <w:rPr>
                <w:rFonts w:eastAsia="Times New Roman" w:cs="Segoe UI"/>
                <w:sz w:val="20"/>
                <w:szCs w:val="20"/>
                <w:lang w:eastAsia="en-AU"/>
              </w:rPr>
              <w:t xml:space="preserve"> </w:t>
            </w:r>
            <w:r w:rsidR="00152B5C" w:rsidRPr="009D14F6">
              <w:rPr>
                <w:rFonts w:eastAsia="Times New Roman" w:cs="Segoe UI"/>
                <w:sz w:val="20"/>
                <w:szCs w:val="20"/>
                <w:lang w:eastAsia="en-AU"/>
              </w:rPr>
              <w:t>and gene therapies</w:t>
            </w:r>
            <w:r w:rsidR="006B1897">
              <w:rPr>
                <w:rFonts w:eastAsia="Times New Roman" w:cs="Segoe UI"/>
                <w:sz w:val="20"/>
                <w:szCs w:val="20"/>
                <w:lang w:eastAsia="en-AU"/>
              </w:rPr>
              <w:t>)</w:t>
            </w:r>
            <w:r w:rsidR="00152B5C" w:rsidRPr="009D14F6">
              <w:rPr>
                <w:rFonts w:eastAsia="Times New Roman" w:cs="Segoe UI"/>
                <w:sz w:val="20"/>
                <w:szCs w:val="20"/>
                <w:lang w:eastAsia="en-AU"/>
              </w:rPr>
              <w:t xml:space="preserve"> </w:t>
            </w:r>
            <w:r w:rsidR="000E5FDE" w:rsidRPr="009D14F6">
              <w:rPr>
                <w:rFonts w:eastAsia="Times New Roman" w:cs="Segoe UI"/>
                <w:sz w:val="20"/>
                <w:szCs w:val="20"/>
                <w:lang w:eastAsia="en-AU"/>
              </w:rPr>
              <w:t>to inform further consideration of</w:t>
            </w:r>
            <w:r w:rsidR="002E477C" w:rsidRPr="009D14F6">
              <w:rPr>
                <w:rFonts w:eastAsia="Times New Roman" w:cs="Segoe UI"/>
                <w:sz w:val="20"/>
                <w:szCs w:val="20"/>
                <w:lang w:eastAsia="en-AU"/>
              </w:rPr>
              <w:t xml:space="preserve"> </w:t>
            </w:r>
            <w:r w:rsidR="002970B1" w:rsidRPr="009D14F6">
              <w:rPr>
                <w:rFonts w:eastAsia="Times New Roman" w:cs="Segoe UI"/>
                <w:sz w:val="20"/>
                <w:szCs w:val="20"/>
                <w:lang w:eastAsia="en-AU"/>
              </w:rPr>
              <w:t xml:space="preserve">any changes to the </w:t>
            </w:r>
            <w:r w:rsidR="00A00EDE">
              <w:rPr>
                <w:rFonts w:eastAsia="Times New Roman" w:cs="Segoe UI"/>
                <w:sz w:val="20"/>
                <w:szCs w:val="20"/>
                <w:lang w:eastAsia="en-AU"/>
              </w:rPr>
              <w:t>discount rate</w:t>
            </w:r>
            <w:r w:rsidR="00025FC0">
              <w:rPr>
                <w:rFonts w:eastAsia="Times New Roman" w:cs="Segoe UI"/>
                <w:sz w:val="20"/>
                <w:szCs w:val="20"/>
                <w:lang w:eastAsia="en-AU"/>
              </w:rPr>
              <w:t xml:space="preserve">. </w:t>
            </w:r>
            <w:r w:rsidR="002770C7" w:rsidRPr="00B95C47">
              <w:rPr>
                <w:rFonts w:eastAsia="Times New Roman" w:cs="Segoe UI"/>
                <w:sz w:val="20"/>
                <w:szCs w:val="20"/>
                <w:lang w:eastAsia="en-AU"/>
              </w:rPr>
              <w:t xml:space="preserve">Noting that there are circumstances where it may be reasonable to have </w:t>
            </w:r>
            <w:r w:rsidR="002770C7">
              <w:rPr>
                <w:rFonts w:eastAsia="Times New Roman" w:cs="Segoe UI"/>
                <w:sz w:val="20"/>
                <w:szCs w:val="20"/>
                <w:lang w:eastAsia="en-AU"/>
              </w:rPr>
              <w:t xml:space="preserve">an </w:t>
            </w:r>
            <w:proofErr w:type="spellStart"/>
            <w:r w:rsidR="002770C7">
              <w:rPr>
                <w:rFonts w:eastAsia="Times New Roman" w:cs="Segoe UI"/>
                <w:sz w:val="20"/>
                <w:szCs w:val="20"/>
                <w:lang w:eastAsia="en-AU"/>
              </w:rPr>
              <w:t>alternitve</w:t>
            </w:r>
            <w:proofErr w:type="spellEnd"/>
            <w:r w:rsidR="002770C7">
              <w:rPr>
                <w:rFonts w:eastAsia="Times New Roman" w:cs="Segoe UI"/>
                <w:sz w:val="20"/>
                <w:szCs w:val="20"/>
                <w:lang w:eastAsia="en-AU"/>
              </w:rPr>
              <w:t xml:space="preserve"> (lower) discount rate for some therapies and in some circumstances.</w:t>
            </w:r>
          </w:p>
          <w:p w14:paraId="51D1AA96" w14:textId="601D171D" w:rsidR="002A7AE4" w:rsidRPr="00A63CA0" w:rsidRDefault="00025FC0" w:rsidP="006732A5">
            <w:pPr>
              <w:rPr>
                <w:lang w:eastAsia="en-AU"/>
              </w:rPr>
            </w:pPr>
            <w:r>
              <w:rPr>
                <w:rFonts w:eastAsia="Times New Roman" w:cs="Segoe UI"/>
                <w:sz w:val="20"/>
                <w:szCs w:val="20"/>
                <w:lang w:eastAsia="en-AU"/>
              </w:rPr>
              <w:t xml:space="preserve">Measurement outcomes of the modelling should include </w:t>
            </w:r>
            <w:r w:rsidR="00EF4BF0">
              <w:rPr>
                <w:rFonts w:eastAsia="Times New Roman" w:cs="Segoe UI"/>
                <w:sz w:val="20"/>
                <w:szCs w:val="20"/>
                <w:lang w:eastAsia="en-AU"/>
              </w:rPr>
              <w:t xml:space="preserve">overarching </w:t>
            </w:r>
            <w:r w:rsidR="0017567C">
              <w:rPr>
                <w:rFonts w:eastAsia="Times New Roman" w:cs="Segoe UI"/>
                <w:sz w:val="20"/>
                <w:szCs w:val="20"/>
                <w:lang w:eastAsia="en-AU"/>
              </w:rPr>
              <w:t xml:space="preserve">impacts to the </w:t>
            </w:r>
            <w:r w:rsidR="00EF4BF0" w:rsidRPr="009D14F6">
              <w:rPr>
                <w:rFonts w:eastAsia="Times New Roman" w:cs="Segoe UI"/>
                <w:sz w:val="20"/>
                <w:szCs w:val="20"/>
                <w:lang w:eastAsia="en-AU"/>
              </w:rPr>
              <w:t xml:space="preserve">budget </w:t>
            </w:r>
            <w:r w:rsidR="000B473F" w:rsidRPr="009D14F6">
              <w:rPr>
                <w:rFonts w:eastAsia="Times New Roman" w:cs="Segoe UI"/>
                <w:sz w:val="20"/>
                <w:szCs w:val="20"/>
                <w:lang w:eastAsia="en-AU"/>
              </w:rPr>
              <w:t>and</w:t>
            </w:r>
            <w:r w:rsidR="00B60B2C">
              <w:rPr>
                <w:rFonts w:eastAsia="Times New Roman" w:cs="Segoe UI"/>
                <w:sz w:val="20"/>
                <w:szCs w:val="20"/>
                <w:lang w:eastAsia="en-AU"/>
              </w:rPr>
              <w:t xml:space="preserve"> </w:t>
            </w:r>
            <w:r w:rsidR="00251DD5">
              <w:rPr>
                <w:rFonts w:eastAsia="Times New Roman" w:cs="Segoe UI"/>
                <w:sz w:val="20"/>
                <w:szCs w:val="20"/>
                <w:lang w:eastAsia="en-AU"/>
              </w:rPr>
              <w:t xml:space="preserve">consider </w:t>
            </w:r>
            <w:r w:rsidR="00B60B2C">
              <w:rPr>
                <w:rFonts w:eastAsia="Times New Roman" w:cs="Segoe UI"/>
                <w:sz w:val="20"/>
                <w:szCs w:val="20"/>
                <w:lang w:eastAsia="en-AU"/>
              </w:rPr>
              <w:t>changes to variables such as the</w:t>
            </w:r>
            <w:r w:rsidR="00847A4D">
              <w:rPr>
                <w:rFonts w:eastAsia="Times New Roman" w:cs="Segoe UI"/>
                <w:sz w:val="20"/>
                <w:szCs w:val="20"/>
                <w:lang w:eastAsia="en-AU"/>
              </w:rPr>
              <w:t xml:space="preserve"> </w:t>
            </w:r>
            <w:r w:rsidR="008A1274">
              <w:rPr>
                <w:rFonts w:eastAsia="Times New Roman" w:cs="Segoe UI"/>
                <w:sz w:val="20"/>
                <w:szCs w:val="20"/>
                <w:lang w:eastAsia="en-AU"/>
              </w:rPr>
              <w:t xml:space="preserve">ICER </w:t>
            </w:r>
            <w:r w:rsidR="00074D4B">
              <w:rPr>
                <w:rFonts w:eastAsia="Times New Roman" w:cs="Segoe UI"/>
                <w:sz w:val="20"/>
                <w:szCs w:val="20"/>
                <w:lang w:eastAsia="en-AU"/>
              </w:rPr>
              <w:t xml:space="preserve">that </w:t>
            </w:r>
            <w:r w:rsidR="002A65C3">
              <w:rPr>
                <w:rFonts w:eastAsia="Times New Roman" w:cs="Segoe UI"/>
                <w:sz w:val="20"/>
                <w:szCs w:val="20"/>
                <w:lang w:eastAsia="en-AU"/>
              </w:rPr>
              <w:t xml:space="preserve">may </w:t>
            </w:r>
            <w:r w:rsidR="00A67ED0">
              <w:rPr>
                <w:rFonts w:eastAsia="Times New Roman" w:cs="Segoe UI"/>
                <w:sz w:val="20"/>
                <w:szCs w:val="20"/>
                <w:lang w:eastAsia="en-AU"/>
              </w:rPr>
              <w:t xml:space="preserve">require adjustment </w:t>
            </w:r>
            <w:proofErr w:type="gramStart"/>
            <w:r w:rsidR="00A67ED0">
              <w:rPr>
                <w:rFonts w:eastAsia="Times New Roman" w:cs="Segoe UI"/>
                <w:sz w:val="20"/>
                <w:szCs w:val="20"/>
                <w:lang w:eastAsia="en-AU"/>
              </w:rPr>
              <w:t>as</w:t>
            </w:r>
            <w:r w:rsidR="002A65C3">
              <w:rPr>
                <w:rFonts w:eastAsia="Times New Roman" w:cs="Segoe UI"/>
                <w:sz w:val="20"/>
                <w:szCs w:val="20"/>
                <w:lang w:eastAsia="en-AU"/>
              </w:rPr>
              <w:t xml:space="preserve"> </w:t>
            </w:r>
            <w:r w:rsidR="008A69FB">
              <w:rPr>
                <w:rFonts w:eastAsia="Times New Roman" w:cs="Segoe UI"/>
                <w:sz w:val="20"/>
                <w:szCs w:val="20"/>
                <w:lang w:eastAsia="en-AU"/>
              </w:rPr>
              <w:t xml:space="preserve">a </w:t>
            </w:r>
            <w:r w:rsidR="00A67ED0">
              <w:rPr>
                <w:rFonts w:eastAsia="Times New Roman" w:cs="Segoe UI"/>
                <w:sz w:val="20"/>
                <w:szCs w:val="20"/>
                <w:lang w:eastAsia="en-AU"/>
              </w:rPr>
              <w:t>result of</w:t>
            </w:r>
            <w:proofErr w:type="gramEnd"/>
            <w:r w:rsidR="00A67ED0">
              <w:rPr>
                <w:rFonts w:eastAsia="Times New Roman" w:cs="Segoe UI"/>
                <w:sz w:val="20"/>
                <w:szCs w:val="20"/>
                <w:lang w:eastAsia="en-AU"/>
              </w:rPr>
              <w:t xml:space="preserve"> any </w:t>
            </w:r>
            <w:r w:rsidR="009E0BC2">
              <w:rPr>
                <w:rFonts w:eastAsia="Times New Roman" w:cs="Segoe UI"/>
                <w:sz w:val="20"/>
                <w:szCs w:val="20"/>
                <w:lang w:eastAsia="en-AU"/>
              </w:rPr>
              <w:t xml:space="preserve">considered change to the base case discount rate. </w:t>
            </w:r>
            <w:r w:rsidR="0090265C">
              <w:rPr>
                <w:rFonts w:eastAsia="Times New Roman" w:cs="Segoe UI"/>
                <w:sz w:val="20"/>
                <w:szCs w:val="20"/>
                <w:lang w:eastAsia="en-AU"/>
              </w:rPr>
              <w:t>Additionally,</w:t>
            </w:r>
            <w:r w:rsidR="00074D4B">
              <w:rPr>
                <w:rFonts w:eastAsia="Times New Roman" w:cs="Segoe UI"/>
                <w:sz w:val="20"/>
                <w:szCs w:val="20"/>
                <w:lang w:eastAsia="en-AU"/>
              </w:rPr>
              <w:t xml:space="preserve"> t</w:t>
            </w:r>
            <w:r w:rsidR="00074D4B" w:rsidRPr="004E0226">
              <w:rPr>
                <w:rFonts w:eastAsia="Times New Roman" w:cs="Segoe UI"/>
                <w:sz w:val="20"/>
                <w:szCs w:val="20"/>
                <w:lang w:eastAsia="en-AU"/>
              </w:rPr>
              <w:t xml:space="preserve">his should include </w:t>
            </w:r>
            <w:r w:rsidR="004E1CCF">
              <w:rPr>
                <w:rFonts w:eastAsia="Times New Roman" w:cs="Segoe UI"/>
                <w:sz w:val="20"/>
                <w:szCs w:val="20"/>
                <w:lang w:eastAsia="en-AU"/>
              </w:rPr>
              <w:t xml:space="preserve">explicit </w:t>
            </w:r>
            <w:r w:rsidR="00074D4B" w:rsidRPr="004E0226">
              <w:rPr>
                <w:rFonts w:eastAsia="Times New Roman" w:cs="Segoe UI"/>
                <w:sz w:val="20"/>
                <w:szCs w:val="20"/>
                <w:lang w:eastAsia="en-AU"/>
              </w:rPr>
              <w:t xml:space="preserve">consideration of the opportunity cost and </w:t>
            </w:r>
            <w:r w:rsidR="008A69FB" w:rsidRPr="004E0226">
              <w:rPr>
                <w:rFonts w:eastAsia="Times New Roman" w:cs="Segoe UI"/>
                <w:sz w:val="20"/>
                <w:szCs w:val="20"/>
                <w:lang w:eastAsia="en-AU"/>
              </w:rPr>
              <w:t xml:space="preserve">budget impacts </w:t>
            </w:r>
            <w:r w:rsidR="004E1CCF">
              <w:rPr>
                <w:rFonts w:eastAsia="Times New Roman" w:cs="Segoe UI"/>
                <w:sz w:val="20"/>
                <w:szCs w:val="20"/>
                <w:lang w:eastAsia="en-AU"/>
              </w:rPr>
              <w:t xml:space="preserve">for any change </w:t>
            </w:r>
            <w:r w:rsidR="0090265C">
              <w:rPr>
                <w:rFonts w:eastAsia="Times New Roman" w:cs="Segoe UI"/>
                <w:sz w:val="20"/>
                <w:szCs w:val="20"/>
                <w:lang w:eastAsia="en-AU"/>
              </w:rPr>
              <w:t>relative to</w:t>
            </w:r>
            <w:r w:rsidR="004E1CCF">
              <w:rPr>
                <w:rFonts w:eastAsia="Times New Roman" w:cs="Segoe UI"/>
                <w:sz w:val="20"/>
                <w:szCs w:val="20"/>
                <w:lang w:eastAsia="en-AU"/>
              </w:rPr>
              <w:t xml:space="preserve"> the status quo.</w:t>
            </w:r>
            <w:r w:rsidR="004E1CCF" w:rsidRPr="00231D2B">
              <w:rPr>
                <w:lang w:eastAsia="en-AU"/>
              </w:rPr>
              <w:t xml:space="preserve"> </w:t>
            </w:r>
          </w:p>
        </w:tc>
      </w:tr>
      <w:tr w:rsidR="00414D5B" w:rsidRPr="006647C5" w14:paraId="70755E0B" w14:textId="77777777" w:rsidTr="00534579">
        <w:trPr>
          <w:trHeight w:val="180"/>
        </w:trPr>
        <w:tc>
          <w:tcPr>
            <w:tcW w:w="1055" w:type="dxa"/>
            <w:shd w:val="clear" w:color="auto" w:fill="FFFFFF" w:themeFill="background1"/>
            <w:tcMar>
              <w:top w:w="72" w:type="dxa"/>
              <w:left w:w="144" w:type="dxa"/>
              <w:bottom w:w="72" w:type="dxa"/>
              <w:right w:w="144" w:type="dxa"/>
            </w:tcMar>
          </w:tcPr>
          <w:p w14:paraId="49FE25BC" w14:textId="77777777" w:rsidR="00414D5B" w:rsidRPr="006647C5" w:rsidRDefault="00414D5B"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35FA7CD5" w14:textId="79C99E50" w:rsidR="00414D5B" w:rsidRPr="004A234E" w:rsidRDefault="00414D5B" w:rsidP="008A5286">
            <w:pPr>
              <w:pStyle w:val="Heading7"/>
              <w:keepNext w:val="0"/>
              <w:keepLines w:val="0"/>
              <w:rPr>
                <w:lang w:eastAsia="en-AU"/>
              </w:rPr>
            </w:pPr>
            <w:r w:rsidRPr="004A234E">
              <w:rPr>
                <w:lang w:eastAsia="en-AU"/>
              </w:rPr>
              <w:t>Valuing overall</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67F304D" w14:textId="27E57EDC" w:rsidR="00AD2BF8" w:rsidRPr="004A234E" w:rsidRDefault="006F4C2D" w:rsidP="008C10BB">
            <w:pPr>
              <w:spacing w:after="0"/>
              <w:rPr>
                <w:rFonts w:eastAsia="Times New Roman" w:cs="Segoe UI"/>
                <w:sz w:val="20"/>
                <w:szCs w:val="20"/>
                <w:lang w:eastAsia="en-AU"/>
              </w:rPr>
            </w:pPr>
            <w:r>
              <w:rPr>
                <w:rFonts w:eastAsia="Times New Roman" w:cs="Segoe UI"/>
                <w:sz w:val="20"/>
                <w:szCs w:val="20"/>
                <w:lang w:eastAsia="en-AU"/>
              </w:rPr>
              <w:t>C</w:t>
            </w:r>
            <w:r w:rsidR="00B54C7A">
              <w:rPr>
                <w:rFonts w:eastAsia="Times New Roman" w:cs="Segoe UI"/>
                <w:sz w:val="20"/>
                <w:szCs w:val="20"/>
                <w:lang w:eastAsia="en-AU"/>
              </w:rPr>
              <w:t xml:space="preserve">onduct workshops to </w:t>
            </w:r>
            <w:r w:rsidR="00DF128F">
              <w:rPr>
                <w:rFonts w:eastAsia="Times New Roman" w:cs="Segoe UI"/>
                <w:sz w:val="20"/>
                <w:szCs w:val="20"/>
                <w:lang w:eastAsia="en-AU"/>
              </w:rPr>
              <w:t xml:space="preserve">understand </w:t>
            </w:r>
            <w:r w:rsidR="00AD2BF8">
              <w:rPr>
                <w:rFonts w:eastAsia="Times New Roman" w:cs="Segoe UI"/>
                <w:sz w:val="20"/>
                <w:szCs w:val="20"/>
                <w:lang w:eastAsia="en-AU"/>
              </w:rPr>
              <w:t xml:space="preserve">if and where it may be reasonable </w:t>
            </w:r>
            <w:r w:rsidR="00EB2273">
              <w:rPr>
                <w:rFonts w:eastAsia="Times New Roman" w:cs="Segoe UI"/>
                <w:sz w:val="20"/>
                <w:szCs w:val="20"/>
                <w:lang w:eastAsia="en-AU"/>
              </w:rPr>
              <w:t>for HTA committees to accept higher prices</w:t>
            </w:r>
            <w:r w:rsidR="00AD2BF8" w:rsidRPr="004A234E">
              <w:rPr>
                <w:rFonts w:eastAsia="Times New Roman" w:cs="Segoe UI"/>
                <w:sz w:val="20"/>
                <w:szCs w:val="20"/>
                <w:lang w:eastAsia="en-AU"/>
              </w:rPr>
              <w:t xml:space="preserve"> for health technologies </w:t>
            </w:r>
            <w:r w:rsidR="00AD2BF8">
              <w:rPr>
                <w:rFonts w:eastAsia="Times New Roman" w:cs="Segoe UI"/>
                <w:sz w:val="20"/>
                <w:szCs w:val="20"/>
                <w:lang w:eastAsia="en-AU"/>
              </w:rPr>
              <w:t>including</w:t>
            </w:r>
            <w:r w:rsidR="00AD2BF8" w:rsidRPr="004A234E">
              <w:rPr>
                <w:rFonts w:eastAsia="Times New Roman" w:cs="Segoe UI"/>
                <w:sz w:val="20"/>
                <w:szCs w:val="20"/>
                <w:lang w:eastAsia="en-AU"/>
              </w:rPr>
              <w:t xml:space="preserve">: </w:t>
            </w:r>
          </w:p>
          <w:p w14:paraId="386CF874" w14:textId="77777777" w:rsidR="00AD2BF8" w:rsidRDefault="00AD2BF8" w:rsidP="008C10BB">
            <w:pPr>
              <w:pStyle w:val="ListParagraph"/>
              <w:numPr>
                <w:ilvl w:val="0"/>
                <w:numId w:val="26"/>
              </w:numPr>
              <w:spacing w:after="0"/>
              <w:rPr>
                <w:rFonts w:eastAsia="Times New Roman" w:cs="Segoe UI"/>
                <w:sz w:val="20"/>
                <w:szCs w:val="20"/>
                <w:lang w:eastAsia="en-AU"/>
              </w:rPr>
            </w:pPr>
            <w:r>
              <w:rPr>
                <w:rFonts w:eastAsia="Times New Roman" w:cs="Segoe UI"/>
                <w:sz w:val="20"/>
                <w:szCs w:val="20"/>
                <w:lang w:eastAsia="en-AU"/>
              </w:rPr>
              <w:t>in what circumstances</w:t>
            </w:r>
          </w:p>
          <w:p w14:paraId="478444FE" w14:textId="77777777" w:rsidR="00AD2BF8" w:rsidRPr="004A234E" w:rsidRDefault="00AD2BF8" w:rsidP="008C10BB">
            <w:pPr>
              <w:pStyle w:val="ListParagraph"/>
              <w:numPr>
                <w:ilvl w:val="0"/>
                <w:numId w:val="26"/>
              </w:numPr>
              <w:spacing w:after="0"/>
              <w:rPr>
                <w:rFonts w:eastAsia="Times New Roman" w:cs="Segoe UI"/>
                <w:sz w:val="20"/>
                <w:szCs w:val="20"/>
                <w:lang w:eastAsia="en-AU"/>
              </w:rPr>
            </w:pPr>
            <w:r w:rsidRPr="004A234E">
              <w:rPr>
                <w:rFonts w:eastAsia="Times New Roman" w:cs="Segoe UI"/>
                <w:sz w:val="20"/>
                <w:szCs w:val="20"/>
                <w:lang w:eastAsia="en-AU"/>
              </w:rPr>
              <w:t>for what benefit</w:t>
            </w:r>
          </w:p>
          <w:p w14:paraId="780045DE" w14:textId="4798B063" w:rsidR="00CC45FE" w:rsidRDefault="00AD2BF8" w:rsidP="008C10BB">
            <w:pPr>
              <w:pStyle w:val="ListParagraph"/>
              <w:numPr>
                <w:ilvl w:val="0"/>
                <w:numId w:val="26"/>
              </w:numPr>
              <w:spacing w:after="0"/>
              <w:rPr>
                <w:rFonts w:eastAsia="Times New Roman" w:cs="Segoe UI"/>
                <w:sz w:val="20"/>
                <w:szCs w:val="20"/>
                <w:lang w:eastAsia="en-AU"/>
              </w:rPr>
            </w:pPr>
            <w:r w:rsidRPr="00CC45FE">
              <w:rPr>
                <w:rFonts w:eastAsia="Times New Roman" w:cs="Segoe UI"/>
                <w:sz w:val="20"/>
                <w:szCs w:val="20"/>
                <w:lang w:eastAsia="en-AU"/>
              </w:rPr>
              <w:t xml:space="preserve">how much greater cost would be reasonable to secure that </w:t>
            </w:r>
            <w:proofErr w:type="gramStart"/>
            <w:r w:rsidRPr="00CC45FE">
              <w:rPr>
                <w:rFonts w:eastAsia="Times New Roman" w:cs="Segoe UI"/>
                <w:sz w:val="20"/>
                <w:szCs w:val="20"/>
                <w:lang w:eastAsia="en-AU"/>
              </w:rPr>
              <w:t>benefit</w:t>
            </w:r>
            <w:proofErr w:type="gramEnd"/>
          </w:p>
          <w:p w14:paraId="407C353D" w14:textId="4E8FA6D6" w:rsidR="00EE6FAF" w:rsidRDefault="00AD2BF8" w:rsidP="008C10BB">
            <w:pPr>
              <w:pStyle w:val="ListParagraph"/>
              <w:numPr>
                <w:ilvl w:val="0"/>
                <w:numId w:val="26"/>
              </w:numPr>
              <w:spacing w:after="0"/>
              <w:rPr>
                <w:rFonts w:eastAsia="Times New Roman" w:cs="Segoe UI"/>
                <w:sz w:val="20"/>
                <w:szCs w:val="20"/>
                <w:lang w:eastAsia="en-AU"/>
              </w:rPr>
            </w:pPr>
            <w:r w:rsidRPr="00CC45FE">
              <w:rPr>
                <w:rFonts w:eastAsia="Times New Roman" w:cs="Segoe UI"/>
                <w:sz w:val="20"/>
                <w:szCs w:val="20"/>
                <w:lang w:eastAsia="en-AU"/>
              </w:rPr>
              <w:t xml:space="preserve">how confident do we need to be that we will be securing that </w:t>
            </w:r>
            <w:proofErr w:type="gramStart"/>
            <w:r w:rsidRPr="00CC45FE">
              <w:rPr>
                <w:rFonts w:eastAsia="Times New Roman" w:cs="Segoe UI"/>
                <w:sz w:val="20"/>
                <w:szCs w:val="20"/>
                <w:lang w:eastAsia="en-AU"/>
              </w:rPr>
              <w:t>benefit</w:t>
            </w:r>
            <w:proofErr w:type="gramEnd"/>
          </w:p>
          <w:p w14:paraId="753D21BD" w14:textId="4E67181B" w:rsidR="00B00636" w:rsidRPr="00CC45FE" w:rsidRDefault="008403DF" w:rsidP="008C10BB">
            <w:pPr>
              <w:pStyle w:val="ListParagraph"/>
              <w:numPr>
                <w:ilvl w:val="0"/>
                <w:numId w:val="26"/>
              </w:numPr>
              <w:rPr>
                <w:rFonts w:eastAsia="Times New Roman" w:cs="Segoe UI"/>
                <w:sz w:val="20"/>
                <w:szCs w:val="20"/>
                <w:lang w:eastAsia="en-AU"/>
              </w:rPr>
            </w:pPr>
            <w:r>
              <w:rPr>
                <w:rFonts w:eastAsia="Times New Roman" w:cs="Segoe UI"/>
                <w:sz w:val="20"/>
                <w:szCs w:val="20"/>
                <w:lang w:eastAsia="en-AU"/>
              </w:rPr>
              <w:t xml:space="preserve">what measures would be appropriate to offset the </w:t>
            </w:r>
            <w:r w:rsidR="0062233D">
              <w:rPr>
                <w:rFonts w:eastAsia="Times New Roman" w:cs="Segoe UI"/>
                <w:sz w:val="20"/>
                <w:szCs w:val="20"/>
                <w:lang w:eastAsia="en-AU"/>
              </w:rPr>
              <w:t xml:space="preserve">higher costs over a product’s lifecycle. </w:t>
            </w:r>
          </w:p>
          <w:p w14:paraId="4B72E9BB" w14:textId="77777777" w:rsidR="00414D5B" w:rsidRDefault="00CC45FE" w:rsidP="008C10BB">
            <w:pPr>
              <w:rPr>
                <w:rFonts w:eastAsia="Times New Roman" w:cs="Segoe UI"/>
                <w:sz w:val="20"/>
                <w:szCs w:val="20"/>
                <w:lang w:eastAsia="en-AU"/>
              </w:rPr>
            </w:pPr>
            <w:r>
              <w:rPr>
                <w:rFonts w:eastAsia="Times New Roman" w:cs="Segoe UI"/>
                <w:sz w:val="20"/>
                <w:szCs w:val="20"/>
                <w:lang w:eastAsia="en-AU"/>
              </w:rPr>
              <w:t xml:space="preserve">To ensure </w:t>
            </w:r>
            <w:r w:rsidR="00BC489A">
              <w:rPr>
                <w:rFonts w:eastAsia="Times New Roman" w:cs="Segoe UI"/>
                <w:sz w:val="20"/>
                <w:szCs w:val="20"/>
                <w:lang w:eastAsia="en-AU"/>
              </w:rPr>
              <w:t>the sentiment captured through the workshops</w:t>
            </w:r>
            <w:r w:rsidR="009B764C">
              <w:rPr>
                <w:rFonts w:eastAsia="Times New Roman" w:cs="Segoe UI"/>
                <w:sz w:val="20"/>
                <w:szCs w:val="20"/>
                <w:lang w:eastAsia="en-AU"/>
              </w:rPr>
              <w:t xml:space="preserve"> are</w:t>
            </w:r>
            <w:r w:rsidR="00F469B4">
              <w:rPr>
                <w:rFonts w:eastAsia="Times New Roman" w:cs="Segoe UI"/>
                <w:sz w:val="20"/>
                <w:szCs w:val="20"/>
                <w:lang w:eastAsia="en-AU"/>
              </w:rPr>
              <w:t xml:space="preserve"> representative of </w:t>
            </w:r>
            <w:r w:rsidR="00C74152">
              <w:rPr>
                <w:rFonts w:eastAsia="Times New Roman" w:cs="Segoe UI"/>
                <w:sz w:val="20"/>
                <w:szCs w:val="20"/>
                <w:lang w:eastAsia="en-AU"/>
              </w:rPr>
              <w:t xml:space="preserve">the </w:t>
            </w:r>
            <w:r w:rsidR="00BC489A">
              <w:rPr>
                <w:rFonts w:eastAsia="Times New Roman" w:cs="Segoe UI"/>
                <w:sz w:val="20"/>
                <w:szCs w:val="20"/>
                <w:lang w:eastAsia="en-AU"/>
              </w:rPr>
              <w:t xml:space="preserve">Australian </w:t>
            </w:r>
            <w:r w:rsidR="00C74152">
              <w:rPr>
                <w:rFonts w:eastAsia="Times New Roman" w:cs="Segoe UI"/>
                <w:sz w:val="20"/>
                <w:szCs w:val="20"/>
                <w:lang w:eastAsia="en-AU"/>
              </w:rPr>
              <w:t>population</w:t>
            </w:r>
            <w:r w:rsidR="005F6E96">
              <w:rPr>
                <w:rFonts w:eastAsia="Times New Roman" w:cs="Segoe UI"/>
                <w:sz w:val="20"/>
                <w:szCs w:val="20"/>
                <w:lang w:eastAsia="en-AU"/>
              </w:rPr>
              <w:t>,</w:t>
            </w:r>
            <w:r w:rsidR="008609F4">
              <w:rPr>
                <w:rFonts w:eastAsia="Times New Roman" w:cs="Segoe UI"/>
                <w:sz w:val="20"/>
                <w:szCs w:val="20"/>
                <w:lang w:eastAsia="en-AU"/>
              </w:rPr>
              <w:t xml:space="preserve"> workshops / consultation</w:t>
            </w:r>
            <w:r w:rsidR="005F6E96">
              <w:rPr>
                <w:rFonts w:eastAsia="Times New Roman" w:cs="Segoe UI"/>
                <w:sz w:val="20"/>
                <w:szCs w:val="20"/>
                <w:lang w:eastAsia="en-AU"/>
              </w:rPr>
              <w:t xml:space="preserve"> should include a population representative sample </w:t>
            </w:r>
            <w:r w:rsidR="004F7498">
              <w:rPr>
                <w:rFonts w:eastAsia="Times New Roman" w:cs="Segoe UI"/>
                <w:sz w:val="20"/>
                <w:szCs w:val="20"/>
                <w:lang w:eastAsia="en-AU"/>
              </w:rPr>
              <w:t>(</w:t>
            </w:r>
            <w:r w:rsidR="005E5830">
              <w:rPr>
                <w:rFonts w:eastAsia="Times New Roman" w:cs="Segoe UI"/>
                <w:sz w:val="20"/>
                <w:szCs w:val="20"/>
                <w:lang w:eastAsia="en-AU"/>
              </w:rPr>
              <w:t xml:space="preserve">including representation of key stakeholder groups) </w:t>
            </w:r>
            <w:r w:rsidR="00DB4142">
              <w:rPr>
                <w:rFonts w:eastAsia="Times New Roman" w:cs="Segoe UI"/>
                <w:sz w:val="20"/>
                <w:szCs w:val="20"/>
                <w:lang w:eastAsia="en-AU"/>
              </w:rPr>
              <w:t xml:space="preserve">and </w:t>
            </w:r>
            <w:r w:rsidR="00ED2DFE">
              <w:rPr>
                <w:rFonts w:eastAsia="Times New Roman" w:cs="Segoe UI"/>
                <w:sz w:val="20"/>
                <w:szCs w:val="20"/>
                <w:lang w:eastAsia="en-AU"/>
              </w:rPr>
              <w:t xml:space="preserve">ensure measurement is </w:t>
            </w:r>
            <w:r w:rsidR="00C03C8A">
              <w:rPr>
                <w:rFonts w:eastAsia="Times New Roman" w:cs="Segoe UI"/>
                <w:sz w:val="20"/>
                <w:szCs w:val="20"/>
                <w:lang w:eastAsia="en-AU"/>
              </w:rPr>
              <w:t>free from</w:t>
            </w:r>
            <w:r w:rsidR="002E1FDD">
              <w:rPr>
                <w:rFonts w:eastAsia="Times New Roman" w:cs="Segoe UI"/>
                <w:sz w:val="20"/>
                <w:szCs w:val="20"/>
                <w:lang w:eastAsia="en-AU"/>
              </w:rPr>
              <w:t xml:space="preserve"> </w:t>
            </w:r>
            <w:r w:rsidR="00C03C8A">
              <w:rPr>
                <w:rFonts w:eastAsia="Times New Roman" w:cs="Segoe UI"/>
                <w:sz w:val="20"/>
                <w:szCs w:val="20"/>
                <w:lang w:eastAsia="en-AU"/>
              </w:rPr>
              <w:t xml:space="preserve">selection bias. </w:t>
            </w:r>
          </w:p>
          <w:p w14:paraId="6593C18E" w14:textId="36061571" w:rsidR="00414D5B" w:rsidRPr="004A234E" w:rsidRDefault="006F4C2D" w:rsidP="008C10BB">
            <w:pPr>
              <w:spacing w:after="0"/>
              <w:rPr>
                <w:rFonts w:eastAsia="Times New Roman" w:cs="Segoe UI"/>
                <w:sz w:val="20"/>
                <w:szCs w:val="20"/>
                <w:lang w:eastAsia="en-AU"/>
              </w:rPr>
            </w:pPr>
            <w:r>
              <w:rPr>
                <w:rFonts w:eastAsia="Times New Roman" w:cs="Segoe UI"/>
                <w:sz w:val="20"/>
                <w:szCs w:val="20"/>
                <w:lang w:eastAsia="en-AU"/>
              </w:rPr>
              <w:t>Worksh</w:t>
            </w:r>
            <w:r w:rsidR="0022255A">
              <w:rPr>
                <w:rFonts w:eastAsia="Times New Roman" w:cs="Segoe UI"/>
                <w:sz w:val="20"/>
                <w:szCs w:val="20"/>
                <w:lang w:eastAsia="en-AU"/>
              </w:rPr>
              <w:t>o</w:t>
            </w:r>
            <w:r>
              <w:rPr>
                <w:rFonts w:eastAsia="Times New Roman" w:cs="Segoe UI"/>
                <w:sz w:val="20"/>
                <w:szCs w:val="20"/>
                <w:lang w:eastAsia="en-AU"/>
              </w:rPr>
              <w:t>ps could also be assisted through u</w:t>
            </w:r>
            <w:r w:rsidR="00272551">
              <w:rPr>
                <w:rFonts w:eastAsia="Times New Roman" w:cs="Segoe UI"/>
                <w:sz w:val="20"/>
                <w:szCs w:val="20"/>
                <w:lang w:eastAsia="en-AU"/>
              </w:rPr>
              <w:t>s</w:t>
            </w:r>
            <w:r>
              <w:rPr>
                <w:rFonts w:eastAsia="Times New Roman" w:cs="Segoe UI"/>
                <w:sz w:val="20"/>
                <w:szCs w:val="20"/>
                <w:lang w:eastAsia="en-AU"/>
              </w:rPr>
              <w:t>e</w:t>
            </w:r>
            <w:r w:rsidR="00272551">
              <w:rPr>
                <w:rFonts w:eastAsia="Times New Roman" w:cs="Segoe UI"/>
                <w:sz w:val="20"/>
                <w:szCs w:val="20"/>
                <w:lang w:eastAsia="en-AU"/>
              </w:rPr>
              <w:t xml:space="preserve"> </w:t>
            </w:r>
            <w:r>
              <w:rPr>
                <w:rFonts w:eastAsia="Times New Roman" w:cs="Segoe UI"/>
                <w:sz w:val="20"/>
                <w:szCs w:val="20"/>
                <w:lang w:eastAsia="en-AU"/>
              </w:rPr>
              <w:t>of</w:t>
            </w:r>
            <w:r w:rsidR="00272551">
              <w:rPr>
                <w:rFonts w:eastAsia="Times New Roman" w:cs="Segoe UI"/>
                <w:sz w:val="20"/>
                <w:szCs w:val="20"/>
                <w:lang w:eastAsia="en-AU"/>
              </w:rPr>
              <w:t xml:space="preserve"> the explicit qualitative value framework</w:t>
            </w:r>
            <w:r w:rsidR="00272551">
              <w:rPr>
                <w:rFonts w:eastAsia="Times New Roman" w:cs="Segoe UI"/>
                <w:sz w:val="20"/>
                <w:szCs w:val="20"/>
                <w:lang w:eastAsia="en-AU"/>
              </w:rPr>
              <w:fldChar w:fldCharType="begin"/>
            </w:r>
            <w:r w:rsidR="00272551">
              <w:instrText xml:space="preserve"> XE "</w:instrText>
            </w:r>
            <w:r w:rsidR="00272551" w:rsidRPr="009F39D2">
              <w:rPr>
                <w:rFonts w:eastAsia="Arial" w:cs="Arial"/>
                <w:color w:val="000000" w:themeColor="text1"/>
                <w:szCs w:val="22"/>
              </w:rPr>
              <w:instrText>value framework</w:instrText>
            </w:r>
            <w:r w:rsidR="00272551">
              <w:instrText xml:space="preserve">" \b </w:instrText>
            </w:r>
            <w:r w:rsidR="00272551">
              <w:rPr>
                <w:rFonts w:eastAsia="Times New Roman" w:cs="Segoe UI"/>
                <w:sz w:val="20"/>
                <w:szCs w:val="20"/>
                <w:lang w:eastAsia="en-AU"/>
              </w:rPr>
              <w:fldChar w:fldCharType="end"/>
            </w:r>
            <w:r w:rsidR="00272551">
              <w:rPr>
                <w:rFonts w:eastAsia="Times New Roman" w:cs="Segoe UI"/>
                <w:sz w:val="20"/>
                <w:szCs w:val="20"/>
                <w:lang w:eastAsia="en-AU"/>
              </w:rPr>
              <w:t xml:space="preserve"> proposed above </w:t>
            </w:r>
            <w:r w:rsidR="00B2579E">
              <w:rPr>
                <w:rFonts w:eastAsia="Times New Roman" w:cs="Segoe UI"/>
                <w:sz w:val="20"/>
                <w:szCs w:val="20"/>
                <w:lang w:eastAsia="en-AU"/>
              </w:rPr>
              <w:t xml:space="preserve">(see </w:t>
            </w:r>
            <w:hyperlink w:anchor="_Develop_an_explicit" w:history="1">
              <w:r w:rsidR="00B2579E" w:rsidRPr="00B2579E">
                <w:rPr>
                  <w:rStyle w:val="Hyperlink"/>
                  <w:rFonts w:eastAsia="Times New Roman" w:cs="Segoe UI"/>
                  <w:sz w:val="20"/>
                  <w:szCs w:val="20"/>
                  <w:lang w:eastAsia="en-AU"/>
                </w:rPr>
                <w:t>Develop an explicit qualitative value framework</w:t>
              </w:r>
            </w:hyperlink>
            <w:r w:rsidR="00B2579E">
              <w:rPr>
                <w:rFonts w:eastAsia="Times New Roman" w:cs="Segoe UI"/>
                <w:sz w:val="20"/>
                <w:szCs w:val="20"/>
                <w:lang w:eastAsia="en-AU"/>
              </w:rPr>
              <w:t xml:space="preserve">). </w:t>
            </w:r>
          </w:p>
        </w:tc>
      </w:tr>
      <w:tr w:rsidR="000C7F7A" w:rsidRPr="006647C5" w14:paraId="7F22225D" w14:textId="77777777" w:rsidTr="00C93D28">
        <w:trPr>
          <w:trHeight w:val="226"/>
        </w:trPr>
        <w:tc>
          <w:tcPr>
            <w:tcW w:w="15735" w:type="dxa"/>
            <w:gridSpan w:val="5"/>
            <w:tcBorders>
              <w:top w:val="single" w:sz="4" w:space="0" w:color="008A96" w:themeColor="accent3"/>
              <w:bottom w:val="single" w:sz="4" w:space="0" w:color="E7E6E6" w:themeColor="background2"/>
            </w:tcBorders>
            <w:shd w:val="clear" w:color="auto" w:fill="FFFFFF" w:themeFill="background1"/>
            <w:tcMar>
              <w:top w:w="72" w:type="dxa"/>
              <w:left w:w="144" w:type="dxa"/>
              <w:bottom w:w="72" w:type="dxa"/>
              <w:right w:w="144" w:type="dxa"/>
            </w:tcMar>
          </w:tcPr>
          <w:p w14:paraId="15E3837C" w14:textId="6F9CFE01" w:rsidR="000C7F7A" w:rsidRPr="0071614A" w:rsidRDefault="0071614A" w:rsidP="0071614A">
            <w:pPr>
              <w:pStyle w:val="ListParagraph"/>
              <w:numPr>
                <w:ilvl w:val="0"/>
                <w:numId w:val="35"/>
              </w:numPr>
              <w:spacing w:after="0"/>
              <w:ind w:left="215" w:hanging="357"/>
              <w:rPr>
                <w:color w:val="008A96" w:themeColor="accent3"/>
              </w:rPr>
            </w:pPr>
            <w:r w:rsidRPr="0071614A">
              <w:rPr>
                <w:color w:val="008A96" w:themeColor="accent3"/>
              </w:rPr>
              <w:t>Health technology funding and purchasing approaches and managing uncertainty</w:t>
            </w:r>
          </w:p>
        </w:tc>
      </w:tr>
      <w:tr w:rsidR="00B65905" w:rsidRPr="006647C5" w14:paraId="3BF5F4A0" w14:textId="77777777" w:rsidTr="00C93D28">
        <w:trPr>
          <w:trHeight w:val="447"/>
        </w:trPr>
        <w:tc>
          <w:tcPr>
            <w:tcW w:w="15735" w:type="dxa"/>
            <w:gridSpan w:val="5"/>
            <w:tcBorders>
              <w:top w:val="single" w:sz="4" w:space="0" w:color="E7E6E6" w:themeColor="background2"/>
            </w:tcBorders>
            <w:shd w:val="clear" w:color="auto" w:fill="FFFFFF" w:themeFill="background1"/>
            <w:tcMar>
              <w:top w:w="72" w:type="dxa"/>
              <w:left w:w="144" w:type="dxa"/>
              <w:bottom w:w="72" w:type="dxa"/>
              <w:right w:w="144" w:type="dxa"/>
            </w:tcMar>
          </w:tcPr>
          <w:p w14:paraId="74D20780" w14:textId="66D69C6D" w:rsidR="00B65905" w:rsidRPr="0075292E" w:rsidRDefault="008A5286" w:rsidP="008505D7">
            <w:pPr>
              <w:pStyle w:val="Heading6"/>
              <w:numPr>
                <w:ilvl w:val="1"/>
                <w:numId w:val="35"/>
              </w:numPr>
              <w:ind w:left="274"/>
              <w:rPr>
                <w:rFonts w:eastAsia="Times New Roman" w:cs="Segoe UI"/>
                <w:color w:val="222A35"/>
                <w:kern w:val="24"/>
              </w:rPr>
            </w:pPr>
            <w:r w:rsidRPr="009D14F6">
              <w:rPr>
                <w:color w:val="1D437F" w:themeColor="accent1"/>
              </w:rPr>
              <w:t>Approaches to funding or purchasing new health technologies</w:t>
            </w:r>
          </w:p>
        </w:tc>
      </w:tr>
      <w:tr w:rsidR="00385833" w:rsidRPr="006647C5" w14:paraId="39A96CEF" w14:textId="77777777" w:rsidTr="00534579">
        <w:trPr>
          <w:trHeight w:val="775"/>
        </w:trPr>
        <w:tc>
          <w:tcPr>
            <w:tcW w:w="1055" w:type="dxa"/>
            <w:shd w:val="clear" w:color="auto" w:fill="FFFFFF" w:themeFill="background1"/>
            <w:tcMar>
              <w:top w:w="72" w:type="dxa"/>
              <w:left w:w="144" w:type="dxa"/>
              <w:bottom w:w="72" w:type="dxa"/>
              <w:right w:w="144" w:type="dxa"/>
            </w:tcMar>
          </w:tcPr>
          <w:p w14:paraId="3045D670" w14:textId="77777777" w:rsidR="00385833" w:rsidRPr="00A32D81" w:rsidRDefault="00385833"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02405E6F" w14:textId="55F452C2" w:rsidR="00385833" w:rsidRPr="00395D5F" w:rsidRDefault="00385833" w:rsidP="008A5286">
            <w:pPr>
              <w:pStyle w:val="Heading7"/>
              <w:keepNext w:val="0"/>
              <w:keepLines w:val="0"/>
              <w:rPr>
                <w:lang w:eastAsia="en-AU"/>
              </w:rPr>
            </w:pPr>
            <w:r w:rsidRPr="00395D5F">
              <w:rPr>
                <w:lang w:eastAsia="en-AU"/>
              </w:rPr>
              <w:t>Recognising competition between new health technologies that deliver similar outcomes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7F7A049E" w14:textId="1D34E743" w:rsidR="00323468" w:rsidRDefault="00C24573" w:rsidP="008C10BB">
            <w:pPr>
              <w:spacing w:after="0"/>
              <w:rPr>
                <w:rFonts w:eastAsia="Times New Roman" w:cs="Segoe UI"/>
                <w:kern w:val="24"/>
                <w:sz w:val="20"/>
                <w:szCs w:val="20"/>
                <w:lang w:eastAsia="en-AU"/>
              </w:rPr>
            </w:pPr>
            <w:r>
              <w:rPr>
                <w:rFonts w:eastAsia="Times New Roman" w:cs="Segoe UI"/>
                <w:kern w:val="24"/>
                <w:sz w:val="20"/>
                <w:szCs w:val="20"/>
                <w:lang w:eastAsia="en-AU"/>
              </w:rPr>
              <w:t>Alternative</w:t>
            </w:r>
            <w:r w:rsidR="00323468">
              <w:rPr>
                <w:rFonts w:eastAsia="Times New Roman" w:cs="Segoe UI"/>
                <w:kern w:val="24"/>
                <w:sz w:val="20"/>
                <w:szCs w:val="20"/>
                <w:lang w:eastAsia="en-AU"/>
              </w:rPr>
              <w:t xml:space="preserve"> option 1: </w:t>
            </w:r>
          </w:p>
          <w:p w14:paraId="73D69599" w14:textId="28C6F4E2" w:rsidR="00385833" w:rsidRDefault="00B31A83" w:rsidP="008C10BB">
            <w:pPr>
              <w:spacing w:after="0"/>
              <w:rPr>
                <w:rFonts w:eastAsia="Times New Roman" w:cs="Segoe UI"/>
                <w:kern w:val="24"/>
                <w:sz w:val="20"/>
                <w:szCs w:val="20"/>
                <w:lang w:eastAsia="en-AU"/>
              </w:rPr>
            </w:pPr>
            <w:r>
              <w:rPr>
                <w:rFonts w:eastAsia="Times New Roman" w:cs="Segoe UI"/>
                <w:kern w:val="24"/>
                <w:sz w:val="20"/>
                <w:szCs w:val="20"/>
                <w:lang w:eastAsia="en-AU"/>
              </w:rPr>
              <w:t xml:space="preserve">In </w:t>
            </w:r>
            <w:r w:rsidR="00AB40B6">
              <w:rPr>
                <w:rFonts w:eastAsia="Times New Roman" w:cs="Segoe UI"/>
                <w:kern w:val="24"/>
                <w:sz w:val="20"/>
                <w:szCs w:val="20"/>
                <w:lang w:eastAsia="en-AU"/>
              </w:rPr>
              <w:t>conjunction with options for proportionate assessment</w:t>
            </w:r>
            <w:r w:rsidR="009F5C5B">
              <w:rPr>
                <w:rFonts w:eastAsia="Times New Roman" w:cs="Segoe UI"/>
                <w:kern w:val="24"/>
                <w:sz w:val="20"/>
                <w:szCs w:val="20"/>
                <w:lang w:eastAsia="en-AU"/>
              </w:rPr>
              <w:fldChar w:fldCharType="begin"/>
            </w:r>
            <w:r w:rsidR="009F5C5B">
              <w:instrText xml:space="preserve"> XE "</w:instrText>
            </w:r>
            <w:r w:rsidR="009F5C5B" w:rsidRPr="004B710D">
              <w:rPr>
                <w:rFonts w:eastAsia="Times New Roman" w:cs="Segoe UI"/>
                <w:kern w:val="24"/>
                <w:sz w:val="20"/>
                <w:szCs w:val="20"/>
                <w:lang w:eastAsia="en-AU"/>
              </w:rPr>
              <w:instrText xml:space="preserve">proportionate </w:instrText>
            </w:r>
            <w:proofErr w:type="spellStart"/>
            <w:r w:rsidR="009F5C5B" w:rsidRPr="004B710D">
              <w:rPr>
                <w:rFonts w:eastAsia="Times New Roman" w:cs="Segoe UI"/>
                <w:kern w:val="24"/>
                <w:lang w:eastAsia="en-AU"/>
              </w:rPr>
              <w:instrText>appraisal</w:instrText>
            </w:r>
            <w:r w:rsidR="009F5C5B" w:rsidRPr="004B710D">
              <w:rPr>
                <w:rFonts w:eastAsia="Times New Roman" w:cs="Segoe UI"/>
                <w:kern w:val="24"/>
              </w:rPr>
              <w:instrText>:</w:instrText>
            </w:r>
            <w:r w:rsidR="009F5C5B" w:rsidRPr="004B710D">
              <w:instrText>proportionate</w:instrText>
            </w:r>
            <w:proofErr w:type="spellEnd"/>
            <w:r w:rsidR="009F5C5B" w:rsidRPr="004B710D">
              <w:instrText xml:space="preserve"> assessment</w:instrText>
            </w:r>
            <w:r w:rsidR="009F5C5B">
              <w:instrText xml:space="preserve">" </w:instrText>
            </w:r>
            <w:r w:rsidR="009F5C5B">
              <w:rPr>
                <w:rFonts w:eastAsia="Times New Roman" w:cs="Segoe UI"/>
                <w:kern w:val="24"/>
                <w:sz w:val="20"/>
                <w:szCs w:val="20"/>
                <w:lang w:eastAsia="en-AU"/>
              </w:rPr>
              <w:fldChar w:fldCharType="end"/>
            </w:r>
            <w:r w:rsidR="00AB40B6">
              <w:rPr>
                <w:rFonts w:eastAsia="Times New Roman" w:cs="Segoe UI"/>
                <w:kern w:val="24"/>
                <w:sz w:val="20"/>
                <w:szCs w:val="20"/>
                <w:lang w:eastAsia="en-AU"/>
              </w:rPr>
              <w:t xml:space="preserve"> of cost-minimisation</w:t>
            </w:r>
            <w:r w:rsidR="007A17DF">
              <w:rPr>
                <w:rFonts w:eastAsia="Times New Roman" w:cs="Segoe UI"/>
                <w:kern w:val="24"/>
                <w:sz w:val="20"/>
                <w:szCs w:val="20"/>
                <w:lang w:eastAsia="en-AU"/>
              </w:rPr>
              <w:fldChar w:fldCharType="begin"/>
            </w:r>
            <w:r w:rsidR="007A17DF" w:rsidRPr="00DB623D">
              <w:rPr>
                <w:rFonts w:eastAsia="Times New Roman" w:cs="Segoe UI"/>
                <w:kern w:val="24"/>
                <w:sz w:val="20"/>
                <w:szCs w:val="20"/>
                <w:lang w:eastAsia="en-AU"/>
              </w:rPr>
              <w:instrText xml:space="preserve"> XE "cost-minimisation" \b </w:instrText>
            </w:r>
            <w:r w:rsidR="007A17DF">
              <w:rPr>
                <w:rFonts w:eastAsia="Times New Roman" w:cs="Segoe UI"/>
                <w:kern w:val="24"/>
                <w:sz w:val="20"/>
                <w:szCs w:val="20"/>
                <w:lang w:eastAsia="en-AU"/>
              </w:rPr>
              <w:fldChar w:fldCharType="end"/>
            </w:r>
            <w:r w:rsidR="00AB40B6">
              <w:rPr>
                <w:rFonts w:eastAsia="Times New Roman" w:cs="Segoe UI"/>
                <w:kern w:val="24"/>
                <w:sz w:val="20"/>
                <w:szCs w:val="20"/>
                <w:lang w:eastAsia="en-AU"/>
              </w:rPr>
              <w:t xml:space="preserve"> </w:t>
            </w:r>
            <w:r w:rsidR="00DE259C" w:rsidRPr="004E1E2C">
              <w:rPr>
                <w:rFonts w:eastAsia="Times New Roman" w:cs="Segoe UI"/>
                <w:kern w:val="24"/>
                <w:sz w:val="20"/>
                <w:szCs w:val="20"/>
                <w:lang w:eastAsia="en-AU"/>
              </w:rPr>
              <w:t xml:space="preserve">submissions </w:t>
            </w:r>
            <w:r w:rsidR="0081090A">
              <w:rPr>
                <w:rFonts w:eastAsia="Times New Roman" w:cs="Segoe UI"/>
                <w:kern w:val="24"/>
                <w:sz w:val="20"/>
                <w:szCs w:val="20"/>
                <w:lang w:eastAsia="en-AU"/>
              </w:rPr>
              <w:t xml:space="preserve">(see </w:t>
            </w:r>
            <w:hyperlink w:anchor="_Options_–_Proportionate" w:history="1">
              <w:r w:rsidR="00527CD1" w:rsidRPr="0081090A">
                <w:rPr>
                  <w:rStyle w:val="Hyperlink"/>
                  <w:rFonts w:eastAsia="Times New Roman" w:cs="Segoe UI"/>
                  <w:kern w:val="24"/>
                  <w:sz w:val="20"/>
                  <w:szCs w:val="20"/>
                  <w:lang w:eastAsia="en-AU"/>
                </w:rPr>
                <w:t>Proportionate appraisal pathways</w:t>
              </w:r>
            </w:hyperlink>
            <w:r w:rsidR="0081090A">
              <w:rPr>
                <w:rFonts w:eastAsia="Times New Roman" w:cs="Segoe UI"/>
                <w:kern w:val="24"/>
                <w:sz w:val="20"/>
                <w:szCs w:val="20"/>
                <w:lang w:eastAsia="en-AU"/>
              </w:rPr>
              <w:t>)</w:t>
            </w:r>
            <w:r w:rsidR="00AB40B6" w:rsidRPr="001678F4">
              <w:rPr>
                <w:rFonts w:eastAsia="Times New Roman" w:cs="Segoe UI"/>
                <w:kern w:val="24"/>
                <w:sz w:val="20"/>
                <w:szCs w:val="20"/>
                <w:lang w:eastAsia="en-AU"/>
              </w:rPr>
              <w:t>,</w:t>
            </w:r>
            <w:r w:rsidR="00AB40B6">
              <w:rPr>
                <w:rFonts w:eastAsia="Times New Roman" w:cs="Segoe UI"/>
                <w:kern w:val="24"/>
                <w:sz w:val="20"/>
                <w:szCs w:val="20"/>
                <w:lang w:eastAsia="en-AU"/>
              </w:rPr>
              <w:t xml:space="preserve"> r</w:t>
            </w:r>
            <w:r w:rsidR="00385833" w:rsidRPr="00395D5F">
              <w:rPr>
                <w:rFonts w:eastAsia="Times New Roman" w:cs="Segoe UI"/>
                <w:kern w:val="24"/>
                <w:sz w:val="20"/>
                <w:szCs w:val="20"/>
                <w:lang w:eastAsia="en-AU"/>
              </w:rPr>
              <w:t xml:space="preserve">equire offers of a lower price for </w:t>
            </w:r>
            <w:r w:rsidR="005D4F9A">
              <w:rPr>
                <w:rFonts w:eastAsia="Times New Roman" w:cs="Segoe UI"/>
                <w:kern w:val="24"/>
                <w:sz w:val="20"/>
                <w:szCs w:val="20"/>
                <w:lang w:eastAsia="en-AU"/>
              </w:rPr>
              <w:t>health technologies that provide no added benefit</w:t>
            </w:r>
            <w:r w:rsidR="00385833" w:rsidRPr="00DB623D">
              <w:rPr>
                <w:rFonts w:eastAsia="Times New Roman" w:cs="Segoe UI"/>
                <w:kern w:val="24"/>
                <w:sz w:val="20"/>
                <w:szCs w:val="20"/>
                <w:lang w:eastAsia="en-AU"/>
              </w:rPr>
              <w:t>.</w:t>
            </w:r>
            <w:r w:rsidR="00385833" w:rsidRPr="00395D5F">
              <w:rPr>
                <w:rFonts w:eastAsia="Times New Roman" w:cs="Segoe UI"/>
                <w:kern w:val="24"/>
                <w:sz w:val="20"/>
                <w:szCs w:val="20"/>
                <w:lang w:eastAsia="en-AU"/>
              </w:rPr>
              <w:t xml:space="preserve"> New therapies that offer no advantage in terms of improved efficacy or safety</w:t>
            </w:r>
            <w:r w:rsidR="79896A34" w:rsidRPr="0511E89F">
              <w:rPr>
                <w:rFonts w:eastAsia="Times New Roman" w:cs="Segoe UI"/>
                <w:sz w:val="20"/>
                <w:szCs w:val="20"/>
                <w:lang w:eastAsia="en-AU"/>
              </w:rPr>
              <w:t xml:space="preserve"> (</w:t>
            </w:r>
            <w:proofErr w:type="gramStart"/>
            <w:r w:rsidR="79896A34" w:rsidRPr="0511E89F">
              <w:rPr>
                <w:rFonts w:eastAsia="Times New Roman" w:cs="Segoe UI"/>
                <w:sz w:val="20"/>
                <w:szCs w:val="20"/>
                <w:lang w:eastAsia="en-AU"/>
              </w:rPr>
              <w:t>i</w:t>
            </w:r>
            <w:r w:rsidR="003C2AF1">
              <w:rPr>
                <w:rFonts w:eastAsia="Times New Roman" w:cs="Segoe UI"/>
                <w:sz w:val="20"/>
                <w:szCs w:val="20"/>
                <w:lang w:eastAsia="en-AU"/>
              </w:rPr>
              <w:t>.</w:t>
            </w:r>
            <w:r w:rsidR="79896A34" w:rsidRPr="0511E89F">
              <w:rPr>
                <w:rFonts w:eastAsia="Times New Roman" w:cs="Segoe UI"/>
                <w:sz w:val="20"/>
                <w:szCs w:val="20"/>
                <w:lang w:eastAsia="en-AU"/>
              </w:rPr>
              <w:t>e</w:t>
            </w:r>
            <w:r w:rsidR="003C2AF1">
              <w:rPr>
                <w:rFonts w:eastAsia="Times New Roman" w:cs="Segoe UI"/>
                <w:sz w:val="20"/>
                <w:szCs w:val="20"/>
                <w:lang w:eastAsia="en-AU"/>
              </w:rPr>
              <w:t>.</w:t>
            </w:r>
            <w:proofErr w:type="gramEnd"/>
            <w:r w:rsidR="79896A34" w:rsidRPr="0511E89F">
              <w:rPr>
                <w:rFonts w:eastAsia="Times New Roman" w:cs="Segoe UI"/>
                <w:sz w:val="20"/>
                <w:szCs w:val="20"/>
                <w:lang w:eastAsia="en-AU"/>
              </w:rPr>
              <w:t xml:space="preserve"> no improved health outcomes)</w:t>
            </w:r>
            <w:r w:rsidR="00385833" w:rsidRPr="00395D5F">
              <w:rPr>
                <w:rFonts w:eastAsia="Times New Roman" w:cs="Segoe UI"/>
                <w:kern w:val="24"/>
                <w:sz w:val="20"/>
                <w:szCs w:val="20"/>
                <w:lang w:eastAsia="en-AU"/>
              </w:rPr>
              <w:t xml:space="preserve">, would be required to offer a lower price to be funded. Further work will need to be done to determine the parameters around the cost-minimisation submissions this would apply </w:t>
            </w:r>
            <w:r w:rsidR="00C02820">
              <w:rPr>
                <w:rFonts w:eastAsia="Times New Roman" w:cs="Segoe UI"/>
                <w:kern w:val="24"/>
                <w:sz w:val="20"/>
                <w:szCs w:val="20"/>
                <w:lang w:eastAsia="en-AU"/>
              </w:rPr>
              <w:t xml:space="preserve">including defining the circumstances where </w:t>
            </w:r>
            <w:r w:rsidR="0051186E">
              <w:rPr>
                <w:rFonts w:eastAsia="Times New Roman" w:cs="Segoe UI"/>
                <w:kern w:val="24"/>
                <w:sz w:val="20"/>
                <w:szCs w:val="20"/>
                <w:lang w:eastAsia="en-AU"/>
              </w:rPr>
              <w:t>it would be appropriate to apply these policies</w:t>
            </w:r>
            <w:r w:rsidR="00385833" w:rsidRPr="00395D5F">
              <w:rPr>
                <w:rFonts w:eastAsia="Times New Roman" w:cs="Segoe UI"/>
                <w:kern w:val="24"/>
                <w:sz w:val="20"/>
                <w:szCs w:val="20"/>
                <w:lang w:eastAsia="en-AU"/>
              </w:rPr>
              <w:t>.</w:t>
            </w:r>
          </w:p>
          <w:p w14:paraId="495B117F" w14:textId="77777777" w:rsidR="00DE259C" w:rsidRDefault="00DE259C" w:rsidP="008C10BB">
            <w:pPr>
              <w:spacing w:after="0"/>
              <w:rPr>
                <w:rFonts w:eastAsia="Times New Roman" w:cs="Segoe UI"/>
                <w:kern w:val="24"/>
                <w:sz w:val="20"/>
                <w:szCs w:val="20"/>
                <w:lang w:eastAsia="en-AU"/>
              </w:rPr>
            </w:pPr>
          </w:p>
          <w:p w14:paraId="564F705C" w14:textId="01991DBA" w:rsidR="00385833" w:rsidRPr="006C569B" w:rsidRDefault="00234878" w:rsidP="008C10BB">
            <w:pPr>
              <w:spacing w:after="0"/>
              <w:jc w:val="center"/>
              <w:rPr>
                <w:rFonts w:eastAsia="Times New Roman" w:cs="Segoe UI"/>
                <w:b/>
                <w:kern w:val="24"/>
                <w:sz w:val="20"/>
                <w:szCs w:val="20"/>
                <w:u w:val="single"/>
                <w:lang w:eastAsia="en-AU"/>
              </w:rPr>
            </w:pPr>
            <w:r w:rsidRPr="006C569B">
              <w:rPr>
                <w:rFonts w:eastAsia="Times New Roman" w:cs="Segoe UI"/>
                <w:b/>
                <w:kern w:val="24"/>
                <w:sz w:val="20"/>
                <w:szCs w:val="20"/>
                <w:u w:val="single"/>
                <w:lang w:eastAsia="en-AU"/>
              </w:rPr>
              <w:lastRenderedPageBreak/>
              <w:t>OR</w:t>
            </w:r>
          </w:p>
          <w:p w14:paraId="75639443" w14:textId="08FDBE3E" w:rsidR="00234878" w:rsidRPr="00C24573" w:rsidRDefault="00C24573" w:rsidP="008C10BB">
            <w:pPr>
              <w:spacing w:after="0"/>
              <w:rPr>
                <w:rFonts w:eastAsia="Times New Roman" w:cs="Segoe UI"/>
                <w:kern w:val="24"/>
                <w:sz w:val="20"/>
                <w:szCs w:val="20"/>
                <w:lang w:eastAsia="en-AU"/>
              </w:rPr>
            </w:pPr>
            <w:r w:rsidRPr="00C24573">
              <w:rPr>
                <w:rFonts w:eastAsia="Times New Roman" w:cs="Segoe UI"/>
                <w:kern w:val="24"/>
                <w:sz w:val="20"/>
                <w:szCs w:val="20"/>
                <w:lang w:eastAsia="en-AU"/>
              </w:rPr>
              <w:t>Alternative</w:t>
            </w:r>
            <w:r w:rsidR="00234878" w:rsidRPr="00C24573">
              <w:rPr>
                <w:rFonts w:eastAsia="Times New Roman" w:cs="Segoe UI"/>
                <w:kern w:val="24"/>
                <w:sz w:val="20"/>
                <w:szCs w:val="20"/>
                <w:lang w:eastAsia="en-AU"/>
              </w:rPr>
              <w:t xml:space="preserve"> option 2</w:t>
            </w:r>
            <w:r>
              <w:rPr>
                <w:rFonts w:eastAsia="Times New Roman" w:cs="Segoe UI"/>
                <w:kern w:val="24"/>
                <w:sz w:val="20"/>
                <w:szCs w:val="20"/>
                <w:lang w:eastAsia="en-AU"/>
              </w:rPr>
              <w:t>:</w:t>
            </w:r>
          </w:p>
          <w:p w14:paraId="7A737055" w14:textId="6D047865" w:rsidR="00323468" w:rsidRPr="00395D5F" w:rsidRDefault="00234878" w:rsidP="008C10BB">
            <w:pPr>
              <w:spacing w:after="0"/>
              <w:rPr>
                <w:rFonts w:eastAsia="Times New Roman" w:cs="Segoe UI"/>
                <w:kern w:val="24"/>
                <w:sz w:val="20"/>
                <w:szCs w:val="20"/>
                <w:lang w:eastAsia="en-AU"/>
              </w:rPr>
            </w:pPr>
            <w:r>
              <w:rPr>
                <w:rFonts w:eastAsia="Times New Roman" w:cs="Segoe UI"/>
                <w:kern w:val="24"/>
                <w:sz w:val="20"/>
                <w:szCs w:val="20"/>
                <w:lang w:eastAsia="en-AU"/>
              </w:rPr>
              <w:t>In conjunction with options for proportionate assessment</w:t>
            </w:r>
            <w:r w:rsidR="009F5C5B">
              <w:rPr>
                <w:rFonts w:eastAsia="Times New Roman" w:cs="Segoe UI"/>
                <w:kern w:val="24"/>
                <w:sz w:val="20"/>
                <w:szCs w:val="20"/>
                <w:lang w:eastAsia="en-AU"/>
              </w:rPr>
              <w:fldChar w:fldCharType="begin"/>
            </w:r>
            <w:r w:rsidR="009F5C5B">
              <w:instrText xml:space="preserve"> XE "</w:instrText>
            </w:r>
            <w:r w:rsidR="009F5C5B" w:rsidRPr="004B710D">
              <w:rPr>
                <w:rFonts w:eastAsia="Times New Roman" w:cs="Segoe UI"/>
                <w:kern w:val="24"/>
                <w:sz w:val="20"/>
                <w:szCs w:val="20"/>
                <w:lang w:eastAsia="en-AU"/>
              </w:rPr>
              <w:instrText xml:space="preserve">proportionate </w:instrText>
            </w:r>
            <w:proofErr w:type="spellStart"/>
            <w:r w:rsidR="009F5C5B" w:rsidRPr="004B710D">
              <w:rPr>
                <w:rFonts w:eastAsia="Times New Roman" w:cs="Segoe UI"/>
                <w:kern w:val="24"/>
                <w:lang w:eastAsia="en-AU"/>
              </w:rPr>
              <w:instrText>appraisal</w:instrText>
            </w:r>
            <w:r w:rsidR="009F5C5B" w:rsidRPr="004B710D">
              <w:rPr>
                <w:rFonts w:eastAsia="Times New Roman" w:cs="Segoe UI"/>
                <w:kern w:val="24"/>
              </w:rPr>
              <w:instrText>:</w:instrText>
            </w:r>
            <w:r w:rsidR="009F5C5B" w:rsidRPr="004B710D">
              <w:instrText>proportionate</w:instrText>
            </w:r>
            <w:proofErr w:type="spellEnd"/>
            <w:r w:rsidR="009F5C5B" w:rsidRPr="004B710D">
              <w:instrText xml:space="preserve"> assessment</w:instrText>
            </w:r>
            <w:r w:rsidR="009F5C5B">
              <w:instrText xml:space="preserve">" </w:instrText>
            </w:r>
            <w:r w:rsidR="009F5C5B">
              <w:rPr>
                <w:rFonts w:eastAsia="Times New Roman" w:cs="Segoe UI"/>
                <w:kern w:val="24"/>
                <w:sz w:val="20"/>
                <w:szCs w:val="20"/>
                <w:lang w:eastAsia="en-AU"/>
              </w:rPr>
              <w:fldChar w:fldCharType="end"/>
            </w:r>
            <w:r>
              <w:rPr>
                <w:rFonts w:eastAsia="Times New Roman" w:cs="Segoe UI"/>
                <w:kern w:val="24"/>
                <w:sz w:val="20"/>
                <w:szCs w:val="20"/>
                <w:lang w:eastAsia="en-AU"/>
              </w:rPr>
              <w:t xml:space="preserve"> of cost-minimisation</w:t>
            </w:r>
            <w:r>
              <w:rPr>
                <w:rFonts w:eastAsia="Times New Roman" w:cs="Segoe UI"/>
                <w:kern w:val="24"/>
                <w:sz w:val="20"/>
                <w:szCs w:val="20"/>
                <w:lang w:eastAsia="en-AU"/>
              </w:rPr>
              <w:fldChar w:fldCharType="begin"/>
            </w:r>
            <w:r w:rsidRPr="00DB623D">
              <w:rPr>
                <w:rFonts w:eastAsia="Times New Roman" w:cs="Segoe UI"/>
                <w:kern w:val="24"/>
                <w:sz w:val="20"/>
                <w:szCs w:val="20"/>
                <w:lang w:eastAsia="en-AU"/>
              </w:rPr>
              <w:instrText xml:space="preserve"> XE "cost-minimisation" \b </w:instrText>
            </w:r>
            <w:r>
              <w:rPr>
                <w:rFonts w:eastAsia="Times New Roman" w:cs="Segoe UI"/>
                <w:kern w:val="24"/>
                <w:sz w:val="20"/>
                <w:szCs w:val="20"/>
                <w:lang w:eastAsia="en-AU"/>
              </w:rPr>
              <w:fldChar w:fldCharType="end"/>
            </w:r>
            <w:r>
              <w:rPr>
                <w:rFonts w:eastAsia="Times New Roman" w:cs="Segoe UI"/>
                <w:kern w:val="24"/>
                <w:sz w:val="20"/>
                <w:szCs w:val="20"/>
                <w:lang w:eastAsia="en-AU"/>
              </w:rPr>
              <w:t xml:space="preserve"> </w:t>
            </w:r>
            <w:r w:rsidRPr="004E1E2C">
              <w:rPr>
                <w:rFonts w:eastAsia="Times New Roman" w:cs="Segoe UI"/>
                <w:kern w:val="24"/>
                <w:sz w:val="20"/>
                <w:szCs w:val="20"/>
                <w:lang w:eastAsia="en-AU"/>
              </w:rPr>
              <w:t xml:space="preserve">submissions </w:t>
            </w:r>
            <w:r w:rsidR="0081090A">
              <w:rPr>
                <w:rFonts w:eastAsia="Times New Roman" w:cs="Segoe UI"/>
                <w:kern w:val="24"/>
                <w:sz w:val="20"/>
                <w:szCs w:val="20"/>
                <w:lang w:eastAsia="en-AU"/>
              </w:rPr>
              <w:t xml:space="preserve">(see </w:t>
            </w:r>
            <w:hyperlink w:anchor="_Proportionate_appraisal_pathways:" w:history="1">
              <w:hyperlink w:anchor="_Options_–_Proportionate" w:history="1">
                <w:r w:rsidR="0081090A" w:rsidRPr="0081090A">
                  <w:rPr>
                    <w:rStyle w:val="Hyperlink"/>
                    <w:rFonts w:eastAsia="Times New Roman" w:cs="Segoe UI"/>
                    <w:kern w:val="24"/>
                    <w:sz w:val="20"/>
                    <w:szCs w:val="20"/>
                    <w:lang w:eastAsia="en-AU"/>
                  </w:rPr>
                  <w:t>Proporti</w:t>
                </w:r>
                <w:bookmarkStart w:id="43" w:name="_Hlt157007836"/>
                <w:r w:rsidR="0081090A" w:rsidRPr="0081090A">
                  <w:rPr>
                    <w:rStyle w:val="Hyperlink"/>
                    <w:rFonts w:eastAsia="Times New Roman" w:cs="Segoe UI"/>
                    <w:kern w:val="24"/>
                    <w:sz w:val="20"/>
                    <w:szCs w:val="20"/>
                    <w:lang w:eastAsia="en-AU"/>
                  </w:rPr>
                  <w:t>o</w:t>
                </w:r>
                <w:bookmarkEnd w:id="43"/>
                <w:r w:rsidR="0081090A" w:rsidRPr="0081090A">
                  <w:rPr>
                    <w:rStyle w:val="Hyperlink"/>
                    <w:rFonts w:eastAsia="Times New Roman" w:cs="Segoe UI"/>
                    <w:kern w:val="24"/>
                    <w:sz w:val="20"/>
                    <w:szCs w:val="20"/>
                    <w:lang w:eastAsia="en-AU"/>
                  </w:rPr>
                  <w:t>nate appraisal pathways</w:t>
                </w:r>
              </w:hyperlink>
              <w:r w:rsidRPr="00DB623D">
                <w:rPr>
                  <w:rFonts w:eastAsia="Times New Roman" w:cs="Segoe UI"/>
                  <w:kern w:val="24"/>
                  <w:sz w:val="20"/>
                  <w:szCs w:val="20"/>
                  <w:lang w:eastAsia="en-AU"/>
                </w:rPr>
                <w:t>)</w:t>
              </w:r>
            </w:hyperlink>
            <w:r w:rsidRPr="001678F4">
              <w:rPr>
                <w:rFonts w:eastAsia="Times New Roman" w:cs="Segoe UI"/>
                <w:kern w:val="24"/>
                <w:sz w:val="20"/>
                <w:szCs w:val="20"/>
                <w:lang w:eastAsia="en-AU"/>
              </w:rPr>
              <w:t>,</w:t>
            </w:r>
            <w:r>
              <w:rPr>
                <w:rFonts w:eastAsia="Times New Roman" w:cs="Segoe UI"/>
                <w:kern w:val="24"/>
                <w:sz w:val="20"/>
                <w:szCs w:val="20"/>
                <w:lang w:eastAsia="en-AU"/>
              </w:rPr>
              <w:t xml:space="preserve"> incentivise </w:t>
            </w:r>
            <w:r w:rsidRPr="00395D5F">
              <w:rPr>
                <w:rFonts w:eastAsia="Times New Roman" w:cs="Segoe UI"/>
                <w:kern w:val="24"/>
                <w:sz w:val="20"/>
                <w:szCs w:val="20"/>
                <w:lang w:eastAsia="en-AU"/>
              </w:rPr>
              <w:t xml:space="preserve">offers of a lower price for </w:t>
            </w:r>
            <w:r>
              <w:rPr>
                <w:rFonts w:eastAsia="Times New Roman" w:cs="Segoe UI"/>
                <w:kern w:val="24"/>
                <w:sz w:val="20"/>
                <w:szCs w:val="20"/>
                <w:lang w:eastAsia="en-AU"/>
              </w:rPr>
              <w:t>health technologies that provide no added benefit</w:t>
            </w:r>
            <w:r w:rsidRPr="00DB623D">
              <w:rPr>
                <w:rFonts w:eastAsia="Times New Roman" w:cs="Segoe UI"/>
                <w:kern w:val="24"/>
                <w:sz w:val="20"/>
                <w:szCs w:val="20"/>
                <w:lang w:eastAsia="en-AU"/>
              </w:rPr>
              <w:t>.</w:t>
            </w:r>
            <w:r w:rsidRPr="00395D5F">
              <w:rPr>
                <w:rFonts w:eastAsia="Times New Roman" w:cs="Segoe UI"/>
                <w:kern w:val="24"/>
                <w:sz w:val="20"/>
                <w:szCs w:val="20"/>
                <w:lang w:eastAsia="en-AU"/>
              </w:rPr>
              <w:t xml:space="preserve"> New therapies that offer no advantage in terms of improved efficacy or safety</w:t>
            </w:r>
            <w:r w:rsidRPr="0511E89F">
              <w:rPr>
                <w:rFonts w:eastAsia="Times New Roman" w:cs="Segoe UI"/>
                <w:sz w:val="20"/>
                <w:szCs w:val="20"/>
                <w:lang w:eastAsia="en-AU"/>
              </w:rPr>
              <w:t xml:space="preserve"> (</w:t>
            </w:r>
            <w:proofErr w:type="gramStart"/>
            <w:r w:rsidRPr="0511E89F">
              <w:rPr>
                <w:rFonts w:eastAsia="Times New Roman" w:cs="Segoe UI"/>
                <w:sz w:val="20"/>
                <w:szCs w:val="20"/>
                <w:lang w:eastAsia="en-AU"/>
              </w:rPr>
              <w:t>i</w:t>
            </w:r>
            <w:r w:rsidR="004601AB">
              <w:rPr>
                <w:rFonts w:eastAsia="Times New Roman" w:cs="Segoe UI"/>
                <w:sz w:val="20"/>
                <w:szCs w:val="20"/>
                <w:lang w:eastAsia="en-AU"/>
              </w:rPr>
              <w:t>.</w:t>
            </w:r>
            <w:r w:rsidRPr="0511E89F">
              <w:rPr>
                <w:rFonts w:eastAsia="Times New Roman" w:cs="Segoe UI"/>
                <w:sz w:val="20"/>
                <w:szCs w:val="20"/>
                <w:lang w:eastAsia="en-AU"/>
              </w:rPr>
              <w:t>e</w:t>
            </w:r>
            <w:r>
              <w:rPr>
                <w:rFonts w:eastAsia="Times New Roman" w:cs="Segoe UI"/>
                <w:sz w:val="20"/>
                <w:szCs w:val="20"/>
                <w:lang w:eastAsia="en-AU"/>
              </w:rPr>
              <w:t>.</w:t>
            </w:r>
            <w:proofErr w:type="gramEnd"/>
            <w:r w:rsidRPr="0511E89F">
              <w:rPr>
                <w:rFonts w:eastAsia="Times New Roman" w:cs="Segoe UI"/>
                <w:sz w:val="20"/>
                <w:szCs w:val="20"/>
                <w:lang w:eastAsia="en-AU"/>
              </w:rPr>
              <w:t xml:space="preserve"> no improved health outcomes)</w:t>
            </w:r>
            <w:r w:rsidRPr="00395D5F">
              <w:rPr>
                <w:rFonts w:eastAsia="Times New Roman" w:cs="Segoe UI"/>
                <w:kern w:val="24"/>
                <w:sz w:val="20"/>
                <w:szCs w:val="20"/>
                <w:lang w:eastAsia="en-AU"/>
              </w:rPr>
              <w:t xml:space="preserve">, would be </w:t>
            </w:r>
            <w:r>
              <w:rPr>
                <w:rFonts w:eastAsia="Times New Roman" w:cs="Segoe UI"/>
                <w:kern w:val="24"/>
                <w:sz w:val="20"/>
                <w:szCs w:val="20"/>
                <w:lang w:eastAsia="en-AU"/>
              </w:rPr>
              <w:t>encouraged</w:t>
            </w:r>
            <w:r w:rsidRPr="00395D5F">
              <w:rPr>
                <w:rFonts w:eastAsia="Times New Roman" w:cs="Segoe UI"/>
                <w:kern w:val="24"/>
                <w:sz w:val="20"/>
                <w:szCs w:val="20"/>
                <w:lang w:eastAsia="en-AU"/>
              </w:rPr>
              <w:t xml:space="preserve"> to offer a lower price to be funded. Further work will need to be done to determine the parameters around the cost-minimisation submissions this would apply </w:t>
            </w:r>
            <w:r>
              <w:rPr>
                <w:rFonts w:eastAsia="Times New Roman" w:cs="Segoe UI"/>
                <w:kern w:val="24"/>
                <w:sz w:val="20"/>
                <w:szCs w:val="20"/>
                <w:lang w:eastAsia="en-AU"/>
              </w:rPr>
              <w:t>including defining the circumstances where it would be appropriate to apply these policies and quid pro quo options</w:t>
            </w:r>
            <w:r w:rsidRPr="00395D5F">
              <w:rPr>
                <w:rFonts w:eastAsia="Times New Roman" w:cs="Segoe UI"/>
                <w:kern w:val="24"/>
                <w:sz w:val="20"/>
                <w:szCs w:val="20"/>
                <w:lang w:eastAsia="en-AU"/>
              </w:rPr>
              <w:t>.</w:t>
            </w:r>
          </w:p>
        </w:tc>
      </w:tr>
      <w:tr w:rsidR="00385833" w:rsidRPr="006647C5" w14:paraId="572C8CB1" w14:textId="77777777" w:rsidTr="00534579">
        <w:trPr>
          <w:trHeight w:val="775"/>
        </w:trPr>
        <w:tc>
          <w:tcPr>
            <w:tcW w:w="1055" w:type="dxa"/>
            <w:shd w:val="clear" w:color="auto" w:fill="FFFFFF" w:themeFill="background1"/>
            <w:tcMar>
              <w:top w:w="72" w:type="dxa"/>
              <w:left w:w="144" w:type="dxa"/>
              <w:bottom w:w="72" w:type="dxa"/>
              <w:right w:w="144" w:type="dxa"/>
            </w:tcMar>
          </w:tcPr>
          <w:p w14:paraId="56F6D35B" w14:textId="77777777" w:rsidR="00385833" w:rsidRPr="00A32D81" w:rsidRDefault="00385833"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56174085" w14:textId="5E2C9419" w:rsidR="00385833" w:rsidRPr="00395D5F" w:rsidRDefault="00385833" w:rsidP="008A5286">
            <w:pPr>
              <w:pStyle w:val="Heading7"/>
              <w:keepNext w:val="0"/>
              <w:keepLines w:val="0"/>
              <w:rPr>
                <w:lang w:eastAsia="en-AU"/>
              </w:rPr>
            </w:pPr>
            <w:r w:rsidRPr="00395D5F">
              <w:rPr>
                <w:lang w:eastAsia="en-AU"/>
              </w:rPr>
              <w:t>Investigate further options to address budget impact</w:t>
            </w:r>
            <w:r w:rsidR="007A506F">
              <w:rPr>
                <w:lang w:eastAsia="en-AU"/>
              </w:rPr>
              <w:fldChar w:fldCharType="begin"/>
            </w:r>
            <w:r w:rsidR="007A506F">
              <w:instrText xml:space="preserve"> XE "</w:instrText>
            </w:r>
            <w:r w:rsidR="007A506F" w:rsidRPr="00C256AB">
              <w:rPr>
                <w:rFonts w:eastAsia="Times New Roman"/>
                <w:kern w:val="24"/>
                <w:lang w:eastAsia="en-AU"/>
              </w:rPr>
              <w:instrText>budget impact</w:instrText>
            </w:r>
            <w:r w:rsidR="007A506F">
              <w:instrText xml:space="preserve">" \b </w:instrText>
            </w:r>
            <w:r w:rsidR="007A506F">
              <w:rPr>
                <w:lang w:eastAsia="en-AU"/>
              </w:rPr>
              <w:fldChar w:fldCharType="end"/>
            </w:r>
            <w:r w:rsidRPr="00395D5F">
              <w:rPr>
                <w:lang w:eastAsia="en-AU"/>
              </w:rPr>
              <w:t xml:space="preserve"> implications of </w:t>
            </w:r>
            <w:proofErr w:type="gramStart"/>
            <w:r w:rsidRPr="00395D5F">
              <w:rPr>
                <w:lang w:eastAsia="en-AU"/>
              </w:rPr>
              <w:t>high-cost</w:t>
            </w:r>
            <w:proofErr w:type="gramEnd"/>
            <w:r w:rsidRPr="00395D5F">
              <w:rPr>
                <w:lang w:eastAsia="en-AU"/>
              </w:rPr>
              <w:t>/high impact health technologies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4A0B8AE" w14:textId="70A6BB58" w:rsidR="00C930DB" w:rsidRDefault="005D3740" w:rsidP="008C10BB">
            <w:pPr>
              <w:spacing w:after="0"/>
              <w:rPr>
                <w:rFonts w:eastAsia="Times New Roman" w:cs="Segoe UI"/>
                <w:kern w:val="24"/>
                <w:sz w:val="20"/>
                <w:szCs w:val="20"/>
                <w:lang w:eastAsia="en-AU"/>
              </w:rPr>
            </w:pPr>
            <w:r>
              <w:rPr>
                <w:rFonts w:eastAsia="Times New Roman" w:cs="Segoe UI"/>
                <w:kern w:val="24"/>
                <w:sz w:val="20"/>
                <w:szCs w:val="20"/>
                <w:lang w:eastAsia="en-AU"/>
              </w:rPr>
              <w:t>I</w:t>
            </w:r>
            <w:r w:rsidR="00385833" w:rsidRPr="00395D5F">
              <w:rPr>
                <w:rFonts w:eastAsia="Times New Roman" w:cs="Segoe UI"/>
                <w:kern w:val="24"/>
                <w:sz w:val="20"/>
                <w:szCs w:val="20"/>
                <w:lang w:eastAsia="en-AU"/>
              </w:rPr>
              <w:t>dentify appropriate alternate contract funding/financing tools and instruments (</w:t>
            </w:r>
            <w:proofErr w:type="gramStart"/>
            <w:r w:rsidR="00385833" w:rsidRPr="00395D5F">
              <w:rPr>
                <w:rFonts w:eastAsia="Times New Roman" w:cs="Segoe UI"/>
                <w:kern w:val="24"/>
                <w:sz w:val="20"/>
                <w:szCs w:val="20"/>
                <w:lang w:eastAsia="en-AU"/>
              </w:rPr>
              <w:t>e.g.</w:t>
            </w:r>
            <w:proofErr w:type="gramEnd"/>
            <w:r w:rsidR="00385833" w:rsidRPr="00395D5F">
              <w:rPr>
                <w:rFonts w:eastAsia="Times New Roman" w:cs="Segoe UI"/>
                <w:kern w:val="24"/>
                <w:sz w:val="20"/>
                <w:szCs w:val="20"/>
                <w:lang w:eastAsia="en-AU"/>
              </w:rPr>
              <w:t xml:space="preserve"> annuity payments, patient-level product warranties) </w:t>
            </w:r>
            <w:r w:rsidR="00C71EB8">
              <w:rPr>
                <w:rFonts w:eastAsia="Times New Roman" w:cs="Segoe UI"/>
                <w:kern w:val="24"/>
                <w:sz w:val="20"/>
                <w:szCs w:val="20"/>
                <w:lang w:eastAsia="en-AU"/>
              </w:rPr>
              <w:t xml:space="preserve">in consultation with stakeholders </w:t>
            </w:r>
            <w:r w:rsidR="00385833" w:rsidRPr="00395D5F">
              <w:rPr>
                <w:rFonts w:eastAsia="Times New Roman" w:cs="Segoe UI"/>
                <w:kern w:val="24"/>
                <w:sz w:val="20"/>
                <w:szCs w:val="20"/>
                <w:lang w:eastAsia="en-AU"/>
              </w:rPr>
              <w:t>to address budget implications of high-cost/high-impact health technologies in the Australian context</w:t>
            </w:r>
            <w:r w:rsidR="00237E06">
              <w:rPr>
                <w:rFonts w:eastAsia="Times New Roman" w:cs="Segoe UI"/>
                <w:kern w:val="24"/>
                <w:sz w:val="20"/>
                <w:szCs w:val="20"/>
                <w:lang w:eastAsia="en-AU"/>
              </w:rPr>
              <w:t xml:space="preserve">. </w:t>
            </w:r>
            <w:r w:rsidR="00116323">
              <w:rPr>
                <w:rFonts w:eastAsia="Times New Roman" w:cs="Segoe UI"/>
                <w:kern w:val="24"/>
                <w:sz w:val="20"/>
                <w:szCs w:val="20"/>
                <w:lang w:eastAsia="en-AU"/>
              </w:rPr>
              <w:t xml:space="preserve">This work should focus on instruments that may help to address: </w:t>
            </w:r>
          </w:p>
          <w:p w14:paraId="6B1C89C0" w14:textId="1861927B" w:rsidR="00C930DB" w:rsidRPr="006732A5" w:rsidRDefault="00C930DB" w:rsidP="008505D7">
            <w:pPr>
              <w:pStyle w:val="ListParagraph"/>
              <w:numPr>
                <w:ilvl w:val="0"/>
                <w:numId w:val="106"/>
              </w:numPr>
              <w:rPr>
                <w:rFonts w:eastAsia="Times New Roman" w:cs="Segoe UI"/>
                <w:sz w:val="20"/>
                <w:szCs w:val="20"/>
                <w:lang w:eastAsia="en-AU"/>
              </w:rPr>
            </w:pPr>
            <w:r w:rsidRPr="006732A5">
              <w:rPr>
                <w:rFonts w:eastAsia="Times New Roman" w:cs="Segoe UI"/>
                <w:sz w:val="20"/>
                <w:szCs w:val="20"/>
                <w:lang w:eastAsia="en-AU"/>
              </w:rPr>
              <w:t>clinical, financial or economic uncertainty</w:t>
            </w:r>
            <w:hyperlink w:anchor="_and_managing_uncertainty" w:history="1">
              <w:r w:rsidRPr="006732A5">
                <w:rPr>
                  <w:rFonts w:eastAsia="Times New Roman" w:cs="Segoe UI"/>
                  <w:sz w:val="20"/>
                  <w:szCs w:val="20"/>
                  <w:lang w:eastAsia="en-AU"/>
                </w:rPr>
                <w:t xml:space="preserve"> (see </w:t>
              </w:r>
              <w:r w:rsidR="00ED247B" w:rsidRPr="001B4547">
                <w:rPr>
                  <w:rFonts w:eastAsia="Times New Roman" w:cs="Segoe UI"/>
                  <w:color w:val="1D437F" w:themeColor="accent1"/>
                  <w:kern w:val="24"/>
                  <w:sz w:val="20"/>
                  <w:szCs w:val="20"/>
                  <w:u w:val="single"/>
                  <w:lang w:eastAsia="en-AU"/>
                </w:rPr>
                <w:fldChar w:fldCharType="begin"/>
              </w:r>
              <w:r w:rsidR="00ED247B" w:rsidRPr="001B4547">
                <w:rPr>
                  <w:rFonts w:eastAsia="Times New Roman" w:cs="Segoe UI"/>
                  <w:color w:val="1D437F" w:themeColor="accent1"/>
                  <w:kern w:val="24"/>
                  <w:sz w:val="20"/>
                  <w:szCs w:val="20"/>
                  <w:u w:val="single"/>
                  <w:lang w:eastAsia="en-AU"/>
                </w:rPr>
                <w:instrText xml:space="preserve"> REF _Ref156855855 \h  \* MERGEFORMAT </w:instrText>
              </w:r>
              <w:r w:rsidR="00ED247B" w:rsidRPr="001B4547">
                <w:rPr>
                  <w:rFonts w:eastAsia="Times New Roman" w:cs="Segoe UI"/>
                  <w:color w:val="1D437F" w:themeColor="accent1"/>
                  <w:kern w:val="24"/>
                  <w:sz w:val="20"/>
                  <w:szCs w:val="20"/>
                  <w:u w:val="single"/>
                  <w:lang w:eastAsia="en-AU"/>
                </w:rPr>
              </w:r>
              <w:r w:rsidR="00ED247B" w:rsidRPr="001B4547">
                <w:rPr>
                  <w:rFonts w:eastAsia="Times New Roman" w:cs="Segoe UI"/>
                  <w:color w:val="1D437F" w:themeColor="accent1"/>
                  <w:kern w:val="24"/>
                  <w:sz w:val="20"/>
                  <w:szCs w:val="20"/>
                  <w:u w:val="single"/>
                  <w:lang w:eastAsia="en-AU"/>
                </w:rPr>
                <w:fldChar w:fldCharType="separate"/>
              </w:r>
              <w:r w:rsidR="00474ED6" w:rsidRPr="00474ED6">
                <w:rPr>
                  <w:rFonts w:eastAsia="Times New Roman" w:cs="Segoe UI"/>
                  <w:color w:val="1D437F" w:themeColor="accent1"/>
                  <w:kern w:val="24"/>
                  <w:sz w:val="20"/>
                  <w:szCs w:val="20"/>
                  <w:u w:val="single"/>
                  <w:lang w:eastAsia="en-AU"/>
                </w:rPr>
                <w:t>Approaches for managing uncertainty</w:t>
              </w:r>
              <w:r w:rsidR="00ED247B" w:rsidRPr="001B4547">
                <w:rPr>
                  <w:rFonts w:eastAsia="Times New Roman" w:cs="Segoe UI"/>
                  <w:color w:val="1D437F" w:themeColor="accent1"/>
                  <w:kern w:val="24"/>
                  <w:sz w:val="20"/>
                  <w:szCs w:val="20"/>
                  <w:u w:val="single"/>
                  <w:lang w:eastAsia="en-AU"/>
                </w:rPr>
                <w:fldChar w:fldCharType="end"/>
              </w:r>
              <w:r w:rsidR="0077493C" w:rsidRPr="006732A5">
                <w:rPr>
                  <w:rFonts w:eastAsia="Times New Roman" w:cs="Segoe UI"/>
                  <w:sz w:val="20"/>
                  <w:szCs w:val="20"/>
                  <w:lang w:eastAsia="en-AU"/>
                </w:rPr>
                <w:fldChar w:fldCharType="begin"/>
              </w:r>
              <w:r w:rsidR="0077493C" w:rsidRPr="006732A5">
                <w:rPr>
                  <w:rFonts w:eastAsia="Times New Roman" w:cs="Segoe UI"/>
                  <w:sz w:val="20"/>
                  <w:szCs w:val="20"/>
                  <w:lang w:eastAsia="en-AU"/>
                </w:rPr>
                <w:instrText xml:space="preserve"> XE "managing uncertainty" \b </w:instrText>
              </w:r>
              <w:r w:rsidR="0077493C" w:rsidRPr="006732A5">
                <w:rPr>
                  <w:rFonts w:eastAsia="Times New Roman" w:cs="Segoe UI"/>
                  <w:sz w:val="20"/>
                  <w:szCs w:val="20"/>
                  <w:lang w:eastAsia="en-AU"/>
                </w:rPr>
                <w:fldChar w:fldCharType="end"/>
              </w:r>
              <w:r w:rsidRPr="006732A5">
                <w:rPr>
                  <w:rFonts w:eastAsia="Times New Roman" w:cs="Segoe UI"/>
                  <w:sz w:val="20"/>
                  <w:szCs w:val="20"/>
                  <w:lang w:eastAsia="en-AU"/>
                </w:rPr>
                <w:t>)</w:t>
              </w:r>
            </w:hyperlink>
          </w:p>
          <w:p w14:paraId="0166FD5F" w14:textId="4963791C" w:rsidR="00CA06EB" w:rsidRPr="006732A5" w:rsidRDefault="00C930DB" w:rsidP="008505D7">
            <w:pPr>
              <w:pStyle w:val="ListParagraph"/>
              <w:numPr>
                <w:ilvl w:val="0"/>
                <w:numId w:val="106"/>
              </w:numPr>
              <w:rPr>
                <w:rFonts w:eastAsia="Times New Roman" w:cs="Segoe UI"/>
                <w:sz w:val="20"/>
                <w:szCs w:val="20"/>
                <w:lang w:eastAsia="en-AU"/>
              </w:rPr>
            </w:pPr>
            <w:r w:rsidRPr="006732A5">
              <w:rPr>
                <w:rFonts w:eastAsia="Times New Roman" w:cs="Segoe UI"/>
                <w:sz w:val="20"/>
                <w:szCs w:val="20"/>
                <w:lang w:eastAsia="en-AU"/>
              </w:rPr>
              <w:t xml:space="preserve">resolving </w:t>
            </w:r>
            <w:r w:rsidR="001844A6" w:rsidRPr="006732A5">
              <w:rPr>
                <w:rFonts w:eastAsia="Times New Roman" w:cs="Segoe UI"/>
                <w:sz w:val="20"/>
                <w:szCs w:val="20"/>
                <w:lang w:eastAsia="en-AU"/>
              </w:rPr>
              <w:t xml:space="preserve">issues in submissions </w:t>
            </w:r>
            <w:r w:rsidR="008C342F" w:rsidRPr="006732A5">
              <w:rPr>
                <w:rFonts w:eastAsia="Times New Roman" w:cs="Segoe UI"/>
                <w:sz w:val="20"/>
                <w:szCs w:val="20"/>
                <w:lang w:eastAsia="en-AU"/>
              </w:rPr>
              <w:t xml:space="preserve">that prevent positive recommendations being made </w:t>
            </w:r>
            <w:hyperlink w:anchor="_Early_resolution_mechanisms" w:history="1">
              <w:r w:rsidR="008C342F" w:rsidRPr="006732A5">
                <w:rPr>
                  <w:rFonts w:eastAsia="Times New Roman" w:cs="Segoe UI"/>
                  <w:sz w:val="20"/>
                  <w:szCs w:val="20"/>
                  <w:lang w:eastAsia="en-AU"/>
                </w:rPr>
                <w:t xml:space="preserve">(see </w:t>
              </w:r>
              <w:r w:rsidR="00781E43" w:rsidRPr="00781E43">
                <w:rPr>
                  <w:rFonts w:eastAsia="Times New Roman" w:cs="Segoe UI"/>
                  <w:color w:val="1D437F" w:themeColor="accent1"/>
                  <w:sz w:val="20"/>
                  <w:szCs w:val="20"/>
                  <w:u w:val="single"/>
                  <w:lang w:eastAsia="en-AU"/>
                </w:rPr>
                <w:t xml:space="preserve">early </w:t>
              </w:r>
              <w:r w:rsidR="00BA39B1" w:rsidRPr="00781E43">
                <w:rPr>
                  <w:rFonts w:eastAsia="Times New Roman" w:cs="Segoe UI"/>
                  <w:color w:val="1D437F" w:themeColor="accent1"/>
                  <w:sz w:val="20"/>
                  <w:szCs w:val="20"/>
                  <w:u w:val="single"/>
                  <w:lang w:eastAsia="en-AU"/>
                </w:rPr>
                <w:t>re</w:t>
              </w:r>
              <w:r w:rsidR="00E924E2" w:rsidRPr="006732A5">
                <w:rPr>
                  <w:rFonts w:eastAsia="Times New Roman" w:cs="Segoe UI"/>
                  <w:color w:val="1D437F" w:themeColor="accent1"/>
                  <w:sz w:val="20"/>
                  <w:szCs w:val="20"/>
                  <w:u w:val="single"/>
                  <w:lang w:eastAsia="en-AU"/>
                </w:rPr>
                <w:t>so</w:t>
              </w:r>
              <w:bookmarkStart w:id="44" w:name="_Hlt157006712"/>
              <w:r w:rsidR="00E924E2" w:rsidRPr="006732A5">
                <w:rPr>
                  <w:rFonts w:eastAsia="Times New Roman" w:cs="Segoe UI"/>
                  <w:color w:val="1D437F" w:themeColor="accent1"/>
                  <w:sz w:val="20"/>
                  <w:szCs w:val="20"/>
                  <w:u w:val="single"/>
                  <w:lang w:eastAsia="en-AU"/>
                </w:rPr>
                <w:t>l</w:t>
              </w:r>
              <w:bookmarkEnd w:id="44"/>
              <w:r w:rsidR="00E924E2" w:rsidRPr="006732A5">
                <w:rPr>
                  <w:rFonts w:eastAsia="Times New Roman" w:cs="Segoe UI"/>
                  <w:color w:val="1D437F" w:themeColor="accent1"/>
                  <w:sz w:val="20"/>
                  <w:szCs w:val="20"/>
                  <w:u w:val="single"/>
                  <w:lang w:eastAsia="en-AU"/>
                </w:rPr>
                <w:t>ution</w:t>
              </w:r>
              <w:r w:rsidR="00336A3C">
                <w:rPr>
                  <w:rFonts w:eastAsia="Times New Roman" w:cs="Segoe UI"/>
                  <w:color w:val="1D437F" w:themeColor="accent1"/>
                  <w:sz w:val="20"/>
                  <w:szCs w:val="20"/>
                  <w:u w:val="single"/>
                  <w:lang w:eastAsia="en-AU"/>
                </w:rPr>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rPr>
                  <w:rFonts w:eastAsia="Times New Roman" w:cs="Segoe UI"/>
                  <w:color w:val="1D437F" w:themeColor="accent1"/>
                  <w:sz w:val="20"/>
                  <w:szCs w:val="20"/>
                  <w:u w:val="single"/>
                  <w:lang w:eastAsia="en-AU"/>
                </w:rPr>
                <w:fldChar w:fldCharType="end"/>
              </w:r>
              <w:r w:rsidR="00CA06EB" w:rsidRPr="006732A5">
                <w:rPr>
                  <w:rFonts w:eastAsia="Times New Roman" w:cs="Segoe UI"/>
                  <w:color w:val="1D437F" w:themeColor="accent1"/>
                  <w:sz w:val="20"/>
                  <w:szCs w:val="20"/>
                  <w:u w:val="single"/>
                  <w:lang w:eastAsia="en-AU"/>
                </w:rPr>
                <w:t xml:space="preserve"> </w:t>
              </w:r>
              <w:r w:rsidR="00CC3581" w:rsidRPr="006732A5">
                <w:rPr>
                  <w:rFonts w:eastAsia="Times New Roman" w:cs="Segoe UI"/>
                  <w:color w:val="1D437F" w:themeColor="accent1"/>
                  <w:sz w:val="20"/>
                  <w:szCs w:val="20"/>
                  <w:u w:val="single"/>
                  <w:lang w:eastAsia="en-AU"/>
                </w:rPr>
                <w:t>options</w:t>
              </w:r>
              <w:r w:rsidR="00E924E2" w:rsidRPr="006732A5">
                <w:rPr>
                  <w:rFonts w:eastAsia="Times New Roman" w:cs="Segoe UI"/>
                  <w:sz w:val="20"/>
                  <w:szCs w:val="20"/>
                  <w:lang w:eastAsia="en-AU"/>
                </w:rPr>
                <w:t>)</w:t>
              </w:r>
            </w:hyperlink>
          </w:p>
          <w:p w14:paraId="55130ED3" w14:textId="38883B63" w:rsidR="00385833" w:rsidRPr="007D40BB" w:rsidRDefault="00BF4E16" w:rsidP="008505D7">
            <w:pPr>
              <w:pStyle w:val="ListParagraph"/>
              <w:numPr>
                <w:ilvl w:val="0"/>
                <w:numId w:val="106"/>
              </w:numPr>
              <w:rPr>
                <w:rFonts w:eastAsia="Times New Roman" w:cs="Segoe UI"/>
                <w:kern w:val="24"/>
                <w:sz w:val="20"/>
                <w:szCs w:val="20"/>
                <w:lang w:eastAsia="en-AU"/>
              </w:rPr>
            </w:pPr>
            <w:r w:rsidRPr="006732A5">
              <w:rPr>
                <w:rFonts w:eastAsia="Times New Roman" w:cs="Segoe UI"/>
                <w:sz w:val="20"/>
                <w:szCs w:val="20"/>
                <w:lang w:eastAsia="en-AU"/>
              </w:rPr>
              <w:t>addressing</w:t>
            </w:r>
            <w:r w:rsidRPr="006732A5">
              <w:rPr>
                <w:rFonts w:eastAsia="Times New Roman" w:cs="Segoe UI"/>
                <w:color w:val="222A35"/>
                <w:kern w:val="24"/>
                <w:sz w:val="20"/>
                <w:szCs w:val="20"/>
                <w:lang w:eastAsia="en-AU"/>
              </w:rPr>
              <w:t xml:space="preserve"> lack of incentive for developing </w:t>
            </w:r>
            <w:r w:rsidR="00CC3581" w:rsidRPr="006732A5">
              <w:rPr>
                <w:rFonts w:eastAsia="Times New Roman" w:cs="Segoe UI"/>
                <w:color w:val="222A35"/>
                <w:kern w:val="24"/>
                <w:sz w:val="20"/>
                <w:szCs w:val="20"/>
                <w:lang w:eastAsia="en-AU"/>
              </w:rPr>
              <w:t xml:space="preserve">health technologies in certain areas </w:t>
            </w:r>
            <w:hyperlink w:anchor="_Approaches_to_incentivise" w:history="1">
              <w:r w:rsidR="00B70C77" w:rsidRPr="00B70C77">
                <w:rPr>
                  <w:rFonts w:eastAsia="Times New Roman" w:cs="Segoe UI"/>
                  <w:sz w:val="20"/>
                  <w:szCs w:val="20"/>
                  <w:lang w:eastAsia="en-AU"/>
                </w:rPr>
                <w:t>(see</w:t>
              </w:r>
              <w:r w:rsidR="00B70C77" w:rsidRPr="00B70C77">
                <w:rPr>
                  <w:rFonts w:eastAsia="Times New Roman" w:cs="Segoe UI"/>
                  <w:color w:val="1D437F" w:themeColor="accent1"/>
                  <w:sz w:val="20"/>
                  <w:szCs w:val="20"/>
                  <w:lang w:eastAsia="en-AU"/>
                </w:rPr>
                <w:t xml:space="preserve"> </w:t>
              </w:r>
              <w:r w:rsidR="00B70C77" w:rsidRPr="00B70C77">
                <w:rPr>
                  <w:rFonts w:eastAsia="Times New Roman" w:cs="Segoe UI"/>
                  <w:color w:val="1D437F" w:themeColor="accent1"/>
                  <w:sz w:val="20"/>
                  <w:szCs w:val="20"/>
                  <w:u w:val="single"/>
                  <w:lang w:eastAsia="en-AU"/>
                </w:rPr>
                <w:t>Approaches to incentivise development of products that address antimicrobial resistance</w:t>
              </w:r>
              <w:r w:rsidR="00B70C77">
                <w:rPr>
                  <w:rFonts w:eastAsia="Times New Roman" w:cs="Segoe UI"/>
                  <w:sz w:val="20"/>
                  <w:szCs w:val="20"/>
                  <w:lang w:eastAsia="en-AU"/>
                </w:rPr>
                <w:t>)</w:t>
              </w:r>
              <w:r w:rsidR="00B70C77">
                <w:rPr>
                  <w:rFonts w:eastAsia="Times New Roman" w:cs="Segoe UI"/>
                  <w:color w:val="222A35"/>
                  <w:kern w:val="24"/>
                  <w:sz w:val="20"/>
                  <w:szCs w:val="20"/>
                  <w:lang w:eastAsia="en-AU"/>
                </w:rPr>
                <w:t xml:space="preserve"> </w:t>
              </w:r>
            </w:hyperlink>
            <w:r w:rsidR="00CC3581" w:rsidRPr="0337427D">
              <w:rPr>
                <w:rFonts w:eastAsia="Times New Roman" w:cs="Segoe UI"/>
                <w:sz w:val="20"/>
                <w:szCs w:val="20"/>
                <w:lang w:eastAsia="en-AU"/>
              </w:rPr>
              <w:t xml:space="preserve"> </w:t>
            </w:r>
          </w:p>
        </w:tc>
      </w:tr>
      <w:tr w:rsidR="00EE539F" w:rsidRPr="006647C5" w14:paraId="02A78148" w14:textId="77777777" w:rsidTr="00534579">
        <w:trPr>
          <w:trHeight w:val="775"/>
        </w:trPr>
        <w:tc>
          <w:tcPr>
            <w:tcW w:w="1055" w:type="dxa"/>
            <w:shd w:val="clear" w:color="auto" w:fill="FFFFFF" w:themeFill="background1"/>
            <w:tcMar>
              <w:top w:w="72" w:type="dxa"/>
              <w:left w:w="144" w:type="dxa"/>
              <w:bottom w:w="72" w:type="dxa"/>
              <w:right w:w="144" w:type="dxa"/>
            </w:tcMar>
          </w:tcPr>
          <w:p w14:paraId="6798185E" w14:textId="77777777" w:rsidR="00EE539F" w:rsidRPr="00A32D81" w:rsidRDefault="00EE539F"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50EBB9F8" w14:textId="64FD8ED3" w:rsidR="00EE539F" w:rsidRPr="00395D5F" w:rsidRDefault="00EE539F" w:rsidP="008A5286">
            <w:pPr>
              <w:pStyle w:val="Heading7"/>
              <w:keepNext w:val="0"/>
              <w:keepLines w:val="0"/>
              <w:rPr>
                <w:lang w:eastAsia="en-AU"/>
              </w:rPr>
            </w:pPr>
            <w:r w:rsidRPr="00395D5F">
              <w:rPr>
                <w:lang w:eastAsia="en-AU"/>
              </w:rPr>
              <w:t xml:space="preserve">Pricing offer </w:t>
            </w:r>
            <w:r w:rsidR="00C4648B">
              <w:rPr>
                <w:lang w:eastAsia="en-AU"/>
              </w:rPr>
              <w:t xml:space="preserve">(PO) </w:t>
            </w:r>
            <w:r w:rsidRPr="00395D5F">
              <w:rPr>
                <w:lang w:eastAsia="en-AU"/>
              </w:rPr>
              <w:t>and negotiation guidance framework</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DB16943" w14:textId="6A54745B" w:rsidR="00EE539F" w:rsidRPr="00395D5F" w:rsidRDefault="00EE539F" w:rsidP="008C10BB">
            <w:pPr>
              <w:spacing w:after="0"/>
              <w:rPr>
                <w:rFonts w:eastAsia="Times New Roman" w:cs="Segoe UI"/>
                <w:kern w:val="24"/>
                <w:sz w:val="20"/>
                <w:szCs w:val="20"/>
                <w:lang w:eastAsia="en-AU"/>
              </w:rPr>
            </w:pPr>
            <w:r w:rsidRPr="00395D5F">
              <w:rPr>
                <w:rFonts w:eastAsia="Times New Roman" w:cs="Segoe UI"/>
                <w:kern w:val="24"/>
                <w:sz w:val="20"/>
                <w:szCs w:val="20"/>
                <w:lang w:eastAsia="en-AU"/>
              </w:rPr>
              <w:t xml:space="preserve">Introduction of a </w:t>
            </w:r>
            <w:r w:rsidR="00C4648B">
              <w:rPr>
                <w:rFonts w:eastAsia="Times New Roman" w:cs="Segoe UI"/>
                <w:kern w:val="24"/>
                <w:sz w:val="20"/>
                <w:szCs w:val="20"/>
                <w:lang w:eastAsia="en-AU"/>
              </w:rPr>
              <w:t>PO</w:t>
            </w:r>
            <w:r w:rsidRPr="00395D5F">
              <w:rPr>
                <w:rFonts w:eastAsia="Times New Roman" w:cs="Segoe UI"/>
                <w:kern w:val="24"/>
                <w:sz w:val="20"/>
                <w:szCs w:val="20"/>
                <w:lang w:eastAsia="en-AU"/>
              </w:rPr>
              <w:t xml:space="preserve"> and negotiation guidance framework for health technologies that have been</w:t>
            </w:r>
            <w:r w:rsidR="00C9533A">
              <w:rPr>
                <w:rFonts w:eastAsia="Times New Roman" w:cs="Segoe UI"/>
                <w:kern w:val="24"/>
                <w:sz w:val="20"/>
                <w:szCs w:val="20"/>
                <w:lang w:eastAsia="en-AU"/>
              </w:rPr>
              <w:t xml:space="preserve"> approved by the TGA and</w:t>
            </w:r>
            <w:r w:rsidRPr="00395D5F">
              <w:rPr>
                <w:rFonts w:eastAsia="Times New Roman" w:cs="Segoe UI"/>
                <w:kern w:val="24"/>
                <w:sz w:val="20"/>
                <w:szCs w:val="20"/>
                <w:lang w:eastAsia="en-AU"/>
              </w:rPr>
              <w:t xml:space="preserve"> positively recommended by a HTA Committee, which accounts for the comparative/incremental health benefit of the health technologies compared to existing available subsidised products, as well as overall budget impact</w:t>
            </w:r>
            <w:r w:rsidR="007A506F">
              <w:rPr>
                <w:rFonts w:eastAsia="Times New Roman" w:cs="Segoe UI"/>
                <w:kern w:val="24"/>
                <w:sz w:val="20"/>
                <w:szCs w:val="20"/>
                <w:lang w:eastAsia="en-AU"/>
              </w:rPr>
              <w:fldChar w:fldCharType="begin"/>
            </w:r>
            <w:r w:rsidR="007A506F">
              <w:instrText xml:space="preserve"> XE "</w:instrText>
            </w:r>
            <w:r w:rsidR="007A506F" w:rsidRPr="00C256AB">
              <w:rPr>
                <w:rFonts w:eastAsia="Times New Roman" w:cs="Segoe UI"/>
                <w:kern w:val="24"/>
                <w:lang w:eastAsia="en-AU"/>
              </w:rPr>
              <w:instrText>budget impact</w:instrText>
            </w:r>
            <w:r w:rsidR="007A506F">
              <w:instrText xml:space="preserve">" \b </w:instrText>
            </w:r>
            <w:r w:rsidR="007A506F">
              <w:rPr>
                <w:rFonts w:eastAsia="Times New Roman" w:cs="Segoe UI"/>
                <w:kern w:val="24"/>
                <w:sz w:val="20"/>
                <w:szCs w:val="20"/>
                <w:lang w:eastAsia="en-AU"/>
              </w:rPr>
              <w:fldChar w:fldCharType="end"/>
            </w:r>
            <w:r w:rsidRPr="00395D5F">
              <w:rPr>
                <w:rFonts w:eastAsia="Times New Roman" w:cs="Segoe UI"/>
                <w:kern w:val="24"/>
                <w:sz w:val="20"/>
                <w:szCs w:val="20"/>
                <w:lang w:eastAsia="en-AU"/>
              </w:rPr>
              <w:t xml:space="preserve"> implications.</w:t>
            </w:r>
            <w:r w:rsidR="007A1B3A">
              <w:rPr>
                <w:rFonts w:eastAsia="Times New Roman" w:cs="Segoe UI"/>
                <w:kern w:val="24"/>
                <w:sz w:val="20"/>
                <w:szCs w:val="20"/>
                <w:lang w:eastAsia="en-AU"/>
              </w:rPr>
              <w:t xml:space="preserve"> </w:t>
            </w:r>
          </w:p>
          <w:p w14:paraId="5A200774" w14:textId="4A1724F1" w:rsidR="00EE539F" w:rsidRPr="00395D5F" w:rsidRDefault="006C3023" w:rsidP="008C10BB">
            <w:pPr>
              <w:spacing w:after="0"/>
              <w:rPr>
                <w:rFonts w:eastAsia="Times New Roman" w:cs="Segoe UI"/>
                <w:kern w:val="24"/>
                <w:sz w:val="20"/>
                <w:szCs w:val="20"/>
                <w:lang w:eastAsia="en-AU"/>
              </w:rPr>
            </w:pPr>
            <w:r w:rsidRPr="00395D5F">
              <w:rPr>
                <w:rFonts w:eastAsia="Times New Roman" w:cs="Segoe UI"/>
                <w:kern w:val="24"/>
                <w:sz w:val="20"/>
                <w:szCs w:val="20"/>
                <w:lang w:eastAsia="en-AU"/>
              </w:rPr>
              <w:t>Such prescriptive frameworks exist</w:t>
            </w:r>
            <w:r w:rsidR="00EE539F" w:rsidRPr="00395D5F">
              <w:rPr>
                <w:rFonts w:eastAsia="Times New Roman" w:cs="Segoe UI"/>
                <w:kern w:val="24"/>
                <w:sz w:val="20"/>
                <w:szCs w:val="20"/>
                <w:lang w:eastAsia="en-AU"/>
              </w:rPr>
              <w:t xml:space="preserve"> in </w:t>
            </w:r>
            <w:proofErr w:type="gramStart"/>
            <w:r w:rsidR="0059068F" w:rsidRPr="00395D5F">
              <w:rPr>
                <w:rFonts w:eastAsia="Times New Roman" w:cs="Segoe UI"/>
                <w:kern w:val="24"/>
                <w:sz w:val="20"/>
                <w:szCs w:val="20"/>
                <w:lang w:eastAsia="en-AU"/>
              </w:rPr>
              <w:t>a number of</w:t>
            </w:r>
            <w:proofErr w:type="gramEnd"/>
            <w:r w:rsidR="00EE539F" w:rsidRPr="00395D5F">
              <w:rPr>
                <w:rFonts w:eastAsia="Times New Roman" w:cs="Segoe UI"/>
                <w:kern w:val="24"/>
                <w:sz w:val="20"/>
                <w:szCs w:val="20"/>
                <w:lang w:eastAsia="en-AU"/>
              </w:rPr>
              <w:t xml:space="preserve"> European healthcare systems where HTA evaluation</w:t>
            </w:r>
            <w:r w:rsidR="00594719" w:rsidRPr="00395D5F">
              <w:rPr>
                <w:rFonts w:eastAsia="Times New Roman" w:cs="Segoe UI"/>
                <w:kern w:val="24"/>
                <w:sz w:val="20"/>
                <w:szCs w:val="20"/>
                <w:lang w:eastAsia="en-AU"/>
              </w:rPr>
              <w:t>s</w:t>
            </w:r>
            <w:r w:rsidR="00EE539F" w:rsidRPr="00395D5F">
              <w:rPr>
                <w:rFonts w:eastAsia="Times New Roman" w:cs="Segoe UI"/>
                <w:kern w:val="24"/>
                <w:sz w:val="20"/>
                <w:szCs w:val="20"/>
                <w:lang w:eastAsia="en-AU"/>
              </w:rPr>
              <w:t xml:space="preserve"> explicitly influence reimbursement/pricing negotiation</w:t>
            </w:r>
            <w:r w:rsidR="00452C21">
              <w:rPr>
                <w:rFonts w:eastAsia="Times New Roman" w:cs="Segoe UI"/>
                <w:kern w:val="24"/>
                <w:sz w:val="20"/>
                <w:szCs w:val="20"/>
                <w:lang w:eastAsia="en-AU"/>
              </w:rPr>
              <w:fldChar w:fldCharType="begin"/>
            </w:r>
            <w:r w:rsidR="00452C21">
              <w:instrText xml:space="preserve"> XE "</w:instrText>
            </w:r>
            <w:r w:rsidR="00452C21" w:rsidRPr="00936F31">
              <w:rPr>
                <w:rFonts w:eastAsia="Times New Roman" w:cs="Segoe UI"/>
                <w:kern w:val="24"/>
                <w:lang w:eastAsia="en-AU"/>
              </w:rPr>
              <w:instrText xml:space="preserve">price </w:instrText>
            </w:r>
            <w:proofErr w:type="spellStart"/>
            <w:r w:rsidR="00452C21" w:rsidRPr="00936F31">
              <w:rPr>
                <w:rFonts w:eastAsia="Times New Roman" w:cs="Segoe UI"/>
                <w:kern w:val="24"/>
                <w:lang w:eastAsia="en-AU"/>
              </w:rPr>
              <w:instrText>negotiation</w:instrText>
            </w:r>
            <w:r w:rsidR="00452C21" w:rsidRPr="00936F31">
              <w:rPr>
                <w:rFonts w:eastAsia="Times New Roman" w:cs="Segoe UI"/>
                <w:kern w:val="24"/>
              </w:rPr>
              <w:instrText>:</w:instrText>
            </w:r>
            <w:r w:rsidR="00452C21" w:rsidRPr="00936F31">
              <w:instrText>pricing</w:instrText>
            </w:r>
            <w:proofErr w:type="spellEnd"/>
            <w:r w:rsidR="00452C21" w:rsidRPr="00936F31">
              <w:instrText xml:space="preserve"> negotiation</w:instrText>
            </w:r>
            <w:r w:rsidR="00452C21">
              <w:instrText xml:space="preserve">" \b </w:instrText>
            </w:r>
            <w:r w:rsidR="00452C21">
              <w:rPr>
                <w:rFonts w:eastAsia="Times New Roman" w:cs="Segoe UI"/>
                <w:kern w:val="24"/>
                <w:sz w:val="20"/>
                <w:szCs w:val="20"/>
                <w:lang w:eastAsia="en-AU"/>
              </w:rPr>
              <w:fldChar w:fldCharType="end"/>
            </w:r>
            <w:r w:rsidR="00EE539F" w:rsidRPr="00395D5F">
              <w:rPr>
                <w:rFonts w:eastAsia="Times New Roman" w:cs="Segoe UI"/>
                <w:kern w:val="24"/>
                <w:sz w:val="20"/>
                <w:szCs w:val="20"/>
                <w:lang w:eastAsia="en-AU"/>
              </w:rPr>
              <w:t xml:space="preserve"> parameters.</w:t>
            </w:r>
            <w:r w:rsidR="007A1B3A">
              <w:rPr>
                <w:rFonts w:eastAsia="Times New Roman" w:cs="Segoe UI"/>
                <w:kern w:val="24"/>
                <w:sz w:val="20"/>
                <w:szCs w:val="20"/>
                <w:lang w:eastAsia="en-AU"/>
              </w:rPr>
              <w:t xml:space="preserve"> </w:t>
            </w:r>
          </w:p>
          <w:p w14:paraId="2A313CEF" w14:textId="77777777" w:rsidR="00160C0C" w:rsidRDefault="00160C0C" w:rsidP="008C10BB">
            <w:pPr>
              <w:spacing w:after="0"/>
              <w:rPr>
                <w:rFonts w:eastAsia="Times New Roman" w:cs="Segoe UI"/>
                <w:kern w:val="24"/>
                <w:sz w:val="20"/>
                <w:szCs w:val="20"/>
                <w:lang w:eastAsia="en-AU"/>
              </w:rPr>
            </w:pPr>
          </w:p>
          <w:p w14:paraId="19CADE5C" w14:textId="5309633F" w:rsidR="00EE539F" w:rsidRPr="00395D5F" w:rsidRDefault="00EE539F" w:rsidP="008C10BB">
            <w:pPr>
              <w:spacing w:after="0"/>
              <w:rPr>
                <w:rFonts w:eastAsia="Times New Roman" w:cs="Segoe UI"/>
                <w:kern w:val="24"/>
                <w:sz w:val="20"/>
                <w:szCs w:val="20"/>
                <w:lang w:eastAsia="en-AU"/>
              </w:rPr>
            </w:pPr>
            <w:r w:rsidRPr="00395D5F">
              <w:rPr>
                <w:rFonts w:eastAsia="Times New Roman" w:cs="Segoe UI"/>
                <w:kern w:val="24"/>
                <w:sz w:val="20"/>
                <w:szCs w:val="20"/>
                <w:lang w:eastAsia="en-AU"/>
              </w:rPr>
              <w:t>This framework may be designed to apply to: </w:t>
            </w:r>
          </w:p>
          <w:p w14:paraId="16C13482" w14:textId="5FDB7B27" w:rsidR="00EE539F" w:rsidRPr="006732A5" w:rsidRDefault="00EE539F" w:rsidP="008505D7">
            <w:pPr>
              <w:pStyle w:val="ListParagraph"/>
              <w:numPr>
                <w:ilvl w:val="0"/>
                <w:numId w:val="105"/>
              </w:numPr>
              <w:spacing w:after="0"/>
              <w:ind w:left="782" w:hanging="425"/>
              <w:rPr>
                <w:rFonts w:eastAsia="Times New Roman" w:cs="Segoe UI"/>
                <w:color w:val="222A35"/>
                <w:kern w:val="24"/>
                <w:sz w:val="20"/>
                <w:szCs w:val="20"/>
                <w:lang w:eastAsia="en-AU"/>
              </w:rPr>
            </w:pPr>
            <w:r w:rsidRPr="006732A5">
              <w:rPr>
                <w:rFonts w:eastAsia="Times New Roman" w:cs="Segoe UI"/>
                <w:color w:val="222A35"/>
                <w:kern w:val="24"/>
                <w:sz w:val="20"/>
                <w:szCs w:val="20"/>
                <w:lang w:eastAsia="en-AU"/>
              </w:rPr>
              <w:t xml:space="preserve">all health technologies submitted for HTA </w:t>
            </w:r>
            <w:proofErr w:type="gramStart"/>
            <w:r w:rsidRPr="006732A5">
              <w:rPr>
                <w:rFonts w:eastAsia="Times New Roman" w:cs="Segoe UI"/>
                <w:color w:val="222A35"/>
                <w:kern w:val="24"/>
                <w:sz w:val="20"/>
                <w:szCs w:val="20"/>
                <w:lang w:eastAsia="en-AU"/>
              </w:rPr>
              <w:t>evaluation;</w:t>
            </w:r>
            <w:proofErr w:type="gramEnd"/>
            <w:r w:rsidR="007A1B3A">
              <w:rPr>
                <w:rFonts w:eastAsia="Times New Roman" w:cs="Segoe UI"/>
                <w:color w:val="222A35"/>
                <w:kern w:val="24"/>
                <w:sz w:val="20"/>
                <w:szCs w:val="20"/>
                <w:lang w:eastAsia="en-AU"/>
              </w:rPr>
              <w:t xml:space="preserve"> </w:t>
            </w:r>
          </w:p>
          <w:p w14:paraId="0D0824D7" w14:textId="3C101C6E" w:rsidR="00EE539F" w:rsidRPr="006732A5" w:rsidRDefault="00EE539F" w:rsidP="008505D7">
            <w:pPr>
              <w:pStyle w:val="ListParagraph"/>
              <w:numPr>
                <w:ilvl w:val="0"/>
                <w:numId w:val="105"/>
              </w:numPr>
              <w:spacing w:after="0"/>
              <w:ind w:left="782" w:hanging="425"/>
              <w:rPr>
                <w:rFonts w:eastAsia="Times New Roman" w:cs="Segoe UI"/>
                <w:color w:val="222A35"/>
                <w:kern w:val="24"/>
                <w:sz w:val="20"/>
                <w:szCs w:val="20"/>
                <w:lang w:eastAsia="en-AU"/>
              </w:rPr>
            </w:pPr>
            <w:r w:rsidRPr="006732A5">
              <w:rPr>
                <w:rFonts w:eastAsia="Times New Roman" w:cs="Segoe UI"/>
                <w:color w:val="222A35"/>
                <w:kern w:val="24"/>
                <w:sz w:val="20"/>
                <w:szCs w:val="20"/>
                <w:lang w:eastAsia="en-AU"/>
              </w:rPr>
              <w:t>health technologies submitted for HTA evaluation on a cost-minimisation</w:t>
            </w:r>
            <w:r w:rsidR="007A17DF" w:rsidRPr="006732A5">
              <w:rPr>
                <w:rFonts w:eastAsia="Times New Roman" w:cs="Segoe UI"/>
                <w:color w:val="222A35"/>
                <w:kern w:val="24"/>
                <w:sz w:val="20"/>
                <w:szCs w:val="20"/>
                <w:lang w:eastAsia="en-AU"/>
              </w:rPr>
              <w:fldChar w:fldCharType="begin"/>
            </w:r>
            <w:r w:rsidR="007A17DF" w:rsidRPr="006732A5">
              <w:rPr>
                <w:rFonts w:eastAsia="Times New Roman" w:cs="Segoe UI"/>
                <w:color w:val="222A35"/>
                <w:kern w:val="24"/>
                <w:sz w:val="20"/>
                <w:szCs w:val="20"/>
                <w:lang w:eastAsia="en-AU"/>
              </w:rPr>
              <w:instrText xml:space="preserve"> XE "cost-minimisation" \b </w:instrText>
            </w:r>
            <w:r w:rsidR="007A17DF" w:rsidRPr="006732A5">
              <w:rPr>
                <w:rFonts w:eastAsia="Times New Roman" w:cs="Segoe UI"/>
                <w:color w:val="222A35"/>
                <w:kern w:val="24"/>
                <w:sz w:val="20"/>
                <w:szCs w:val="20"/>
                <w:lang w:eastAsia="en-AU"/>
              </w:rPr>
              <w:fldChar w:fldCharType="end"/>
            </w:r>
            <w:r w:rsidRPr="006732A5">
              <w:rPr>
                <w:rFonts w:eastAsia="Times New Roman" w:cs="Segoe UI"/>
                <w:color w:val="222A35"/>
                <w:kern w:val="24"/>
                <w:sz w:val="20"/>
                <w:szCs w:val="20"/>
                <w:lang w:eastAsia="en-AU"/>
              </w:rPr>
              <w:t xml:space="preserve"> basis; or </w:t>
            </w:r>
          </w:p>
          <w:p w14:paraId="7E4A478A" w14:textId="3AA5FBD3" w:rsidR="00EE539F" w:rsidRPr="00395D5F" w:rsidRDefault="00EE539F" w:rsidP="008505D7">
            <w:pPr>
              <w:pStyle w:val="ListParagraph"/>
              <w:numPr>
                <w:ilvl w:val="0"/>
                <w:numId w:val="105"/>
              </w:numPr>
              <w:spacing w:after="0"/>
              <w:ind w:left="782" w:hanging="425"/>
              <w:rPr>
                <w:rFonts w:eastAsia="Times New Roman" w:cs="Segoe UI"/>
                <w:kern w:val="24"/>
                <w:sz w:val="20"/>
                <w:szCs w:val="20"/>
                <w:lang w:eastAsia="en-AU"/>
              </w:rPr>
            </w:pPr>
            <w:r w:rsidRPr="006732A5">
              <w:rPr>
                <w:rFonts w:eastAsia="Times New Roman" w:cs="Segoe UI"/>
                <w:color w:val="222A35"/>
                <w:kern w:val="24"/>
                <w:sz w:val="20"/>
                <w:szCs w:val="20"/>
                <w:lang w:eastAsia="en-AU"/>
              </w:rPr>
              <w:t xml:space="preserve">specific health technologies that meet defined criteria (e.g. </w:t>
            </w:r>
            <w:r w:rsidR="001E61FE">
              <w:rPr>
                <w:rFonts w:eastAsia="Times New Roman" w:cs="Segoe UI"/>
                <w:color w:val="222A35"/>
                <w:kern w:val="24"/>
                <w:sz w:val="20"/>
                <w:szCs w:val="20"/>
                <w:lang w:eastAsia="en-AU"/>
              </w:rPr>
              <w:t>advanced therapie</w:t>
            </w:r>
            <w:r w:rsidRPr="006732A5">
              <w:rPr>
                <w:rFonts w:eastAsia="Times New Roman" w:cs="Segoe UI"/>
                <w:color w:val="222A35"/>
                <w:kern w:val="24"/>
                <w:sz w:val="20"/>
                <w:szCs w:val="20"/>
                <w:lang w:eastAsia="en-AU"/>
              </w:rPr>
              <w:t>s</w:t>
            </w:r>
            <w:r w:rsidR="00FB4DDB" w:rsidRPr="006732A5">
              <w:rPr>
                <w:rFonts w:eastAsia="Times New Roman" w:cs="Segoe UI"/>
                <w:color w:val="222A35"/>
                <w:kern w:val="24"/>
                <w:sz w:val="20"/>
                <w:szCs w:val="20"/>
                <w:lang w:eastAsia="en-AU"/>
              </w:rPr>
              <w:fldChar w:fldCharType="begin"/>
            </w:r>
            <w:r w:rsidR="00FB4DDB" w:rsidRPr="006732A5">
              <w:rPr>
                <w:rFonts w:eastAsia="Times New Roman" w:cs="Segoe UI"/>
                <w:color w:val="222A35"/>
                <w:kern w:val="24"/>
                <w:sz w:val="20"/>
                <w:szCs w:val="20"/>
                <w:lang w:eastAsia="en-AU"/>
              </w:rPr>
              <w:instrText xml:space="preserve"> XE "highly specialised </w:instrText>
            </w:r>
            <w:proofErr w:type="spellStart"/>
            <w:proofErr w:type="gramStart"/>
            <w:r w:rsidR="00FB4DDB" w:rsidRPr="006732A5">
              <w:rPr>
                <w:rFonts w:eastAsia="Times New Roman" w:cs="Segoe UI"/>
                <w:color w:val="222A35"/>
                <w:kern w:val="24"/>
                <w:sz w:val="20"/>
                <w:szCs w:val="20"/>
                <w:lang w:eastAsia="en-AU"/>
              </w:rPr>
              <w:instrText>therapies:HST</w:instrText>
            </w:r>
            <w:proofErr w:type="spellEnd"/>
            <w:proofErr w:type="gramEnd"/>
            <w:r w:rsidR="00FB4DDB" w:rsidRPr="006732A5">
              <w:rPr>
                <w:rFonts w:eastAsia="Times New Roman" w:cs="Segoe UI"/>
                <w:color w:val="222A35"/>
                <w:kern w:val="24"/>
                <w:sz w:val="20"/>
                <w:szCs w:val="20"/>
                <w:lang w:eastAsia="en-AU"/>
              </w:rPr>
              <w:instrText xml:space="preserve">" \b </w:instrText>
            </w:r>
            <w:r w:rsidR="00FB4DDB" w:rsidRPr="006732A5">
              <w:rPr>
                <w:rFonts w:eastAsia="Times New Roman" w:cs="Segoe UI"/>
                <w:color w:val="222A35"/>
                <w:kern w:val="24"/>
                <w:sz w:val="20"/>
                <w:szCs w:val="20"/>
                <w:lang w:eastAsia="en-AU"/>
              </w:rPr>
              <w:fldChar w:fldCharType="end"/>
            </w:r>
            <w:r w:rsidRPr="006732A5">
              <w:rPr>
                <w:rFonts w:eastAsia="Times New Roman" w:cs="Segoe UI"/>
                <w:color w:val="222A35"/>
                <w:kern w:val="24"/>
                <w:sz w:val="20"/>
                <w:szCs w:val="20"/>
                <w:lang w:eastAsia="en-AU"/>
              </w:rPr>
              <w:t>, first-in-class therapies of high clinical benefit that address unmet need, health technologies that support measures to address health equity</w:t>
            </w:r>
            <w:r w:rsidR="00A67FBB" w:rsidRPr="006732A5">
              <w:rPr>
                <w:rFonts w:eastAsia="Times New Roman" w:cs="Segoe UI"/>
                <w:color w:val="222A35"/>
                <w:kern w:val="24"/>
                <w:sz w:val="20"/>
                <w:szCs w:val="20"/>
                <w:lang w:eastAsia="en-AU"/>
              </w:rPr>
              <w:fldChar w:fldCharType="begin"/>
            </w:r>
            <w:r w:rsidR="00A67FBB" w:rsidRPr="006732A5">
              <w:rPr>
                <w:rFonts w:eastAsia="Times New Roman" w:cs="Segoe UI"/>
                <w:color w:val="222A35"/>
                <w:kern w:val="24"/>
                <w:sz w:val="20"/>
                <w:szCs w:val="20"/>
                <w:lang w:eastAsia="en-AU"/>
              </w:rPr>
              <w:instrText xml:space="preserve"> XE "</w:instrText>
            </w:r>
            <w:r w:rsidR="00A67FBB" w:rsidRPr="009440D8">
              <w:rPr>
                <w:rFonts w:eastAsia="Times New Roman" w:cs="Segoe UI"/>
                <w:color w:val="222A35"/>
                <w:kern w:val="24"/>
                <w:sz w:val="20"/>
                <w:szCs w:val="20"/>
                <w:lang w:eastAsia="en-AU"/>
              </w:rPr>
              <w:instrText>equity</w:instrText>
            </w:r>
            <w:r w:rsidR="00A67FBB" w:rsidRPr="006732A5">
              <w:rPr>
                <w:rFonts w:eastAsia="Times New Roman" w:cs="Segoe UI"/>
                <w:color w:val="222A35"/>
                <w:kern w:val="24"/>
                <w:sz w:val="20"/>
                <w:szCs w:val="20"/>
                <w:lang w:eastAsia="en-AU"/>
              </w:rPr>
              <w:instrText xml:space="preserve">" </w:instrText>
            </w:r>
            <w:r w:rsidR="00A67FBB" w:rsidRPr="006732A5">
              <w:rPr>
                <w:rFonts w:eastAsia="Times New Roman" w:cs="Segoe UI"/>
                <w:color w:val="222A35"/>
                <w:kern w:val="24"/>
                <w:sz w:val="20"/>
                <w:szCs w:val="20"/>
                <w:lang w:eastAsia="en-AU"/>
              </w:rPr>
              <w:fldChar w:fldCharType="end"/>
            </w:r>
            <w:r w:rsidRPr="006732A5">
              <w:rPr>
                <w:rFonts w:eastAsia="Times New Roman" w:cs="Segoe UI"/>
                <w:color w:val="222A35"/>
                <w:kern w:val="24"/>
                <w:sz w:val="20"/>
                <w:szCs w:val="20"/>
                <w:lang w:eastAsia="en-AU"/>
              </w:rPr>
              <w:t xml:space="preserve"> and/or other priority areas)</w:t>
            </w:r>
            <w:r w:rsidRPr="00395D5F">
              <w:rPr>
                <w:rFonts w:eastAsia="Times New Roman" w:cs="Segoe UI"/>
                <w:kern w:val="24"/>
                <w:sz w:val="20"/>
                <w:szCs w:val="20"/>
                <w:lang w:eastAsia="en-AU"/>
              </w:rPr>
              <w:t> </w:t>
            </w:r>
          </w:p>
        </w:tc>
      </w:tr>
      <w:tr w:rsidR="005D1935" w:rsidRPr="006647C5" w14:paraId="2082FD20" w14:textId="77777777" w:rsidTr="00534579">
        <w:trPr>
          <w:trHeight w:val="775"/>
        </w:trPr>
        <w:tc>
          <w:tcPr>
            <w:tcW w:w="1055" w:type="dxa"/>
            <w:shd w:val="clear" w:color="auto" w:fill="FFFFFF" w:themeFill="background1"/>
            <w:tcMar>
              <w:top w:w="72" w:type="dxa"/>
              <w:left w:w="144" w:type="dxa"/>
              <w:bottom w:w="72" w:type="dxa"/>
              <w:right w:w="144" w:type="dxa"/>
            </w:tcMar>
          </w:tcPr>
          <w:p w14:paraId="7878A38E" w14:textId="77777777" w:rsidR="005D1935" w:rsidRPr="00A32D81" w:rsidRDefault="005D1935"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35C48746" w14:textId="0DFA33A5" w:rsidR="005D1935" w:rsidRPr="00395D5F" w:rsidRDefault="00EC6E99" w:rsidP="008A5286">
            <w:pPr>
              <w:pStyle w:val="Heading7"/>
              <w:keepNext w:val="0"/>
              <w:keepLines w:val="0"/>
              <w:rPr>
                <w:rFonts w:eastAsia="Times New Roman"/>
                <w:kern w:val="24"/>
                <w:lang w:eastAsia="en-AU"/>
              </w:rPr>
            </w:pPr>
            <w:r w:rsidRPr="00395D5F">
              <w:rPr>
                <w:lang w:eastAsia="en-AU"/>
              </w:rPr>
              <w:t>Post-listing re</w:t>
            </w:r>
            <w:r w:rsidR="00E87AC0" w:rsidRPr="00395D5F">
              <w:rPr>
                <w:rFonts w:eastAsia="Times New Roman"/>
                <w:kern w:val="24"/>
                <w:lang w:eastAsia="en-AU"/>
              </w:rPr>
              <w:t>-assessment</w:t>
            </w:r>
            <w:r w:rsidR="001624D2">
              <w:rPr>
                <w:rFonts w:eastAsia="Times New Roman"/>
                <w:kern w:val="24"/>
                <w:lang w:eastAsia="en-AU"/>
              </w:rPr>
              <w:fldChar w:fldCharType="begin"/>
            </w:r>
            <w:r w:rsidR="001624D2">
              <w:instrText xml:space="preserve"> XE "</w:instrText>
            </w:r>
            <w:r w:rsidR="001624D2" w:rsidRPr="001974D0">
              <w:rPr>
                <w:rFonts w:eastAsia="Times New Roman"/>
                <w:kern w:val="24"/>
                <w:lang w:eastAsia="en-AU"/>
              </w:rPr>
              <w:instrText>re-assessment</w:instrText>
            </w:r>
            <w:r w:rsidR="001624D2">
              <w:instrText xml:space="preserve">" \b </w:instrText>
            </w:r>
            <w:r w:rsidR="001624D2">
              <w:rPr>
                <w:rFonts w:eastAsia="Times New Roman"/>
                <w:kern w:val="24"/>
                <w:lang w:eastAsia="en-AU"/>
              </w:rPr>
              <w:fldChar w:fldCharType="end"/>
            </w:r>
            <w:r w:rsidR="005D1935" w:rsidRPr="00395D5F">
              <w:rPr>
                <w:rFonts w:eastAsia="Times New Roman"/>
                <w:kern w:val="24"/>
                <w:lang w:eastAsia="en-AU"/>
              </w:rPr>
              <w:t xml:space="preserve"> of health technologies</w:t>
            </w:r>
          </w:p>
          <w:p w14:paraId="47277559" w14:textId="77777777" w:rsidR="005D1935" w:rsidRPr="00395D5F" w:rsidRDefault="005D1935" w:rsidP="008C10BB">
            <w:pPr>
              <w:spacing w:after="120"/>
              <w:rPr>
                <w:rFonts w:eastAsia="Times New Roman" w:cs="Segoe UI"/>
                <w:kern w:val="24"/>
                <w:sz w:val="20"/>
                <w:szCs w:val="20"/>
                <w:lang w:eastAsia="en-AU"/>
              </w:rPr>
            </w:pP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FCDAD6D" w14:textId="0C302D03" w:rsidR="005D1935" w:rsidRPr="00395D5F" w:rsidRDefault="005D1935" w:rsidP="008C10BB">
            <w:pPr>
              <w:rPr>
                <w:rFonts w:eastAsia="Times New Roman" w:cs="Segoe UI"/>
                <w:kern w:val="24"/>
                <w:sz w:val="20"/>
                <w:szCs w:val="20"/>
                <w:lang w:eastAsia="en-AU"/>
              </w:rPr>
            </w:pPr>
            <w:r w:rsidRPr="00395D5F">
              <w:rPr>
                <w:rFonts w:eastAsia="Times New Roman" w:cs="Segoe UI"/>
                <w:kern w:val="24"/>
                <w:sz w:val="20"/>
                <w:szCs w:val="20"/>
                <w:lang w:eastAsia="en-AU"/>
              </w:rPr>
              <w:lastRenderedPageBreak/>
              <w:t xml:space="preserve">Introduction of a </w:t>
            </w:r>
            <w:r w:rsidR="00F658B4" w:rsidRPr="00395D5F">
              <w:rPr>
                <w:rFonts w:eastAsia="Times New Roman" w:cs="Segoe UI"/>
                <w:kern w:val="24"/>
                <w:sz w:val="20"/>
                <w:szCs w:val="20"/>
                <w:lang w:eastAsia="en-AU"/>
              </w:rPr>
              <w:t xml:space="preserve">systematic </w:t>
            </w:r>
            <w:r w:rsidR="00FA78E3" w:rsidRPr="00395D5F">
              <w:rPr>
                <w:rFonts w:eastAsia="Times New Roman" w:cs="Segoe UI"/>
                <w:kern w:val="24"/>
                <w:sz w:val="20"/>
                <w:szCs w:val="20"/>
                <w:lang w:eastAsia="en-AU"/>
              </w:rPr>
              <w:t>and enhanced, rapid</w:t>
            </w:r>
            <w:r w:rsidRPr="00395D5F">
              <w:rPr>
                <w:rFonts w:eastAsia="Times New Roman" w:cs="Segoe UI"/>
                <w:kern w:val="24"/>
                <w:sz w:val="20"/>
                <w:szCs w:val="20"/>
                <w:lang w:eastAsia="en-AU"/>
              </w:rPr>
              <w:t xml:space="preserve"> program that (re-) reviews health technologies to provide funding/purchasing and disinvestment advice to the HTA Committee for consideration at </w:t>
            </w:r>
            <w:r w:rsidR="00BD1496" w:rsidRPr="00395D5F">
              <w:rPr>
                <w:rFonts w:eastAsia="Times New Roman" w:cs="Segoe UI"/>
                <w:kern w:val="24"/>
                <w:sz w:val="20"/>
                <w:szCs w:val="20"/>
                <w:lang w:eastAsia="en-AU"/>
              </w:rPr>
              <w:t>set</w:t>
            </w:r>
            <w:r w:rsidRPr="00395D5F">
              <w:rPr>
                <w:rFonts w:eastAsia="Times New Roman" w:cs="Segoe UI"/>
                <w:kern w:val="24"/>
                <w:sz w:val="20"/>
                <w:szCs w:val="20"/>
                <w:lang w:eastAsia="en-AU"/>
              </w:rPr>
              <w:t xml:space="preserve"> periodic intervals after the initial HTA evaluation. As part of establishing this standing program, an explicit disinvestment framework should also be designed and communicated to stakeholders after appropriate consultations.</w:t>
            </w:r>
          </w:p>
        </w:tc>
      </w:tr>
      <w:tr w:rsidR="000C7F7A" w:rsidRPr="006647C5" w14:paraId="53CFF7AC" w14:textId="77777777" w:rsidTr="00534579">
        <w:trPr>
          <w:trHeight w:val="775"/>
        </w:trPr>
        <w:tc>
          <w:tcPr>
            <w:tcW w:w="1055" w:type="dxa"/>
            <w:shd w:val="clear" w:color="auto" w:fill="FFFFFF" w:themeFill="background1"/>
            <w:tcMar>
              <w:top w:w="72" w:type="dxa"/>
              <w:left w:w="144" w:type="dxa"/>
              <w:bottom w:w="72" w:type="dxa"/>
              <w:right w:w="144" w:type="dxa"/>
            </w:tcMar>
          </w:tcPr>
          <w:p w14:paraId="31D48A85" w14:textId="77777777" w:rsidR="000C7F7A" w:rsidRPr="00A32D81" w:rsidRDefault="000C7F7A"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41D2E1C4" w14:textId="2EFA2FE1" w:rsidR="000C7F7A" w:rsidRPr="00395D5F" w:rsidRDefault="002A7AE4" w:rsidP="008A5286">
            <w:pPr>
              <w:pStyle w:val="Heading7"/>
              <w:keepNext w:val="0"/>
              <w:keepLines w:val="0"/>
              <w:rPr>
                <w:lang w:eastAsia="en-AU"/>
              </w:rPr>
            </w:pPr>
            <w:bookmarkStart w:id="45" w:name="_Ref156855855"/>
            <w:r w:rsidRPr="00395D5F">
              <w:rPr>
                <w:lang w:eastAsia="en-AU"/>
              </w:rPr>
              <w:t>Approaches for managing uncertainty</w:t>
            </w:r>
            <w:bookmarkEnd w:id="45"/>
            <w:r w:rsidR="00062223">
              <w:rPr>
                <w:lang w:eastAsia="en-AU"/>
              </w:rPr>
              <w:t xml:space="preserve"> - b</w:t>
            </w:r>
            <w:r w:rsidR="00891825" w:rsidRPr="00891825">
              <w:rPr>
                <w:lang w:eastAsia="en-AU"/>
              </w:rPr>
              <w:t xml:space="preserve">ridging funding coverage for earlier access to therapies of likely </w:t>
            </w:r>
            <w:r w:rsidR="00006C7C">
              <w:rPr>
                <w:lang w:eastAsia="en-AU"/>
              </w:rPr>
              <w:t>HATV</w:t>
            </w:r>
            <w:r w:rsidR="00891825" w:rsidRPr="00891825">
              <w:rPr>
                <w:lang w:eastAsia="en-AU"/>
              </w:rPr>
              <w:t xml:space="preserve"> and HUCN</w:t>
            </w:r>
            <w:r w:rsidR="0077493C">
              <w:rPr>
                <w:lang w:eastAsia="en-AU"/>
              </w:rPr>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rPr>
                <w:lang w:eastAsia="en-AU"/>
              </w:rPr>
              <w:fldChar w:fldCharType="end"/>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4C02728" w14:textId="016BA6E4" w:rsidR="008F17F4" w:rsidRDefault="0031240B" w:rsidP="008C10BB">
            <w:pPr>
              <w:rPr>
                <w:rFonts w:eastAsia="Times New Roman" w:cs="Segoe UI"/>
                <w:kern w:val="24"/>
                <w:sz w:val="20"/>
                <w:szCs w:val="20"/>
                <w:lang w:eastAsia="en-AU"/>
              </w:rPr>
            </w:pPr>
            <w:r w:rsidRPr="7C1B440E">
              <w:rPr>
                <w:rFonts w:eastAsia="Times New Roman" w:cs="Segoe UI"/>
                <w:sz w:val="20"/>
                <w:szCs w:val="20"/>
                <w:lang w:eastAsia="en-AU"/>
              </w:rPr>
              <w:t>Establish bridging funding through a c</w:t>
            </w:r>
            <w:r w:rsidR="00746055" w:rsidRPr="00395D5F">
              <w:rPr>
                <w:rFonts w:eastAsia="Times New Roman" w:cs="Segoe UI"/>
                <w:kern w:val="24"/>
                <w:sz w:val="20"/>
                <w:szCs w:val="20"/>
                <w:lang w:eastAsia="en-AU"/>
              </w:rPr>
              <w:t>apped</w:t>
            </w:r>
            <w:r w:rsidR="002A7AE4" w:rsidRPr="00395D5F">
              <w:rPr>
                <w:rFonts w:eastAsia="Times New Roman" w:cs="Segoe UI"/>
                <w:kern w:val="24"/>
                <w:sz w:val="20"/>
                <w:szCs w:val="20"/>
                <w:lang w:eastAsia="en-AU"/>
              </w:rPr>
              <w:t xml:space="preserve"> special funding program (separate and distinct from the PBS special appropriations</w:t>
            </w:r>
            <w:r w:rsidR="00593522" w:rsidRPr="00395D5F">
              <w:rPr>
                <w:rFonts w:eastAsia="Times New Roman" w:cs="Segoe UI"/>
                <w:kern w:val="24"/>
                <w:sz w:val="20"/>
                <w:szCs w:val="20"/>
                <w:lang w:eastAsia="en-AU"/>
              </w:rPr>
              <w:t>)</w:t>
            </w:r>
            <w:r w:rsidR="005227DF">
              <w:rPr>
                <w:rFonts w:eastAsia="Times New Roman" w:cs="Segoe UI"/>
                <w:kern w:val="24"/>
                <w:sz w:val="20"/>
                <w:szCs w:val="20"/>
                <w:lang w:eastAsia="en-AU"/>
              </w:rPr>
              <w:t xml:space="preserve"> or</w:t>
            </w:r>
            <w:r w:rsidR="007E0002">
              <w:rPr>
                <w:rFonts w:eastAsia="Times New Roman" w:cs="Segoe UI"/>
                <w:kern w:val="24"/>
                <w:sz w:val="20"/>
                <w:szCs w:val="20"/>
                <w:lang w:eastAsia="en-AU"/>
              </w:rPr>
              <w:t xml:space="preserve"> legislate to enable conditional listings on the PBS</w:t>
            </w:r>
            <w:r w:rsidR="00160BFB">
              <w:rPr>
                <w:rFonts w:eastAsia="Times New Roman" w:cs="Segoe UI"/>
                <w:kern w:val="24"/>
                <w:sz w:val="20"/>
                <w:szCs w:val="20"/>
                <w:lang w:eastAsia="en-AU"/>
              </w:rPr>
              <w:t>.</w:t>
            </w:r>
          </w:p>
          <w:p w14:paraId="07A8D708" w14:textId="647BDDD6" w:rsidR="002A7AE4" w:rsidRPr="00395D5F" w:rsidRDefault="008F17F4" w:rsidP="008C10BB">
            <w:pPr>
              <w:rPr>
                <w:rFonts w:eastAsia="Times New Roman" w:cs="Segoe UI"/>
                <w:kern w:val="24"/>
                <w:sz w:val="20"/>
                <w:szCs w:val="20"/>
                <w:lang w:eastAsia="en-AU"/>
              </w:rPr>
            </w:pPr>
            <w:r>
              <w:rPr>
                <w:rFonts w:eastAsia="Times New Roman" w:cs="Segoe UI"/>
                <w:kern w:val="24"/>
                <w:sz w:val="20"/>
                <w:szCs w:val="20"/>
                <w:lang w:eastAsia="en-AU"/>
              </w:rPr>
              <w:t>The purpose of</w:t>
            </w:r>
            <w:r w:rsidR="00CB1451">
              <w:rPr>
                <w:rFonts w:eastAsia="Times New Roman" w:cs="Segoe UI"/>
                <w:kern w:val="24"/>
                <w:sz w:val="20"/>
                <w:szCs w:val="20"/>
                <w:lang w:eastAsia="en-AU"/>
              </w:rPr>
              <w:t xml:space="preserve"> either of these options would be to </w:t>
            </w:r>
            <w:r w:rsidR="002A7AE4" w:rsidRPr="00395D5F">
              <w:rPr>
                <w:rFonts w:eastAsia="Times New Roman" w:cs="Segoe UI"/>
                <w:kern w:val="24"/>
                <w:sz w:val="20"/>
                <w:szCs w:val="20"/>
                <w:lang w:eastAsia="en-AU"/>
              </w:rPr>
              <w:t xml:space="preserve">provide </w:t>
            </w:r>
            <w:r w:rsidR="00F05352" w:rsidRPr="00395D5F">
              <w:rPr>
                <w:rFonts w:eastAsia="Times New Roman" w:cs="Segoe UI"/>
                <w:kern w:val="24"/>
                <w:sz w:val="20"/>
                <w:szCs w:val="20"/>
                <w:lang w:eastAsia="en-AU"/>
              </w:rPr>
              <w:t>for a time-limited period,</w:t>
            </w:r>
            <w:r w:rsidR="00746055" w:rsidRPr="00395D5F">
              <w:rPr>
                <w:rFonts w:eastAsia="Times New Roman" w:cs="Segoe UI"/>
                <w:kern w:val="24"/>
                <w:sz w:val="20"/>
                <w:szCs w:val="20"/>
                <w:lang w:eastAsia="en-AU"/>
              </w:rPr>
              <w:t xml:space="preserve"> </w:t>
            </w:r>
            <w:r w:rsidR="002A7AE4" w:rsidRPr="00395D5F">
              <w:rPr>
                <w:rFonts w:eastAsia="Times New Roman" w:cs="Segoe UI"/>
                <w:kern w:val="24"/>
                <w:sz w:val="20"/>
                <w:szCs w:val="20"/>
                <w:lang w:eastAsia="en-AU"/>
              </w:rPr>
              <w:t xml:space="preserve">bridging funding coverage for earlier access to </w:t>
            </w:r>
            <w:r w:rsidR="00595B91" w:rsidRPr="00395D5F">
              <w:rPr>
                <w:rFonts w:eastAsia="Times New Roman" w:cs="Segoe UI"/>
                <w:kern w:val="24"/>
                <w:sz w:val="20"/>
                <w:szCs w:val="20"/>
                <w:lang w:eastAsia="en-AU"/>
              </w:rPr>
              <w:t xml:space="preserve">exceptionally </w:t>
            </w:r>
            <w:r w:rsidR="002A7AE4" w:rsidRPr="00395D5F">
              <w:rPr>
                <w:rFonts w:eastAsia="Times New Roman" w:cs="Segoe UI"/>
                <w:kern w:val="24"/>
                <w:sz w:val="20"/>
                <w:szCs w:val="20"/>
                <w:lang w:eastAsia="en-AU"/>
              </w:rPr>
              <w:t>promising</w:t>
            </w:r>
            <w:r w:rsidR="004B48BC" w:rsidRPr="00395D5F">
              <w:rPr>
                <w:rFonts w:eastAsia="Times New Roman" w:cs="Segoe UI"/>
                <w:kern w:val="24"/>
                <w:sz w:val="20"/>
                <w:szCs w:val="20"/>
                <w:lang w:eastAsia="en-AU"/>
              </w:rPr>
              <w:t>, time-critical,</w:t>
            </w:r>
            <w:r w:rsidR="002A7AE4" w:rsidRPr="00395D5F">
              <w:rPr>
                <w:rFonts w:eastAsia="Times New Roman" w:cs="Segoe UI"/>
                <w:kern w:val="24"/>
                <w:sz w:val="20"/>
                <w:szCs w:val="20"/>
                <w:lang w:eastAsia="en-AU"/>
              </w:rPr>
              <w:t xml:space="preserve"> therapies of </w:t>
            </w:r>
            <w:r w:rsidR="00006C7C">
              <w:rPr>
                <w:rFonts w:eastAsia="Times New Roman" w:cs="Segoe UI"/>
                <w:kern w:val="24"/>
                <w:sz w:val="20"/>
                <w:szCs w:val="20"/>
                <w:lang w:eastAsia="en-AU"/>
              </w:rPr>
              <w:t>HATV</w:t>
            </w:r>
            <w:r w:rsidR="002A7AE4" w:rsidRPr="00395D5F">
              <w:rPr>
                <w:rFonts w:eastAsia="Times New Roman" w:cs="Segoe UI"/>
                <w:kern w:val="24"/>
                <w:sz w:val="20"/>
                <w:szCs w:val="20"/>
                <w:lang w:eastAsia="en-AU"/>
              </w:rPr>
              <w:t xml:space="preserve"> and HUCN</w:t>
            </w:r>
            <w:r w:rsidR="00D027D9">
              <w:rPr>
                <w:rFonts w:eastAsia="Times New Roman" w:cs="Segoe UI"/>
                <w:kern w:val="24"/>
                <w:sz w:val="20"/>
                <w:szCs w:val="20"/>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kern w:val="24"/>
                <w:sz w:val="20"/>
                <w:szCs w:val="20"/>
                <w:lang w:eastAsia="en-AU"/>
              </w:rPr>
              <w:fldChar w:fldCharType="end"/>
            </w:r>
            <w:r w:rsidR="002A7AE4" w:rsidRPr="00395D5F">
              <w:rPr>
                <w:rFonts w:eastAsia="Times New Roman" w:cs="Segoe UI"/>
                <w:kern w:val="24"/>
                <w:sz w:val="20"/>
                <w:szCs w:val="20"/>
                <w:lang w:eastAsia="en-AU"/>
              </w:rPr>
              <w:t>, but that have significant clinical, economic and/or financial-based uncertainty</w:t>
            </w:r>
            <w:r w:rsidR="002D287D" w:rsidRPr="00395D5F">
              <w:rPr>
                <w:rFonts w:eastAsia="Times New Roman" w:cs="Segoe UI"/>
                <w:kern w:val="24"/>
                <w:sz w:val="20"/>
                <w:szCs w:val="20"/>
                <w:lang w:eastAsia="en-AU"/>
              </w:rPr>
              <w:t>. The program would need to be designed in a way that does not introduce further complexity into the system nor create perverse incentives that would prolong assessment and commercial negotiations.</w:t>
            </w:r>
          </w:p>
          <w:p w14:paraId="734E0414" w14:textId="7285F803" w:rsidR="002A7AE4" w:rsidRPr="00395D5F" w:rsidRDefault="002A7AE4" w:rsidP="008C10BB">
            <w:pPr>
              <w:spacing w:after="0"/>
              <w:rPr>
                <w:rFonts w:eastAsia="Times New Roman" w:cs="Segoe UI"/>
                <w:kern w:val="24"/>
                <w:sz w:val="20"/>
                <w:szCs w:val="20"/>
                <w:lang w:eastAsia="en-AU"/>
              </w:rPr>
            </w:pPr>
            <w:r w:rsidRPr="00395D5F">
              <w:rPr>
                <w:rFonts w:eastAsia="Times New Roman" w:cs="Segoe UI"/>
                <w:kern w:val="24"/>
                <w:sz w:val="20"/>
                <w:szCs w:val="20"/>
                <w:lang w:eastAsia="en-AU"/>
              </w:rPr>
              <w:t>The design of this program should incorporate specific details on the eligibility requirements that health technologies need to meet to qualify for funding from this program</w:t>
            </w:r>
            <w:r w:rsidR="00746055" w:rsidRPr="00395D5F">
              <w:rPr>
                <w:rFonts w:eastAsia="Times New Roman" w:cs="Segoe UI"/>
                <w:kern w:val="24"/>
                <w:sz w:val="20"/>
                <w:szCs w:val="20"/>
                <w:lang w:eastAsia="en-AU"/>
              </w:rPr>
              <w:t xml:space="preserve"> </w:t>
            </w:r>
            <w:r w:rsidR="00A51462">
              <w:rPr>
                <w:rFonts w:eastAsia="Times New Roman" w:cs="Segoe UI"/>
                <w:kern w:val="24"/>
                <w:sz w:val="20"/>
                <w:szCs w:val="20"/>
                <w:lang w:eastAsia="en-AU"/>
              </w:rPr>
              <w:t xml:space="preserve">that </w:t>
            </w:r>
            <w:r w:rsidR="000767DE" w:rsidRPr="00395D5F">
              <w:rPr>
                <w:rFonts w:eastAsia="Times New Roman" w:cs="Segoe UI"/>
                <w:kern w:val="24"/>
                <w:sz w:val="20"/>
                <w:szCs w:val="20"/>
                <w:lang w:eastAsia="en-AU"/>
              </w:rPr>
              <w:t>aligned with the</w:t>
            </w:r>
            <w:r w:rsidRPr="00395D5F">
              <w:rPr>
                <w:rFonts w:eastAsia="Times New Roman" w:cs="Segoe UI"/>
                <w:kern w:val="24"/>
                <w:sz w:val="20"/>
                <w:szCs w:val="20"/>
                <w:lang w:eastAsia="en-AU"/>
              </w:rPr>
              <w:t xml:space="preserve"> core HTA and pricing negotiation</w:t>
            </w:r>
            <w:r w:rsidR="00452C21">
              <w:rPr>
                <w:rFonts w:eastAsia="Times New Roman" w:cs="Segoe UI"/>
                <w:kern w:val="24"/>
                <w:sz w:val="20"/>
                <w:szCs w:val="20"/>
                <w:lang w:eastAsia="en-AU"/>
              </w:rPr>
              <w:fldChar w:fldCharType="begin"/>
            </w:r>
            <w:r w:rsidR="00452C21">
              <w:instrText xml:space="preserve"> XE "</w:instrText>
            </w:r>
            <w:r w:rsidR="00452C21" w:rsidRPr="00936F31">
              <w:rPr>
                <w:rFonts w:eastAsia="Times New Roman" w:cs="Segoe UI"/>
                <w:kern w:val="24"/>
                <w:lang w:eastAsia="en-AU"/>
              </w:rPr>
              <w:instrText xml:space="preserve">price </w:instrText>
            </w:r>
            <w:proofErr w:type="spellStart"/>
            <w:proofErr w:type="gramStart"/>
            <w:r w:rsidR="00452C21" w:rsidRPr="00936F31">
              <w:rPr>
                <w:rFonts w:eastAsia="Times New Roman" w:cs="Segoe UI"/>
                <w:kern w:val="24"/>
                <w:lang w:eastAsia="en-AU"/>
              </w:rPr>
              <w:instrText>negotiation</w:instrText>
            </w:r>
            <w:r w:rsidR="00452C21" w:rsidRPr="00936F31">
              <w:rPr>
                <w:rFonts w:eastAsia="Times New Roman" w:cs="Segoe UI"/>
                <w:kern w:val="24"/>
              </w:rPr>
              <w:instrText>:</w:instrText>
            </w:r>
            <w:r w:rsidR="00452C21" w:rsidRPr="00936F31">
              <w:instrText>pricing</w:instrText>
            </w:r>
            <w:proofErr w:type="spellEnd"/>
            <w:proofErr w:type="gramEnd"/>
            <w:r w:rsidR="00452C21" w:rsidRPr="00936F31">
              <w:instrText xml:space="preserve"> negotiation</w:instrText>
            </w:r>
            <w:r w:rsidR="00452C21">
              <w:instrText xml:space="preserve">" \b </w:instrText>
            </w:r>
            <w:r w:rsidR="00452C21">
              <w:rPr>
                <w:rFonts w:eastAsia="Times New Roman" w:cs="Segoe UI"/>
                <w:kern w:val="24"/>
                <w:sz w:val="20"/>
                <w:szCs w:val="20"/>
                <w:lang w:eastAsia="en-AU"/>
              </w:rPr>
              <w:fldChar w:fldCharType="end"/>
            </w:r>
            <w:r w:rsidRPr="00395D5F">
              <w:rPr>
                <w:rFonts w:eastAsia="Times New Roman" w:cs="Segoe UI"/>
                <w:kern w:val="24"/>
                <w:sz w:val="20"/>
                <w:szCs w:val="20"/>
                <w:lang w:eastAsia="en-AU"/>
              </w:rPr>
              <w:t xml:space="preserve"> steps that are features of the Australian HTA process and include, but not be limited to: </w:t>
            </w:r>
          </w:p>
          <w:p w14:paraId="12FF599F" w14:textId="1FA50065" w:rsidR="002A7AE4" w:rsidRPr="00395D5F" w:rsidRDefault="002A7AE4" w:rsidP="008C10BB">
            <w:pPr>
              <w:numPr>
                <w:ilvl w:val="0"/>
                <w:numId w:val="22"/>
              </w:numPr>
              <w:spacing w:after="0"/>
              <w:rPr>
                <w:rFonts w:eastAsia="Times New Roman" w:cs="Segoe UI"/>
                <w:kern w:val="24"/>
                <w:sz w:val="20"/>
                <w:szCs w:val="20"/>
                <w:lang w:eastAsia="en-AU"/>
              </w:rPr>
            </w:pPr>
            <w:r w:rsidRPr="00395D5F">
              <w:rPr>
                <w:rFonts w:eastAsia="Times New Roman" w:cs="Segoe UI"/>
                <w:kern w:val="24"/>
                <w:sz w:val="20"/>
                <w:szCs w:val="20"/>
                <w:lang w:eastAsia="en-AU"/>
              </w:rPr>
              <w:t>Early identification and nomination via horizon scanning</w:t>
            </w:r>
            <w:r w:rsidR="00CF3213">
              <w:rPr>
                <w:rFonts w:eastAsia="Times New Roman" w:cs="Segoe UI"/>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kern w:val="24"/>
                <w:sz w:val="20"/>
                <w:szCs w:val="20"/>
                <w:lang w:eastAsia="en-AU"/>
              </w:rPr>
              <w:fldChar w:fldCharType="end"/>
            </w:r>
            <w:r w:rsidRPr="00395D5F">
              <w:rPr>
                <w:rFonts w:eastAsia="Times New Roman" w:cs="Segoe UI"/>
                <w:kern w:val="24"/>
                <w:sz w:val="20"/>
                <w:szCs w:val="20"/>
                <w:lang w:eastAsia="en-AU"/>
              </w:rPr>
              <w:t xml:space="preserve"> and/or designation on a Priority List of HUCN</w:t>
            </w:r>
            <w:r w:rsidR="00D027D9">
              <w:rPr>
                <w:rFonts w:eastAsia="Times New Roman" w:cs="Segoe UI"/>
                <w:kern w:val="24"/>
                <w:sz w:val="20"/>
                <w:szCs w:val="20"/>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kern w:val="24"/>
                <w:sz w:val="20"/>
                <w:szCs w:val="20"/>
                <w:lang w:eastAsia="en-AU"/>
              </w:rPr>
              <w:fldChar w:fldCharType="end"/>
            </w:r>
            <w:r w:rsidRPr="00395D5F">
              <w:rPr>
                <w:rFonts w:eastAsia="Times New Roman" w:cs="Segoe UI"/>
                <w:kern w:val="24"/>
                <w:sz w:val="20"/>
                <w:szCs w:val="20"/>
                <w:lang w:eastAsia="en-AU"/>
              </w:rPr>
              <w:t xml:space="preserve"> conditions. </w:t>
            </w:r>
          </w:p>
          <w:p w14:paraId="691DE108" w14:textId="066ADC3E" w:rsidR="002A7AE4" w:rsidRPr="00395D5F" w:rsidRDefault="002A7AE4" w:rsidP="008C10BB">
            <w:pPr>
              <w:numPr>
                <w:ilvl w:val="0"/>
                <w:numId w:val="22"/>
              </w:numPr>
              <w:spacing w:after="0"/>
              <w:rPr>
                <w:rFonts w:eastAsia="Times New Roman" w:cs="Segoe UI"/>
                <w:kern w:val="24"/>
                <w:sz w:val="20"/>
                <w:szCs w:val="20"/>
                <w:lang w:eastAsia="en-AU"/>
              </w:rPr>
            </w:pPr>
            <w:r w:rsidRPr="00395D5F">
              <w:rPr>
                <w:rFonts w:eastAsia="Times New Roman" w:cs="Segoe UI"/>
                <w:kern w:val="24"/>
                <w:sz w:val="20"/>
                <w:szCs w:val="20"/>
                <w:lang w:eastAsia="en-AU"/>
              </w:rPr>
              <w:t xml:space="preserve">Eligibility requirements to lodge TGA </w:t>
            </w:r>
            <w:r w:rsidR="00ED35E6">
              <w:rPr>
                <w:rFonts w:eastAsia="Times New Roman" w:cs="Segoe UI"/>
                <w:kern w:val="24"/>
                <w:sz w:val="20"/>
                <w:szCs w:val="20"/>
                <w:lang w:eastAsia="en-AU"/>
              </w:rPr>
              <w:t xml:space="preserve">and PBAC </w:t>
            </w:r>
            <w:r w:rsidRPr="00395D5F">
              <w:rPr>
                <w:rFonts w:eastAsia="Times New Roman" w:cs="Segoe UI"/>
                <w:kern w:val="24"/>
                <w:sz w:val="20"/>
                <w:szCs w:val="20"/>
                <w:lang w:eastAsia="en-AU"/>
              </w:rPr>
              <w:t>submission</w:t>
            </w:r>
            <w:r w:rsidR="00517EEF">
              <w:rPr>
                <w:rFonts w:eastAsia="Times New Roman" w:cs="Segoe UI"/>
                <w:kern w:val="24"/>
                <w:sz w:val="20"/>
                <w:szCs w:val="20"/>
                <w:lang w:eastAsia="en-AU"/>
              </w:rPr>
              <w:t>s (simultaneously)</w:t>
            </w:r>
            <w:r w:rsidRPr="00395D5F">
              <w:rPr>
                <w:rFonts w:eastAsia="Times New Roman" w:cs="Segoe UI"/>
                <w:kern w:val="24"/>
                <w:sz w:val="20"/>
                <w:szCs w:val="20"/>
                <w:lang w:eastAsia="en-AU"/>
              </w:rPr>
              <w:t xml:space="preserve"> for the health technology within </w:t>
            </w:r>
            <w:r w:rsidR="00517EEF">
              <w:rPr>
                <w:rFonts w:eastAsia="Times New Roman" w:cs="Segoe UI"/>
                <w:kern w:val="24"/>
                <w:sz w:val="20"/>
                <w:szCs w:val="20"/>
                <w:lang w:eastAsia="en-AU"/>
              </w:rPr>
              <w:t>6 months</w:t>
            </w:r>
            <w:r w:rsidRPr="00395D5F">
              <w:rPr>
                <w:rFonts w:eastAsia="Times New Roman" w:cs="Segoe UI"/>
                <w:kern w:val="24"/>
                <w:sz w:val="20"/>
                <w:szCs w:val="20"/>
                <w:lang w:eastAsia="en-AU"/>
              </w:rPr>
              <w:t xml:space="preserve"> </w:t>
            </w:r>
            <w:r w:rsidR="00517EEF">
              <w:rPr>
                <w:rFonts w:eastAsia="Times New Roman" w:cs="Segoe UI"/>
                <w:kern w:val="24"/>
                <w:sz w:val="20"/>
                <w:szCs w:val="20"/>
                <w:lang w:eastAsia="en-AU"/>
              </w:rPr>
              <w:t>of</w:t>
            </w:r>
            <w:r w:rsidR="00517EEF" w:rsidRPr="00395D5F">
              <w:rPr>
                <w:rFonts w:eastAsia="Times New Roman" w:cs="Segoe UI"/>
                <w:kern w:val="24"/>
                <w:sz w:val="20"/>
                <w:szCs w:val="20"/>
                <w:lang w:eastAsia="en-AU"/>
              </w:rPr>
              <w:t xml:space="preserve"> </w:t>
            </w:r>
            <w:r w:rsidR="00517EEF">
              <w:rPr>
                <w:rFonts w:eastAsia="Times New Roman" w:cs="Segoe UI"/>
                <w:kern w:val="24"/>
                <w:sz w:val="20"/>
                <w:szCs w:val="20"/>
                <w:lang w:eastAsia="en-AU"/>
              </w:rPr>
              <w:t xml:space="preserve">receiving </w:t>
            </w:r>
            <w:r w:rsidR="004944D3">
              <w:rPr>
                <w:rFonts w:eastAsia="Times New Roman" w:cs="Segoe UI"/>
                <w:kern w:val="24"/>
                <w:sz w:val="20"/>
                <w:szCs w:val="20"/>
                <w:lang w:eastAsia="en-AU"/>
              </w:rPr>
              <w:t xml:space="preserve">first international regulatory </w:t>
            </w:r>
            <w:r w:rsidR="00B83671">
              <w:rPr>
                <w:rFonts w:eastAsia="Times New Roman" w:cs="Segoe UI"/>
                <w:kern w:val="24"/>
                <w:sz w:val="20"/>
                <w:szCs w:val="20"/>
                <w:lang w:eastAsia="en-AU"/>
              </w:rPr>
              <w:t>approval (</w:t>
            </w:r>
            <w:proofErr w:type="gramStart"/>
            <w:r w:rsidR="00B83671">
              <w:rPr>
                <w:rFonts w:eastAsia="Times New Roman" w:cs="Segoe UI"/>
                <w:kern w:val="24"/>
                <w:sz w:val="20"/>
                <w:szCs w:val="20"/>
                <w:lang w:eastAsia="en-AU"/>
              </w:rPr>
              <w:t>i</w:t>
            </w:r>
            <w:r w:rsidR="003C2AF1">
              <w:rPr>
                <w:rFonts w:eastAsia="Times New Roman" w:cs="Segoe UI"/>
                <w:kern w:val="24"/>
                <w:sz w:val="20"/>
                <w:szCs w:val="20"/>
                <w:lang w:eastAsia="en-AU"/>
              </w:rPr>
              <w:t>.</w:t>
            </w:r>
            <w:r w:rsidR="00B83671">
              <w:rPr>
                <w:rFonts w:eastAsia="Times New Roman" w:cs="Segoe UI"/>
                <w:kern w:val="24"/>
                <w:sz w:val="20"/>
                <w:szCs w:val="20"/>
                <w:lang w:eastAsia="en-AU"/>
              </w:rPr>
              <w:t>e</w:t>
            </w:r>
            <w:r w:rsidR="003C2AF1">
              <w:rPr>
                <w:rFonts w:eastAsia="Times New Roman" w:cs="Segoe UI"/>
                <w:kern w:val="24"/>
                <w:sz w:val="20"/>
                <w:szCs w:val="20"/>
                <w:lang w:eastAsia="en-AU"/>
              </w:rPr>
              <w:t>.</w:t>
            </w:r>
            <w:proofErr w:type="gramEnd"/>
            <w:r w:rsidRPr="00395D5F">
              <w:rPr>
                <w:rFonts w:eastAsia="Times New Roman" w:cs="Segoe UI"/>
                <w:kern w:val="24"/>
                <w:sz w:val="20"/>
                <w:szCs w:val="20"/>
                <w:lang w:eastAsia="en-AU"/>
              </w:rPr>
              <w:t xml:space="preserve"> FDA/EMA</w:t>
            </w:r>
            <w:r w:rsidR="00517EEF">
              <w:rPr>
                <w:rFonts w:eastAsia="Times New Roman" w:cs="Segoe UI"/>
                <w:kern w:val="24"/>
                <w:sz w:val="20"/>
                <w:szCs w:val="20"/>
                <w:lang w:eastAsia="en-AU"/>
              </w:rPr>
              <w:t>)</w:t>
            </w:r>
          </w:p>
          <w:p w14:paraId="3A4ED98E" w14:textId="4A57D089" w:rsidR="002A7AE4" w:rsidRPr="00395D5F" w:rsidRDefault="002A7AE4" w:rsidP="008C10BB">
            <w:pPr>
              <w:numPr>
                <w:ilvl w:val="0"/>
                <w:numId w:val="22"/>
              </w:numPr>
              <w:spacing w:after="0"/>
              <w:rPr>
                <w:rFonts w:eastAsia="Times New Roman" w:cs="Segoe UI"/>
                <w:kern w:val="24"/>
                <w:sz w:val="20"/>
                <w:szCs w:val="20"/>
                <w:lang w:eastAsia="en-AU"/>
              </w:rPr>
            </w:pPr>
            <w:r w:rsidRPr="00395D5F">
              <w:rPr>
                <w:rFonts w:eastAsia="Times New Roman" w:cs="Segoe UI"/>
                <w:kern w:val="24"/>
                <w:sz w:val="20"/>
                <w:szCs w:val="20"/>
                <w:lang w:eastAsia="en-AU"/>
              </w:rPr>
              <w:t>Requirement for parallel TGA/HTA Committee submission lodgement as part of a broader overall approach to support timely recommendations.</w:t>
            </w:r>
            <w:r w:rsidR="007A1B3A">
              <w:rPr>
                <w:rFonts w:eastAsia="Times New Roman" w:cs="Segoe UI"/>
                <w:kern w:val="24"/>
                <w:sz w:val="20"/>
                <w:szCs w:val="20"/>
                <w:lang w:eastAsia="en-AU"/>
              </w:rPr>
              <w:t xml:space="preserve"> </w:t>
            </w:r>
          </w:p>
          <w:p w14:paraId="7DFCFAC4" w14:textId="05D308AE" w:rsidR="002A7AE4" w:rsidRPr="00395D5F" w:rsidRDefault="00746055" w:rsidP="008C10BB">
            <w:pPr>
              <w:numPr>
                <w:ilvl w:val="0"/>
                <w:numId w:val="22"/>
              </w:numPr>
              <w:spacing w:after="0"/>
              <w:rPr>
                <w:rFonts w:eastAsia="Times New Roman" w:cs="Segoe UI"/>
                <w:kern w:val="24"/>
                <w:sz w:val="20"/>
                <w:szCs w:val="20"/>
                <w:lang w:eastAsia="en-AU"/>
              </w:rPr>
            </w:pPr>
            <w:r w:rsidRPr="00395D5F">
              <w:rPr>
                <w:rFonts w:eastAsia="Times New Roman" w:cs="Segoe UI"/>
                <w:kern w:val="24"/>
                <w:sz w:val="20"/>
                <w:szCs w:val="20"/>
                <w:lang w:eastAsia="en-AU"/>
              </w:rPr>
              <w:t>A</w:t>
            </w:r>
            <w:r w:rsidR="00342B94" w:rsidRPr="00395D5F">
              <w:rPr>
                <w:rFonts w:eastAsia="Times New Roman" w:cs="Segoe UI"/>
                <w:kern w:val="24"/>
                <w:sz w:val="20"/>
                <w:szCs w:val="20"/>
                <w:lang w:eastAsia="en-AU"/>
              </w:rPr>
              <w:t xml:space="preserve">pproach </w:t>
            </w:r>
            <w:r w:rsidR="002442E8" w:rsidRPr="00395D5F">
              <w:rPr>
                <w:rFonts w:eastAsia="Times New Roman" w:cs="Segoe UI"/>
                <w:kern w:val="24"/>
                <w:sz w:val="20"/>
                <w:szCs w:val="20"/>
                <w:lang w:eastAsia="en-AU"/>
              </w:rPr>
              <w:t>undertaken by the applications</w:t>
            </w:r>
            <w:r w:rsidR="00F61D16" w:rsidRPr="00395D5F">
              <w:rPr>
                <w:rFonts w:eastAsia="Times New Roman" w:cs="Segoe UI"/>
                <w:kern w:val="24"/>
                <w:sz w:val="20"/>
                <w:szCs w:val="20"/>
                <w:lang w:eastAsia="en-AU"/>
              </w:rPr>
              <w:t xml:space="preserve"> and evaluatio</w:t>
            </w:r>
            <w:r w:rsidR="00B93FCF" w:rsidRPr="00395D5F">
              <w:rPr>
                <w:rFonts w:eastAsia="Times New Roman" w:cs="Segoe UI"/>
                <w:kern w:val="24"/>
                <w:sz w:val="20"/>
                <w:szCs w:val="20"/>
                <w:lang w:eastAsia="en-AU"/>
              </w:rPr>
              <w:t>n that:</w:t>
            </w:r>
            <w:r w:rsidR="00342B94" w:rsidRPr="00395D5F">
              <w:rPr>
                <w:rFonts w:eastAsia="Times New Roman" w:cs="Segoe UI"/>
                <w:kern w:val="24"/>
                <w:sz w:val="20"/>
                <w:szCs w:val="20"/>
                <w:lang w:eastAsia="en-AU"/>
              </w:rPr>
              <w:t xml:space="preserve"> </w:t>
            </w:r>
          </w:p>
          <w:p w14:paraId="6D2D3DC4" w14:textId="32ED04C4" w:rsidR="002A7AE4" w:rsidRPr="00395D5F" w:rsidRDefault="002A7AE4" w:rsidP="008C10BB">
            <w:pPr>
              <w:numPr>
                <w:ilvl w:val="0"/>
                <w:numId w:val="23"/>
              </w:numPr>
              <w:spacing w:after="0"/>
              <w:rPr>
                <w:rFonts w:eastAsia="Times New Roman" w:cs="Segoe UI"/>
                <w:kern w:val="24"/>
                <w:sz w:val="20"/>
                <w:szCs w:val="20"/>
                <w:lang w:eastAsia="en-AU"/>
              </w:rPr>
            </w:pPr>
            <w:r w:rsidRPr="00395D5F">
              <w:rPr>
                <w:rFonts w:eastAsia="Times New Roman" w:cs="Segoe UI"/>
                <w:kern w:val="24"/>
                <w:sz w:val="20"/>
                <w:szCs w:val="20"/>
                <w:lang w:eastAsia="en-AU"/>
              </w:rPr>
              <w:t xml:space="preserve">provides the HTA </w:t>
            </w:r>
            <w:r w:rsidR="000524BD" w:rsidRPr="00395D5F">
              <w:rPr>
                <w:rFonts w:eastAsia="Times New Roman" w:cs="Segoe UI"/>
                <w:kern w:val="24"/>
                <w:sz w:val="20"/>
                <w:szCs w:val="20"/>
                <w:lang w:eastAsia="en-AU"/>
              </w:rPr>
              <w:t>committee with</w:t>
            </w:r>
            <w:r w:rsidRPr="00395D5F">
              <w:rPr>
                <w:rFonts w:eastAsia="Times New Roman" w:cs="Segoe UI"/>
                <w:kern w:val="24"/>
                <w:sz w:val="20"/>
                <w:szCs w:val="20"/>
                <w:lang w:eastAsia="en-AU"/>
              </w:rPr>
              <w:t xml:space="preserve"> options to make recommendations for interim </w:t>
            </w:r>
            <w:r w:rsidR="00DD5358" w:rsidRPr="00395D5F">
              <w:rPr>
                <w:rFonts w:eastAsia="Times New Roman" w:cs="Segoe UI"/>
                <w:kern w:val="24"/>
                <w:sz w:val="20"/>
                <w:szCs w:val="20"/>
                <w:lang w:eastAsia="en-AU"/>
              </w:rPr>
              <w:t>conditions of funding</w:t>
            </w:r>
            <w:r w:rsidRPr="00395D5F">
              <w:rPr>
                <w:rFonts w:eastAsia="Times New Roman" w:cs="Segoe UI"/>
                <w:kern w:val="24"/>
                <w:sz w:val="20"/>
                <w:szCs w:val="20"/>
                <w:lang w:eastAsia="en-AU"/>
              </w:rPr>
              <w:t xml:space="preserve"> for the purposes of bridging access, and recommendations that inform further price and access negotiations</w:t>
            </w:r>
            <w:r w:rsidR="00746055" w:rsidRPr="00395D5F">
              <w:rPr>
                <w:rFonts w:eastAsia="Times New Roman" w:cs="Segoe UI"/>
                <w:kern w:val="24"/>
                <w:sz w:val="20"/>
                <w:szCs w:val="20"/>
                <w:lang w:eastAsia="en-AU"/>
              </w:rPr>
              <w:t>;</w:t>
            </w:r>
            <w:r w:rsidRPr="00395D5F">
              <w:rPr>
                <w:rFonts w:eastAsia="Times New Roman" w:cs="Segoe UI"/>
                <w:kern w:val="24"/>
                <w:sz w:val="20"/>
                <w:szCs w:val="20"/>
                <w:lang w:eastAsia="en-AU"/>
              </w:rPr>
              <w:t xml:space="preserve"> or </w:t>
            </w:r>
          </w:p>
          <w:p w14:paraId="7BA77F1C" w14:textId="4DF918AD" w:rsidR="002A7AE4" w:rsidRPr="00395D5F" w:rsidRDefault="002A7AE4" w:rsidP="008C10BB">
            <w:pPr>
              <w:numPr>
                <w:ilvl w:val="0"/>
                <w:numId w:val="23"/>
              </w:numPr>
              <w:spacing w:after="0"/>
              <w:rPr>
                <w:rFonts w:eastAsia="Times New Roman" w:cs="Segoe UI"/>
                <w:kern w:val="24"/>
                <w:sz w:val="20"/>
                <w:szCs w:val="20"/>
                <w:lang w:eastAsia="en-AU"/>
              </w:rPr>
            </w:pPr>
            <w:r w:rsidRPr="00395D5F">
              <w:rPr>
                <w:rFonts w:eastAsia="Times New Roman" w:cs="Segoe UI"/>
                <w:kern w:val="24"/>
                <w:sz w:val="20"/>
                <w:szCs w:val="20"/>
                <w:lang w:eastAsia="en-AU"/>
              </w:rPr>
              <w:t>facilitates finalisation of price and access negotiations between the sponsor and the healthcare payer prior to presentation to the HTA committee for consideration.</w:t>
            </w:r>
            <w:r w:rsidR="007A1B3A">
              <w:rPr>
                <w:rFonts w:eastAsia="Times New Roman" w:cs="Segoe UI"/>
                <w:kern w:val="24"/>
                <w:sz w:val="20"/>
                <w:szCs w:val="20"/>
                <w:lang w:eastAsia="en-AU"/>
              </w:rPr>
              <w:t xml:space="preserve"> </w:t>
            </w:r>
          </w:p>
          <w:p w14:paraId="09619A7E" w14:textId="09F73E0D" w:rsidR="00E969C4" w:rsidRPr="00395D5F" w:rsidRDefault="00E969C4" w:rsidP="008C10BB">
            <w:pPr>
              <w:numPr>
                <w:ilvl w:val="0"/>
                <w:numId w:val="24"/>
              </w:numPr>
              <w:spacing w:after="0"/>
              <w:rPr>
                <w:rFonts w:eastAsia="Times New Roman" w:cs="Segoe UI"/>
                <w:kern w:val="24"/>
                <w:sz w:val="20"/>
                <w:szCs w:val="20"/>
                <w:lang w:eastAsia="en-AU"/>
              </w:rPr>
            </w:pPr>
            <w:r w:rsidRPr="00395D5F">
              <w:rPr>
                <w:rFonts w:eastAsia="Times New Roman" w:cs="Segoe UI"/>
                <w:kern w:val="24"/>
                <w:sz w:val="20"/>
                <w:szCs w:val="20"/>
                <w:lang w:eastAsia="en-AU"/>
              </w:rPr>
              <w:t>Administration that enables clinical data to be collected and reviewed</w:t>
            </w:r>
            <w:r w:rsidR="001C160F" w:rsidRPr="00395D5F">
              <w:rPr>
                <w:rFonts w:eastAsia="Times New Roman" w:cs="Segoe UI"/>
                <w:kern w:val="24"/>
                <w:sz w:val="20"/>
                <w:szCs w:val="20"/>
                <w:lang w:eastAsia="en-AU"/>
              </w:rPr>
              <w:t>.</w:t>
            </w:r>
            <w:r w:rsidRPr="00395D5F">
              <w:rPr>
                <w:rFonts w:eastAsia="Times New Roman" w:cs="Segoe UI"/>
                <w:kern w:val="24"/>
                <w:sz w:val="20"/>
                <w:szCs w:val="20"/>
                <w:lang w:eastAsia="en-AU"/>
              </w:rPr>
              <w:t xml:space="preserve"> </w:t>
            </w:r>
          </w:p>
          <w:p w14:paraId="522BE0B0" w14:textId="3F1E2C6E" w:rsidR="00592696" w:rsidRPr="005227DF" w:rsidRDefault="002A7AE4" w:rsidP="008C10BB">
            <w:pPr>
              <w:numPr>
                <w:ilvl w:val="0"/>
                <w:numId w:val="24"/>
              </w:numPr>
              <w:spacing w:after="0"/>
              <w:rPr>
                <w:rFonts w:eastAsia="Times New Roman" w:cs="Segoe UI"/>
                <w:kern w:val="24"/>
                <w:sz w:val="20"/>
                <w:szCs w:val="20"/>
                <w:lang w:eastAsia="en-AU"/>
              </w:rPr>
            </w:pPr>
            <w:r w:rsidRPr="00395D5F">
              <w:rPr>
                <w:rFonts w:eastAsia="Times New Roman" w:cs="Segoe UI"/>
                <w:kern w:val="24"/>
                <w:sz w:val="20"/>
                <w:szCs w:val="20"/>
                <w:lang w:eastAsia="en-AU"/>
              </w:rPr>
              <w:t>A clear process for re-assessment</w:t>
            </w:r>
            <w:r w:rsidR="001624D2">
              <w:rPr>
                <w:rFonts w:eastAsia="Times New Roman" w:cs="Segoe UI"/>
                <w:kern w:val="24"/>
                <w:sz w:val="20"/>
                <w:szCs w:val="20"/>
                <w:lang w:eastAsia="en-AU"/>
              </w:rPr>
              <w:fldChar w:fldCharType="begin"/>
            </w:r>
            <w:r w:rsidR="001624D2">
              <w:instrText xml:space="preserve"> XE "</w:instrText>
            </w:r>
            <w:r w:rsidR="001624D2" w:rsidRPr="001974D0">
              <w:rPr>
                <w:rFonts w:eastAsia="Times New Roman" w:cs="Segoe UI"/>
                <w:kern w:val="24"/>
                <w:sz w:val="20"/>
                <w:szCs w:val="20"/>
                <w:lang w:eastAsia="en-AU"/>
              </w:rPr>
              <w:instrText>re-assessment</w:instrText>
            </w:r>
            <w:r w:rsidR="001624D2">
              <w:instrText xml:space="preserve">" \b </w:instrText>
            </w:r>
            <w:r w:rsidR="001624D2">
              <w:rPr>
                <w:rFonts w:eastAsia="Times New Roman" w:cs="Segoe UI"/>
                <w:kern w:val="24"/>
                <w:sz w:val="20"/>
                <w:szCs w:val="20"/>
                <w:lang w:eastAsia="en-AU"/>
              </w:rPr>
              <w:fldChar w:fldCharType="end"/>
            </w:r>
            <w:r w:rsidRPr="00395D5F">
              <w:rPr>
                <w:rFonts w:eastAsia="Times New Roman" w:cs="Segoe UI"/>
                <w:kern w:val="24"/>
                <w:sz w:val="20"/>
                <w:szCs w:val="20"/>
                <w:lang w:eastAsia="en-AU"/>
              </w:rPr>
              <w:t xml:space="preserve"> and final decision-making</w:t>
            </w:r>
            <w:r w:rsidR="00A75B36">
              <w:rPr>
                <w:rFonts w:eastAsia="Times New Roman" w:cs="Segoe UI"/>
                <w:kern w:val="24"/>
                <w:sz w:val="20"/>
                <w:szCs w:val="20"/>
                <w:lang w:eastAsia="en-AU"/>
              </w:rPr>
              <w:t xml:space="preserve"> </w:t>
            </w:r>
            <w:r w:rsidRPr="00395D5F">
              <w:rPr>
                <w:rFonts w:eastAsia="Times New Roman" w:cs="Segoe UI"/>
                <w:kern w:val="24"/>
                <w:sz w:val="20"/>
                <w:szCs w:val="20"/>
                <w:lang w:eastAsia="en-AU"/>
              </w:rPr>
              <w:t xml:space="preserve">on whether (and when) the health technology should transition onto ongoing funding arrangements (such as the PBS, </w:t>
            </w:r>
            <w:proofErr w:type="gramStart"/>
            <w:r w:rsidRPr="00395D5F">
              <w:rPr>
                <w:rFonts w:eastAsia="Times New Roman" w:cs="Segoe UI"/>
                <w:kern w:val="24"/>
                <w:sz w:val="20"/>
                <w:szCs w:val="20"/>
                <w:lang w:eastAsia="en-AU"/>
              </w:rPr>
              <w:t>MBS</w:t>
            </w:r>
            <w:proofErr w:type="gramEnd"/>
            <w:r w:rsidRPr="00395D5F">
              <w:rPr>
                <w:rFonts w:eastAsia="Times New Roman" w:cs="Segoe UI"/>
                <w:kern w:val="24"/>
                <w:sz w:val="20"/>
                <w:szCs w:val="20"/>
                <w:lang w:eastAsia="en-AU"/>
              </w:rPr>
              <w:t xml:space="preserve"> or NHRA-style arrangements, with or without additional evidence development), or whether bridging funding should be withdrawn.</w:t>
            </w:r>
            <w:r w:rsidR="0070604A">
              <w:rPr>
                <w:rFonts w:eastAsia="Times New Roman" w:cs="Segoe UI"/>
                <w:kern w:val="24"/>
                <w:sz w:val="20"/>
                <w:szCs w:val="20"/>
                <w:lang w:eastAsia="en-AU"/>
              </w:rPr>
              <w:t xml:space="preserve"> Such decisions would be based on what pre-defined evidence </w:t>
            </w:r>
            <w:r w:rsidR="00AD0F13">
              <w:rPr>
                <w:rFonts w:eastAsia="Times New Roman" w:cs="Segoe UI"/>
                <w:kern w:val="24"/>
                <w:sz w:val="20"/>
                <w:szCs w:val="20"/>
                <w:lang w:eastAsia="en-AU"/>
              </w:rPr>
              <w:t xml:space="preserve">has </w:t>
            </w:r>
            <w:r w:rsidR="0070604A">
              <w:rPr>
                <w:rFonts w:eastAsia="Times New Roman" w:cs="Segoe UI"/>
                <w:kern w:val="24"/>
                <w:sz w:val="20"/>
                <w:szCs w:val="20"/>
                <w:lang w:eastAsia="en-AU"/>
              </w:rPr>
              <w:t>accrued during the time limited period</w:t>
            </w:r>
            <w:r w:rsidR="009D474A">
              <w:rPr>
                <w:rFonts w:eastAsia="Times New Roman" w:cs="Segoe UI"/>
                <w:kern w:val="24"/>
                <w:sz w:val="20"/>
                <w:szCs w:val="20"/>
                <w:lang w:eastAsia="en-AU"/>
              </w:rPr>
              <w:t xml:space="preserve">, and whether the health technology is performing as </w:t>
            </w:r>
            <w:r w:rsidR="005227DF">
              <w:rPr>
                <w:rFonts w:eastAsia="Times New Roman" w:cs="Segoe UI"/>
                <w:kern w:val="24"/>
                <w:sz w:val="20"/>
                <w:szCs w:val="20"/>
                <w:lang w:eastAsia="en-AU"/>
              </w:rPr>
              <w:t>anticipated</w:t>
            </w:r>
            <w:r w:rsidR="0070604A">
              <w:rPr>
                <w:rFonts w:eastAsia="Times New Roman" w:cs="Segoe UI"/>
                <w:kern w:val="24"/>
                <w:sz w:val="20"/>
                <w:szCs w:val="20"/>
                <w:lang w:eastAsia="en-AU"/>
              </w:rPr>
              <w:t xml:space="preserve">. </w:t>
            </w:r>
          </w:p>
        </w:tc>
      </w:tr>
      <w:tr w:rsidR="003F15A1" w:rsidRPr="006647C5" w14:paraId="023D636B" w14:textId="77777777" w:rsidTr="00534579">
        <w:trPr>
          <w:trHeight w:val="728"/>
        </w:trPr>
        <w:tc>
          <w:tcPr>
            <w:tcW w:w="1055" w:type="dxa"/>
            <w:shd w:val="clear" w:color="auto" w:fill="FFFFFF" w:themeFill="background1"/>
            <w:tcMar>
              <w:top w:w="72" w:type="dxa"/>
              <w:left w:w="144" w:type="dxa"/>
              <w:bottom w:w="72" w:type="dxa"/>
              <w:right w:w="144" w:type="dxa"/>
            </w:tcMar>
          </w:tcPr>
          <w:p w14:paraId="42BD13CF" w14:textId="77777777" w:rsidR="003F15A1" w:rsidRPr="00A32D81" w:rsidRDefault="003F15A1"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6AADC6EF" w14:textId="3A2BCB1E" w:rsidR="003F15A1" w:rsidRPr="00395D5F" w:rsidRDefault="00C737B2" w:rsidP="008A5286">
            <w:pPr>
              <w:pStyle w:val="Heading7"/>
              <w:keepNext w:val="0"/>
              <w:keepLines w:val="0"/>
              <w:rPr>
                <w:lang w:eastAsia="en-AU"/>
              </w:rPr>
            </w:pPr>
            <w:r w:rsidRPr="00395D5F">
              <w:rPr>
                <w:lang w:eastAsia="en-AU"/>
              </w:rPr>
              <w:t>Approaches for managing uncertainty</w:t>
            </w:r>
            <w:r w:rsidR="00062223">
              <w:rPr>
                <w:lang w:eastAsia="en-AU"/>
              </w:rPr>
              <w:t xml:space="preserve"> - r</w:t>
            </w:r>
            <w:r w:rsidR="003F15A1" w:rsidRPr="00395D5F">
              <w:rPr>
                <w:lang w:eastAsia="en-AU"/>
              </w:rPr>
              <w:t xml:space="preserve">evised guidance on the uses </w:t>
            </w:r>
            <w:r w:rsidR="003F15A1" w:rsidRPr="00395D5F">
              <w:rPr>
                <w:lang w:eastAsia="en-AU"/>
              </w:rPr>
              <w:lastRenderedPageBreak/>
              <w:t>of different managed entry tools</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1BDC1EDD" w14:textId="7A3EC464" w:rsidR="003F15A1" w:rsidRDefault="00F93046" w:rsidP="008C10BB">
            <w:pPr>
              <w:spacing w:after="120"/>
              <w:rPr>
                <w:rFonts w:eastAsia="Times New Roman" w:cs="Segoe UI"/>
                <w:kern w:val="24"/>
                <w:sz w:val="20"/>
                <w:szCs w:val="20"/>
                <w:lang w:eastAsia="en-AU"/>
              </w:rPr>
            </w:pPr>
            <w:r w:rsidRPr="00395D5F">
              <w:rPr>
                <w:rFonts w:eastAsia="Times New Roman" w:cs="Segoe UI"/>
                <w:kern w:val="24"/>
                <w:sz w:val="20"/>
                <w:szCs w:val="20"/>
                <w:lang w:eastAsia="en-AU"/>
              </w:rPr>
              <w:lastRenderedPageBreak/>
              <w:t xml:space="preserve">Revised guidance and policy arrangements that encourage the creative proposition and utilisation of managed entry arrangement instruments by the respective parties, supported by more explicit HTA committee recommendations enabled by appropriate changes to current policy and legislation, would facilitate greater uptake and provide more options to sponsors and the Commonwealth to engage with uncertainty more constructively and collaboratively, as part of improving timely access to health technologies. </w:t>
            </w:r>
          </w:p>
          <w:p w14:paraId="27B5BDC1" w14:textId="450EC5FC" w:rsidR="003F15A1" w:rsidRPr="00395D5F" w:rsidRDefault="006B3600" w:rsidP="008C10BB">
            <w:pPr>
              <w:spacing w:after="120"/>
              <w:rPr>
                <w:rFonts w:eastAsia="Times New Roman" w:cs="Segoe UI"/>
                <w:kern w:val="24"/>
                <w:sz w:val="20"/>
                <w:szCs w:val="20"/>
                <w:lang w:eastAsia="en-AU"/>
              </w:rPr>
            </w:pPr>
            <w:r w:rsidRPr="007142D6">
              <w:rPr>
                <w:rFonts w:eastAsia="Times New Roman" w:cs="Segoe UI"/>
                <w:kern w:val="24"/>
                <w:sz w:val="20"/>
                <w:szCs w:val="20"/>
                <w:lang w:eastAsia="en-AU"/>
              </w:rPr>
              <w:lastRenderedPageBreak/>
              <w:t>Note</w:t>
            </w:r>
            <w:r w:rsidR="007142D6">
              <w:rPr>
                <w:rFonts w:eastAsia="Times New Roman" w:cs="Segoe UI"/>
                <w:kern w:val="24"/>
                <w:sz w:val="20"/>
                <w:szCs w:val="20"/>
                <w:lang w:eastAsia="en-AU"/>
              </w:rPr>
              <w:t>:</w:t>
            </w:r>
            <w:r w:rsidRPr="007142D6">
              <w:rPr>
                <w:rFonts w:eastAsia="Times New Roman" w:cs="Segoe UI"/>
                <w:kern w:val="24"/>
                <w:sz w:val="20"/>
                <w:szCs w:val="20"/>
                <w:lang w:eastAsia="en-AU"/>
              </w:rPr>
              <w:t xml:space="preserve"> this may </w:t>
            </w:r>
            <w:r w:rsidR="00A00BC5" w:rsidRPr="007142D6">
              <w:rPr>
                <w:rFonts w:eastAsia="Times New Roman" w:cs="Segoe UI"/>
                <w:kern w:val="24"/>
                <w:sz w:val="20"/>
                <w:szCs w:val="20"/>
                <w:lang w:eastAsia="en-AU"/>
              </w:rPr>
              <w:t>need to be</w:t>
            </w:r>
            <w:r w:rsidR="003E2B38" w:rsidRPr="007142D6">
              <w:rPr>
                <w:rFonts w:eastAsia="Times New Roman" w:cs="Segoe UI"/>
                <w:kern w:val="24"/>
                <w:sz w:val="20"/>
                <w:szCs w:val="20"/>
                <w:lang w:eastAsia="en-AU"/>
              </w:rPr>
              <w:t xml:space="preserve"> accompanied by changes to negotiation guidance, policy, regulations and/or legislation to facilitate implementation</w:t>
            </w:r>
            <w:r w:rsidR="007142D6">
              <w:rPr>
                <w:rFonts w:eastAsia="Times New Roman" w:cs="Segoe UI"/>
                <w:kern w:val="24"/>
                <w:sz w:val="20"/>
                <w:szCs w:val="20"/>
                <w:lang w:eastAsia="en-AU"/>
              </w:rPr>
              <w:t>.</w:t>
            </w:r>
          </w:p>
        </w:tc>
      </w:tr>
      <w:tr w:rsidR="00565250" w:rsidRPr="006647C5" w14:paraId="14400BCF" w14:textId="77777777" w:rsidTr="00C93D28">
        <w:trPr>
          <w:trHeight w:val="201"/>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1418BE0F" w14:textId="4BCB01D0" w:rsidR="00565250" w:rsidRPr="00395D5F" w:rsidRDefault="008A5286" w:rsidP="008505D7">
            <w:pPr>
              <w:pStyle w:val="Heading6"/>
              <w:numPr>
                <w:ilvl w:val="1"/>
                <w:numId w:val="35"/>
              </w:numPr>
              <w:ind w:left="274"/>
              <w:rPr>
                <w:rFonts w:eastAsia="Times New Roman" w:cs="Segoe UI"/>
                <w:kern w:val="24"/>
              </w:rPr>
            </w:pPr>
            <w:bookmarkStart w:id="46" w:name="_Approaches_to_incentivise"/>
            <w:bookmarkEnd w:id="46"/>
            <w:r w:rsidRPr="009D14F6">
              <w:rPr>
                <w:color w:val="1D437F" w:themeColor="accent1"/>
              </w:rPr>
              <w:lastRenderedPageBreak/>
              <w:t>Approaches to incentivise development of products that address antimicrobial resistance</w:t>
            </w:r>
            <w:r w:rsidR="00B36306">
              <w:rPr>
                <w:color w:val="1D437F" w:themeColor="accent1"/>
              </w:rPr>
              <w:t xml:space="preserve"> (AMR)</w:t>
            </w:r>
            <w:r w:rsidR="00301A47">
              <w:rPr>
                <w:color w:val="auto"/>
              </w:rPr>
              <w:fldChar w:fldCharType="begin"/>
            </w:r>
            <w:r w:rsidR="00301A47">
              <w:instrText xml:space="preserve"> XE "</w:instrText>
            </w:r>
            <w:r w:rsidR="00301A47" w:rsidRPr="00E61E42">
              <w:rPr>
                <w:color w:val="auto"/>
              </w:rPr>
              <w:instrText>antimicrobial resistance</w:instrText>
            </w:r>
            <w:r w:rsidR="00301A47">
              <w:instrText xml:space="preserve">" \b </w:instrText>
            </w:r>
            <w:r w:rsidR="00301A47">
              <w:rPr>
                <w:color w:val="auto"/>
              </w:rPr>
              <w:fldChar w:fldCharType="end"/>
            </w:r>
          </w:p>
        </w:tc>
      </w:tr>
      <w:tr w:rsidR="00565250" w:rsidRPr="006647C5" w14:paraId="7F83B177" w14:textId="77777777" w:rsidTr="00534579">
        <w:trPr>
          <w:trHeight w:val="728"/>
        </w:trPr>
        <w:tc>
          <w:tcPr>
            <w:tcW w:w="1055" w:type="dxa"/>
            <w:shd w:val="clear" w:color="auto" w:fill="FFFFFF" w:themeFill="background1"/>
            <w:tcMar>
              <w:top w:w="72" w:type="dxa"/>
              <w:left w:w="144" w:type="dxa"/>
              <w:bottom w:w="72" w:type="dxa"/>
              <w:right w:w="144" w:type="dxa"/>
            </w:tcMar>
          </w:tcPr>
          <w:p w14:paraId="0B89A404" w14:textId="77777777" w:rsidR="00565250" w:rsidRPr="00FB31E2" w:rsidRDefault="00565250"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3A65F190" w14:textId="776892B5" w:rsidR="00565250" w:rsidRPr="00FB31E2" w:rsidRDefault="00565250" w:rsidP="008A5286">
            <w:pPr>
              <w:pStyle w:val="Heading7"/>
              <w:keepNext w:val="0"/>
              <w:keepLines w:val="0"/>
              <w:rPr>
                <w:lang w:eastAsia="en-AU"/>
              </w:rPr>
            </w:pPr>
            <w:bookmarkStart w:id="47" w:name="_HTA_Fee_exemptions"/>
            <w:bookmarkEnd w:id="47"/>
            <w:r w:rsidRPr="00FB31E2">
              <w:rPr>
                <w:lang w:eastAsia="en-AU"/>
              </w:rPr>
              <w:t>HTA Fee exemptions for products that address AMR</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73F0FF6B" w14:textId="63F2B7DA" w:rsidR="00565250" w:rsidRPr="00FB31E2" w:rsidRDefault="00D02A07"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Explicitly</w:t>
            </w:r>
            <w:r w:rsidR="00565250" w:rsidRPr="00FB31E2">
              <w:rPr>
                <w:rFonts w:eastAsia="Times New Roman" w:cs="Segoe UI"/>
                <w:kern w:val="24"/>
                <w:sz w:val="20"/>
                <w:szCs w:val="20"/>
                <w:lang w:eastAsia="en-AU"/>
              </w:rPr>
              <w:t xml:space="preserve"> </w:t>
            </w:r>
            <w:r w:rsidRPr="00FB31E2">
              <w:rPr>
                <w:rFonts w:eastAsia="Times New Roman" w:cs="Segoe UI"/>
                <w:kern w:val="24"/>
                <w:sz w:val="20"/>
                <w:szCs w:val="20"/>
                <w:lang w:eastAsia="en-AU"/>
              </w:rPr>
              <w:t>include</w:t>
            </w:r>
            <w:r w:rsidR="00565250" w:rsidRPr="00FB31E2">
              <w:rPr>
                <w:rFonts w:eastAsia="Times New Roman" w:cs="Segoe UI"/>
                <w:kern w:val="24"/>
                <w:sz w:val="20"/>
                <w:szCs w:val="20"/>
                <w:lang w:eastAsia="en-AU"/>
              </w:rPr>
              <w:t xml:space="preserve"> antimicrobial health technologies that address the public health risks associated with organisms on the WHO bacterial/fungal priority pathogen lists as HTA fee exempt in regulations would be appropriate as part of a broader set of incentives and reforms.</w:t>
            </w:r>
          </w:p>
        </w:tc>
      </w:tr>
      <w:tr w:rsidR="00565250" w:rsidRPr="006647C5" w14:paraId="47D7E258" w14:textId="77777777" w:rsidTr="00534579">
        <w:trPr>
          <w:trHeight w:val="728"/>
        </w:trPr>
        <w:tc>
          <w:tcPr>
            <w:tcW w:w="1055" w:type="dxa"/>
            <w:shd w:val="clear" w:color="auto" w:fill="FFFFFF" w:themeFill="background1"/>
            <w:tcMar>
              <w:top w:w="72" w:type="dxa"/>
              <w:left w:w="144" w:type="dxa"/>
              <w:bottom w:w="72" w:type="dxa"/>
              <w:right w:w="144" w:type="dxa"/>
            </w:tcMar>
          </w:tcPr>
          <w:p w14:paraId="6007543D" w14:textId="77777777" w:rsidR="00565250" w:rsidRPr="00FB31E2" w:rsidRDefault="00565250"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143787D9" w14:textId="7A1468FA" w:rsidR="00565250" w:rsidRPr="00FB31E2" w:rsidRDefault="00565250" w:rsidP="008A5286">
            <w:pPr>
              <w:pStyle w:val="Heading7"/>
              <w:keepNext w:val="0"/>
              <w:keepLines w:val="0"/>
              <w:rPr>
                <w:lang w:eastAsia="en-AU"/>
              </w:rPr>
            </w:pPr>
            <w:r w:rsidRPr="00FB31E2">
              <w:rPr>
                <w:lang w:eastAsia="en-AU"/>
              </w:rPr>
              <w:t>HTA Policy and Guidance changes for products that address AMR</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6FAF43BA" w14:textId="77777777" w:rsidR="003F0011" w:rsidRPr="00FB31E2" w:rsidRDefault="003F0011"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 xml:space="preserve">The Department of Health and Aged Care has commenced work towards identifying and scoping potential funding mechanisms and economic models to incentivise market availability of antimicrobial products in Australia, the Reference Committee </w:t>
            </w:r>
          </w:p>
          <w:p w14:paraId="7AAB6D55" w14:textId="264E6A28" w:rsidR="003F0011" w:rsidRPr="00FB31E2" w:rsidRDefault="003F0011"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Use this work program to examine how targeted changes to HTA policy and methods regarding PICO</w:t>
            </w:r>
            <w:r w:rsidR="0068258A">
              <w:rPr>
                <w:rFonts w:eastAsia="Times New Roman" w:cs="Segoe UI"/>
                <w:kern w:val="24"/>
                <w:sz w:val="20"/>
                <w:szCs w:val="20"/>
                <w:lang w:eastAsia="en-AU"/>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Times New Roman" w:cs="Segoe UI"/>
                <w:kern w:val="24"/>
                <w:sz w:val="20"/>
                <w:szCs w:val="20"/>
                <w:lang w:eastAsia="en-AU"/>
              </w:rPr>
              <w:fldChar w:fldCharType="end"/>
            </w:r>
            <w:r w:rsidRPr="00FB31E2">
              <w:rPr>
                <w:rFonts w:eastAsia="Times New Roman" w:cs="Segoe UI"/>
                <w:kern w:val="24"/>
                <w:sz w:val="20"/>
                <w:szCs w:val="20"/>
                <w:lang w:eastAsia="en-AU"/>
              </w:rPr>
              <w:t xml:space="preserve"> definitions, evaluation of clinical evidence and dimensions of value for antimicrobial products (</w:t>
            </w:r>
            <w:r w:rsidR="004D3F22">
              <w:rPr>
                <w:rFonts w:eastAsia="Times New Roman" w:cs="Segoe UI"/>
                <w:kern w:val="24"/>
                <w:sz w:val="20"/>
                <w:szCs w:val="20"/>
                <w:lang w:eastAsia="en-AU"/>
              </w:rPr>
              <w:t>e.g</w:t>
            </w:r>
            <w:r w:rsidR="00EB5607">
              <w:rPr>
                <w:rFonts w:eastAsia="Times New Roman" w:cs="Segoe UI"/>
                <w:kern w:val="24"/>
                <w:sz w:val="20"/>
                <w:szCs w:val="20"/>
                <w:lang w:eastAsia="en-AU"/>
              </w:rPr>
              <w:t>.</w:t>
            </w:r>
            <w:r w:rsidRPr="00FB31E2">
              <w:rPr>
                <w:rFonts w:eastAsia="Times New Roman" w:cs="Segoe UI"/>
                <w:kern w:val="24"/>
                <w:sz w:val="20"/>
                <w:szCs w:val="20"/>
                <w:lang w:eastAsia="en-AU"/>
              </w:rPr>
              <w:t xml:space="preserve"> by drawing on the experience </w:t>
            </w:r>
            <w:r w:rsidR="00A54710">
              <w:rPr>
                <w:rFonts w:eastAsia="Times New Roman" w:cs="Segoe UI"/>
                <w:kern w:val="24"/>
                <w:sz w:val="20"/>
                <w:szCs w:val="20"/>
                <w:lang w:eastAsia="en-AU"/>
              </w:rPr>
              <w:t xml:space="preserve">of the </w:t>
            </w:r>
            <w:r w:rsidR="578EFAA9" w:rsidRPr="7FECE2C8">
              <w:rPr>
                <w:rFonts w:eastAsia="Times New Roman" w:cs="Segoe UI"/>
                <w:sz w:val="20"/>
                <w:szCs w:val="20"/>
                <w:lang w:eastAsia="en-AU"/>
              </w:rPr>
              <w:t xml:space="preserve">National Institute for Health and Care </w:t>
            </w:r>
            <w:r w:rsidR="4457EEBC" w:rsidRPr="7FECE2C8">
              <w:rPr>
                <w:rFonts w:eastAsia="Times New Roman" w:cs="Segoe UI"/>
                <w:sz w:val="20"/>
                <w:szCs w:val="20"/>
                <w:lang w:eastAsia="en-AU"/>
              </w:rPr>
              <w:t>Excellence</w:t>
            </w:r>
            <w:r w:rsidR="578EFAA9" w:rsidRPr="7FECE2C8">
              <w:rPr>
                <w:rFonts w:eastAsia="Times New Roman" w:cs="Segoe UI"/>
                <w:sz w:val="20"/>
                <w:szCs w:val="20"/>
                <w:lang w:eastAsia="en-AU"/>
              </w:rPr>
              <w:t xml:space="preserve"> (</w:t>
            </w:r>
            <w:r w:rsidRPr="00FB31E2">
              <w:rPr>
                <w:rFonts w:eastAsia="Times New Roman" w:cs="Segoe UI"/>
                <w:kern w:val="24"/>
                <w:sz w:val="20"/>
                <w:szCs w:val="20"/>
                <w:lang w:eastAsia="en-AU"/>
              </w:rPr>
              <w:t>NICE</w:t>
            </w:r>
            <w:r w:rsidR="11733E44" w:rsidRPr="7FECE2C8">
              <w:rPr>
                <w:rFonts w:eastAsia="Times New Roman" w:cs="Segoe UI"/>
                <w:sz w:val="20"/>
                <w:szCs w:val="20"/>
                <w:lang w:eastAsia="en-AU"/>
              </w:rPr>
              <w:t>)</w:t>
            </w:r>
            <w:r w:rsidRPr="00FB31E2">
              <w:rPr>
                <w:rFonts w:eastAsia="Times New Roman" w:cs="Segoe UI"/>
                <w:kern w:val="24"/>
                <w:sz w:val="20"/>
                <w:szCs w:val="20"/>
                <w:lang w:eastAsia="en-AU"/>
              </w:rPr>
              <w:t>/</w:t>
            </w:r>
            <w:r w:rsidR="47661E07" w:rsidRPr="7FECE2C8">
              <w:rPr>
                <w:rFonts w:eastAsia="Times New Roman" w:cs="Segoe UI"/>
                <w:sz w:val="20"/>
                <w:szCs w:val="20"/>
                <w:lang w:eastAsia="en-AU"/>
              </w:rPr>
              <w:t xml:space="preserve">National Health Service </w:t>
            </w:r>
            <w:r w:rsidR="57B5E5FC" w:rsidRPr="7FECE2C8">
              <w:rPr>
                <w:rFonts w:eastAsia="Times New Roman" w:cs="Segoe UI"/>
                <w:sz w:val="20"/>
                <w:szCs w:val="20"/>
                <w:lang w:eastAsia="en-AU"/>
              </w:rPr>
              <w:t>(</w:t>
            </w:r>
            <w:r w:rsidRPr="00FB31E2">
              <w:rPr>
                <w:rFonts w:eastAsia="Times New Roman" w:cs="Segoe UI"/>
                <w:kern w:val="24"/>
                <w:sz w:val="20"/>
                <w:szCs w:val="20"/>
                <w:lang w:eastAsia="en-AU"/>
              </w:rPr>
              <w:t>NHS</w:t>
            </w:r>
            <w:r w:rsidR="3517582A" w:rsidRPr="7FECE2C8">
              <w:rPr>
                <w:rFonts w:eastAsia="Times New Roman" w:cs="Segoe UI"/>
                <w:sz w:val="20"/>
                <w:szCs w:val="20"/>
                <w:lang w:eastAsia="en-AU"/>
              </w:rPr>
              <w:t>)</w:t>
            </w:r>
            <w:r w:rsidRPr="00FB31E2">
              <w:rPr>
                <w:rFonts w:eastAsia="Times New Roman" w:cs="Segoe UI"/>
                <w:kern w:val="24"/>
                <w:sz w:val="20"/>
                <w:szCs w:val="20"/>
                <w:lang w:eastAsia="en-AU"/>
              </w:rPr>
              <w:t xml:space="preserve"> pilot and </w:t>
            </w:r>
            <w:r w:rsidR="00A54710">
              <w:rPr>
                <w:rFonts w:eastAsia="Times New Roman" w:cs="Segoe UI"/>
                <w:kern w:val="24"/>
                <w:sz w:val="20"/>
                <w:szCs w:val="20"/>
                <w:lang w:eastAsia="en-AU"/>
              </w:rPr>
              <w:t xml:space="preserve">the </w:t>
            </w:r>
            <w:r w:rsidRPr="00FB31E2">
              <w:rPr>
                <w:rFonts w:eastAsia="Times New Roman" w:cs="Segoe UI"/>
                <w:kern w:val="24"/>
                <w:sz w:val="20"/>
                <w:szCs w:val="20"/>
                <w:lang w:eastAsia="en-AU"/>
              </w:rPr>
              <w:t>application of the “</w:t>
            </w:r>
            <w:r w:rsidR="400EABB1" w:rsidRPr="3EDA03A9">
              <w:rPr>
                <w:rStyle w:val="normaltextrun"/>
                <w:rFonts w:cs="Segoe UI"/>
                <w:sz w:val="20"/>
                <w:szCs w:val="20"/>
              </w:rPr>
              <w:t xml:space="preserve">Spectrum, Transmission, Enablement, Diversity, Insurance Value </w:t>
            </w:r>
            <w:r w:rsidR="400EABB1" w:rsidRPr="37CAA142">
              <w:rPr>
                <w:rStyle w:val="normaltextrun"/>
                <w:rFonts w:cs="Segoe UI"/>
                <w:sz w:val="20"/>
                <w:szCs w:val="20"/>
              </w:rPr>
              <w:t>(</w:t>
            </w:r>
            <w:r w:rsidRPr="00FB31E2">
              <w:rPr>
                <w:rFonts w:eastAsia="Times New Roman" w:cs="Segoe UI"/>
                <w:kern w:val="24"/>
                <w:sz w:val="20"/>
                <w:szCs w:val="20"/>
                <w:lang w:eastAsia="en-AU"/>
              </w:rPr>
              <w:t>STEDI</w:t>
            </w:r>
            <w:r w:rsidR="0242FFA6" w:rsidRPr="00FB31E2">
              <w:rPr>
                <w:rFonts w:eastAsia="Times New Roman" w:cs="Segoe UI"/>
                <w:kern w:val="24"/>
                <w:sz w:val="20"/>
                <w:szCs w:val="20"/>
                <w:lang w:eastAsia="en-AU"/>
              </w:rPr>
              <w:t>)</w:t>
            </w:r>
            <w:r w:rsidRPr="00FB31E2">
              <w:rPr>
                <w:rFonts w:eastAsia="Times New Roman" w:cs="Segoe UI"/>
                <w:kern w:val="24"/>
                <w:sz w:val="20"/>
                <w:szCs w:val="20"/>
                <w:lang w:eastAsia="en-AU"/>
              </w:rPr>
              <w:t>” value framework</w:t>
            </w:r>
            <w:r w:rsidR="00420583">
              <w:rPr>
                <w:rFonts w:eastAsia="Times New Roman" w:cs="Segoe UI"/>
                <w:kern w:val="24"/>
                <w:sz w:val="20"/>
                <w:szCs w:val="20"/>
                <w:lang w:eastAsia="en-AU"/>
              </w:rPr>
              <w:fldChar w:fldCharType="begin"/>
            </w:r>
            <w:r w:rsidR="00420583">
              <w:instrText xml:space="preserve"> XE "</w:instrText>
            </w:r>
            <w:r w:rsidR="00420583" w:rsidRPr="009F39D2">
              <w:rPr>
                <w:rFonts w:eastAsia="Arial" w:cs="Arial"/>
                <w:color w:val="000000" w:themeColor="text1"/>
                <w:szCs w:val="22"/>
              </w:rPr>
              <w:instrText>value framework</w:instrText>
            </w:r>
            <w:r w:rsidR="00420583">
              <w:instrText xml:space="preserve">" \b </w:instrText>
            </w:r>
            <w:r w:rsidR="00420583">
              <w:rPr>
                <w:rFonts w:eastAsia="Times New Roman" w:cs="Segoe UI"/>
                <w:kern w:val="24"/>
                <w:sz w:val="20"/>
                <w:szCs w:val="20"/>
                <w:lang w:eastAsia="en-AU"/>
              </w:rPr>
              <w:fldChar w:fldCharType="end"/>
            </w:r>
            <w:r w:rsidRPr="00FB31E2">
              <w:rPr>
                <w:rFonts w:eastAsia="Times New Roman" w:cs="Segoe UI"/>
                <w:kern w:val="24"/>
                <w:sz w:val="20"/>
                <w:szCs w:val="20"/>
                <w:lang w:eastAsia="en-AU"/>
              </w:rPr>
              <w:t xml:space="preserve">) could be applied in practice, given the public health significance and implications of AMR. </w:t>
            </w:r>
          </w:p>
          <w:p w14:paraId="31634196" w14:textId="4FAB5367" w:rsidR="00565250" w:rsidRPr="00FB31E2" w:rsidRDefault="00E370F6"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Workshop</w:t>
            </w:r>
            <w:r w:rsidR="00565250" w:rsidRPr="00FB31E2">
              <w:rPr>
                <w:rFonts w:eastAsia="Times New Roman" w:cs="Segoe UI"/>
                <w:kern w:val="24"/>
                <w:sz w:val="20"/>
                <w:szCs w:val="20"/>
                <w:lang w:eastAsia="en-AU"/>
              </w:rPr>
              <w:t xml:space="preserve"> variations to the standard HTA evaluation approach for health technologies that should be evaluated further as part of a prospective work program.</w:t>
            </w:r>
          </w:p>
        </w:tc>
      </w:tr>
      <w:tr w:rsidR="00565250" w:rsidRPr="006647C5" w14:paraId="2962CA14" w14:textId="77777777" w:rsidTr="00C835BD">
        <w:trPr>
          <w:trHeight w:val="728"/>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58F75822" w14:textId="77777777" w:rsidR="00565250" w:rsidRPr="00FB31E2" w:rsidRDefault="00565250"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23FCE386" w14:textId="548A1B64" w:rsidR="00565250" w:rsidRPr="00FB31E2" w:rsidRDefault="00565250" w:rsidP="008A5286">
            <w:pPr>
              <w:pStyle w:val="Heading7"/>
              <w:keepNext w:val="0"/>
              <w:keepLines w:val="0"/>
              <w:rPr>
                <w:lang w:eastAsia="en-AU"/>
              </w:rPr>
            </w:pPr>
            <w:r w:rsidRPr="00FB31E2">
              <w:rPr>
                <w:lang w:eastAsia="en-AU"/>
              </w:rPr>
              <w:t>Funding and reimbursement-related changes to support availability of antimicrobials</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37B156FC" w14:textId="4907F501" w:rsidR="00565250" w:rsidRPr="00FB31E2" w:rsidRDefault="001D0F87"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Workshop</w:t>
            </w:r>
            <w:r w:rsidR="00565250" w:rsidRPr="00FB31E2">
              <w:rPr>
                <w:rFonts w:eastAsia="Times New Roman" w:cs="Segoe UI"/>
                <w:kern w:val="24"/>
                <w:sz w:val="20"/>
                <w:szCs w:val="20"/>
                <w:lang w:eastAsia="en-AU"/>
              </w:rPr>
              <w:t xml:space="preserve"> a possible option that recommends the Government examine and test multiple payment and incentive models (including, but not limited to full and partial price/volume delinking, advance market commitments, guarantee-of-supply provisions) as part of designing a flexible reimbursement policy in respect of antimicrobial products purchasing. </w:t>
            </w:r>
          </w:p>
        </w:tc>
      </w:tr>
      <w:tr w:rsidR="000C7F7A" w:rsidRPr="006647C5" w14:paraId="70D0903C" w14:textId="77777777" w:rsidTr="00C835BD">
        <w:trPr>
          <w:trHeight w:val="315"/>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0C1B0F6D" w14:textId="12339B71" w:rsidR="000C7F7A" w:rsidRPr="009D14F6" w:rsidRDefault="008A5286" w:rsidP="008505D7">
            <w:pPr>
              <w:pStyle w:val="Heading6"/>
              <w:numPr>
                <w:ilvl w:val="1"/>
                <w:numId w:val="35"/>
              </w:numPr>
              <w:ind w:left="274"/>
              <w:rPr>
                <w:color w:val="1D437F" w:themeColor="accent1"/>
              </w:rPr>
            </w:pPr>
            <w:r w:rsidRPr="009D14F6">
              <w:rPr>
                <w:color w:val="1D437F" w:themeColor="accent1"/>
              </w:rPr>
              <w:t>Understanding the performance of health technologies in practice</w:t>
            </w:r>
          </w:p>
        </w:tc>
      </w:tr>
      <w:tr w:rsidR="00B7313E" w:rsidRPr="006647C5" w14:paraId="73905860" w14:textId="77777777" w:rsidTr="00534579">
        <w:trPr>
          <w:trHeight w:val="728"/>
        </w:trPr>
        <w:tc>
          <w:tcPr>
            <w:tcW w:w="1055" w:type="dxa"/>
            <w:shd w:val="clear" w:color="auto" w:fill="FFFFFF" w:themeFill="background1"/>
            <w:tcMar>
              <w:top w:w="72" w:type="dxa"/>
              <w:left w:w="144" w:type="dxa"/>
              <w:bottom w:w="72" w:type="dxa"/>
              <w:right w:w="144" w:type="dxa"/>
            </w:tcMar>
          </w:tcPr>
          <w:p w14:paraId="6F61EC9A" w14:textId="77777777" w:rsidR="00B7313E" w:rsidRPr="00FB31E2" w:rsidRDefault="00B7313E"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1ABEB4E0" w14:textId="77B178D7" w:rsidR="00B7313E" w:rsidRPr="00FB31E2" w:rsidRDefault="00E4422E" w:rsidP="008A5286">
            <w:pPr>
              <w:pStyle w:val="Heading7"/>
              <w:keepNext w:val="0"/>
              <w:keepLines w:val="0"/>
              <w:rPr>
                <w:lang w:eastAsia="en-AU"/>
              </w:rPr>
            </w:pPr>
            <w:r w:rsidRPr="00FB31E2">
              <w:rPr>
                <w:lang w:eastAsia="en-AU"/>
              </w:rPr>
              <w:t xml:space="preserve">Oversight – reforms to optimise access </w:t>
            </w:r>
            <w:r w:rsidR="00C45F13">
              <w:rPr>
                <w:lang w:eastAsia="en-AU"/>
              </w:rPr>
              <w:t xml:space="preserve">to </w:t>
            </w:r>
            <w:r w:rsidRPr="00FB31E2">
              <w:rPr>
                <w:lang w:eastAsia="en-AU"/>
              </w:rPr>
              <w:t>and use of RWD in HTA</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212DC2A1" w14:textId="58676B7E" w:rsidR="00B7313E" w:rsidRPr="00FB31E2" w:rsidRDefault="00E4422E"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Establish a multi-stakeholder advisory group, reporting to government, to co-design and oversee the development and implementation of enabling systems, pathways, evaluation, and research to optimise access and use of RWD in HTA.</w:t>
            </w:r>
          </w:p>
        </w:tc>
      </w:tr>
      <w:tr w:rsidR="00E4422E" w:rsidRPr="006647C5" w14:paraId="01BF547D" w14:textId="77777777" w:rsidTr="00534579">
        <w:trPr>
          <w:trHeight w:val="728"/>
        </w:trPr>
        <w:tc>
          <w:tcPr>
            <w:tcW w:w="1055" w:type="dxa"/>
            <w:shd w:val="clear" w:color="auto" w:fill="FFFFFF" w:themeFill="background1"/>
            <w:tcMar>
              <w:top w:w="72" w:type="dxa"/>
              <w:left w:w="144" w:type="dxa"/>
              <w:bottom w:w="72" w:type="dxa"/>
              <w:right w:w="144" w:type="dxa"/>
            </w:tcMar>
          </w:tcPr>
          <w:p w14:paraId="389FB67E" w14:textId="77777777" w:rsidR="00E4422E" w:rsidRPr="00FB31E2" w:rsidRDefault="00E4422E"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6228D544" w14:textId="4A3C6A77" w:rsidR="00E4422E" w:rsidRPr="00FB31E2" w:rsidRDefault="001F16B9" w:rsidP="008A5286">
            <w:pPr>
              <w:pStyle w:val="Heading7"/>
              <w:keepNext w:val="0"/>
              <w:keepLines w:val="0"/>
              <w:rPr>
                <w:lang w:eastAsia="en-AU"/>
              </w:rPr>
            </w:pPr>
            <w:r w:rsidRPr="00FB31E2">
              <w:rPr>
                <w:lang w:eastAsia="en-AU"/>
              </w:rPr>
              <w:t xml:space="preserve">Develop a strategic approach to increase confidence, awareness, and </w:t>
            </w:r>
            <w:r w:rsidRPr="00FB31E2">
              <w:rPr>
                <w:lang w:eastAsia="en-AU"/>
              </w:rPr>
              <w:lastRenderedPageBreak/>
              <w:t>acceptance of cross-jurisdictional and cross-sectoral RWD access and use in HTA</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050F1440" w14:textId="60949C0A" w:rsidR="001F16B9"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lastRenderedPageBreak/>
              <w:t>This approach should centre consumer and community engagement and co-design, leverage and integrate existing international activities and guidelines, incorporate Australian context and evidence, and fine tune responses and messages specific to HTA. Critically, Australia should continue to develop and enhance systems that ensure privacy protections and data security.</w:t>
            </w:r>
          </w:p>
          <w:p w14:paraId="538A7535" w14:textId="2F0E6B71" w:rsidR="00E4422E"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lastRenderedPageBreak/>
              <w:t>Australia could develop a strategic approach to increase confidence, awareness, and acceptance of cross-jurisdictional and cross-sectoral RWD access and use in HTA. This approach should centre consumer and community engagement and co-design, leverage and integrate existing international activities and guidelines, incorporate Australian context and evidence, and fine tune responses and messages specific to HTA. Critically, Australia should continue to develop and enhance systems that ensure privacy protections and data security.</w:t>
            </w:r>
          </w:p>
        </w:tc>
      </w:tr>
      <w:tr w:rsidR="00E4422E" w:rsidRPr="006647C5" w14:paraId="3827113F" w14:textId="77777777" w:rsidTr="00534579">
        <w:trPr>
          <w:trHeight w:val="728"/>
        </w:trPr>
        <w:tc>
          <w:tcPr>
            <w:tcW w:w="1055" w:type="dxa"/>
            <w:shd w:val="clear" w:color="auto" w:fill="FFFFFF" w:themeFill="background1"/>
            <w:tcMar>
              <w:top w:w="72" w:type="dxa"/>
              <w:left w:w="144" w:type="dxa"/>
              <w:bottom w:w="72" w:type="dxa"/>
              <w:right w:w="144" w:type="dxa"/>
            </w:tcMar>
          </w:tcPr>
          <w:p w14:paraId="3DEFC7FE" w14:textId="77777777" w:rsidR="00E4422E" w:rsidRPr="00FB31E2" w:rsidRDefault="00E4422E"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32D8290D" w14:textId="5E8544B5" w:rsidR="00E4422E" w:rsidRPr="00FB31E2" w:rsidRDefault="001F16B9" w:rsidP="008A5286">
            <w:pPr>
              <w:pStyle w:val="Heading7"/>
              <w:keepNext w:val="0"/>
              <w:keepLines w:val="0"/>
              <w:rPr>
                <w:lang w:eastAsia="en-AU"/>
              </w:rPr>
            </w:pPr>
            <w:r w:rsidRPr="00FB31E2">
              <w:rPr>
                <w:lang w:eastAsia="en-AU"/>
              </w:rPr>
              <w:t>Data infrastructure</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10A2F6EA" w14:textId="4B6FEA68" w:rsidR="001F16B9"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Develop a dynamic, enduring whole-of-government data infrastructure, including transparent and streamlined governance, that is fit-for-purpose to accelerate RWE</w:t>
            </w:r>
            <w:r w:rsidR="00D75A2B">
              <w:rPr>
                <w:rFonts w:eastAsia="Times New Roman" w:cs="Segoe UI"/>
                <w:kern w:val="24"/>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rPr>
                <w:rFonts w:eastAsia="Times New Roman" w:cs="Segoe UI"/>
                <w:kern w:val="24"/>
                <w:sz w:val="20"/>
                <w:szCs w:val="20"/>
                <w:lang w:eastAsia="en-AU"/>
              </w:rPr>
              <w:fldChar w:fldCharType="end"/>
            </w:r>
            <w:r w:rsidRPr="00FB31E2">
              <w:rPr>
                <w:rFonts w:eastAsia="Times New Roman" w:cs="Segoe UI"/>
                <w:kern w:val="24"/>
                <w:sz w:val="20"/>
                <w:szCs w:val="20"/>
                <w:lang w:eastAsia="en-AU"/>
              </w:rPr>
              <w:t xml:space="preserve"> development for HTA. </w:t>
            </w:r>
          </w:p>
          <w:p w14:paraId="56E71658" w14:textId="77777777" w:rsidR="001F16B9" w:rsidRPr="006732A5" w:rsidRDefault="001F16B9" w:rsidP="008505D7">
            <w:pPr>
              <w:pStyle w:val="ListParagraph"/>
              <w:numPr>
                <w:ilvl w:val="0"/>
                <w:numId w:val="108"/>
              </w:numPr>
              <w:rPr>
                <w:rFonts w:eastAsia="Times New Roman" w:cs="Segoe UI"/>
                <w:sz w:val="20"/>
                <w:szCs w:val="20"/>
                <w:lang w:eastAsia="en-AU"/>
              </w:rPr>
            </w:pPr>
            <w:r w:rsidRPr="006732A5">
              <w:rPr>
                <w:rFonts w:eastAsia="Times New Roman" w:cs="Segoe UI"/>
                <w:sz w:val="20"/>
                <w:szCs w:val="20"/>
                <w:lang w:eastAsia="en-AU"/>
              </w:rPr>
              <w:t xml:space="preserve">This infrastructure should evolve over time, based on the needs of HTA agencies and other stakeholders. </w:t>
            </w:r>
          </w:p>
          <w:p w14:paraId="7A5115AB" w14:textId="77777777" w:rsidR="001F16B9" w:rsidRPr="006732A5" w:rsidRDefault="001F16B9" w:rsidP="008505D7">
            <w:pPr>
              <w:pStyle w:val="ListParagraph"/>
              <w:numPr>
                <w:ilvl w:val="0"/>
                <w:numId w:val="108"/>
              </w:numPr>
              <w:rPr>
                <w:rFonts w:eastAsia="Times New Roman" w:cs="Segoe UI"/>
                <w:sz w:val="20"/>
                <w:szCs w:val="20"/>
                <w:lang w:eastAsia="en-AU"/>
              </w:rPr>
            </w:pPr>
            <w:r w:rsidRPr="006732A5">
              <w:rPr>
                <w:rFonts w:eastAsia="Times New Roman" w:cs="Segoe UI"/>
                <w:sz w:val="20"/>
                <w:szCs w:val="20"/>
                <w:lang w:eastAsia="en-AU"/>
              </w:rPr>
              <w:t xml:space="preserve">It should also be harmonised using international standards, be flexible to accommodate treatment landscape changes, scalable to incorporate emerging novel datasets, and allow transparent data quality assessment. </w:t>
            </w:r>
          </w:p>
          <w:p w14:paraId="29ABA008" w14:textId="238DDBD2" w:rsidR="00DA3C91" w:rsidRPr="00687095" w:rsidRDefault="001F16B9" w:rsidP="008505D7">
            <w:pPr>
              <w:pStyle w:val="ListParagraph"/>
              <w:numPr>
                <w:ilvl w:val="0"/>
                <w:numId w:val="108"/>
              </w:numPr>
              <w:rPr>
                <w:rFonts w:eastAsia="Times New Roman" w:cs="Segoe UI"/>
                <w:color w:val="222A35"/>
                <w:kern w:val="24"/>
                <w:sz w:val="20"/>
                <w:szCs w:val="20"/>
                <w:lang w:eastAsia="en-AU"/>
              </w:rPr>
            </w:pPr>
            <w:r w:rsidRPr="006732A5">
              <w:rPr>
                <w:rFonts w:eastAsia="Times New Roman" w:cs="Segoe UI"/>
                <w:sz w:val="20"/>
                <w:szCs w:val="20"/>
                <w:lang w:eastAsia="en-AU"/>
              </w:rPr>
              <w:t>Integrated health and social data from a single populous jurisdiction may be fit-for-purpose to address some research questions. These data may be more rapidly accessible and offer depth across multiple sectors.</w:t>
            </w:r>
          </w:p>
        </w:tc>
      </w:tr>
      <w:tr w:rsidR="00E4422E" w:rsidRPr="006647C5" w14:paraId="66FCE34B" w14:textId="77777777" w:rsidTr="00534579">
        <w:trPr>
          <w:trHeight w:val="728"/>
        </w:trPr>
        <w:tc>
          <w:tcPr>
            <w:tcW w:w="1055" w:type="dxa"/>
            <w:shd w:val="clear" w:color="auto" w:fill="FFFFFF" w:themeFill="background1"/>
            <w:tcMar>
              <w:top w:w="72" w:type="dxa"/>
              <w:left w:w="144" w:type="dxa"/>
              <w:bottom w:w="72" w:type="dxa"/>
              <w:right w:w="144" w:type="dxa"/>
            </w:tcMar>
          </w:tcPr>
          <w:p w14:paraId="1A1BEF36" w14:textId="77777777" w:rsidR="00E4422E" w:rsidRPr="00FB31E2" w:rsidRDefault="00E4422E"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3CB4BB2A" w14:textId="3CB16BD7" w:rsidR="00E4422E" w:rsidRPr="00FB31E2" w:rsidRDefault="001F16B9" w:rsidP="008A5286">
            <w:pPr>
              <w:pStyle w:val="Heading7"/>
              <w:keepNext w:val="0"/>
              <w:keepLines w:val="0"/>
              <w:rPr>
                <w:lang w:eastAsia="en-AU"/>
              </w:rPr>
            </w:pPr>
            <w:r w:rsidRPr="00FB31E2">
              <w:rPr>
                <w:lang w:eastAsia="en-AU"/>
              </w:rPr>
              <w:t>Methods development</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7C7D1E35" w14:textId="64D8426A" w:rsidR="00E4422E"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Develop a multi-stakeholder coordinated approach to transparent evidence development using best-practice methods for HTA, spanning data standardisation, standardised analytics, and reporting.</w:t>
            </w:r>
          </w:p>
        </w:tc>
      </w:tr>
      <w:tr w:rsidR="001F16B9" w:rsidRPr="006647C5" w14:paraId="4770BB48" w14:textId="77777777" w:rsidTr="00534579">
        <w:trPr>
          <w:trHeight w:val="728"/>
        </w:trPr>
        <w:tc>
          <w:tcPr>
            <w:tcW w:w="1055" w:type="dxa"/>
            <w:shd w:val="clear" w:color="auto" w:fill="FFFFFF" w:themeFill="background1"/>
            <w:tcMar>
              <w:top w:w="72" w:type="dxa"/>
              <w:left w:w="144" w:type="dxa"/>
              <w:bottom w:w="72" w:type="dxa"/>
              <w:right w:w="144" w:type="dxa"/>
            </w:tcMar>
          </w:tcPr>
          <w:p w14:paraId="33F44819" w14:textId="77777777" w:rsidR="001F16B9" w:rsidRPr="00FB31E2" w:rsidRDefault="001F16B9"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3D7EA4C0" w14:textId="22B39529" w:rsidR="001F16B9" w:rsidRPr="00FB31E2" w:rsidRDefault="001F16B9" w:rsidP="008A5286">
            <w:pPr>
              <w:pStyle w:val="Heading7"/>
              <w:keepNext w:val="0"/>
              <w:keepLines w:val="0"/>
              <w:rPr>
                <w:lang w:eastAsia="en-AU"/>
              </w:rPr>
            </w:pPr>
            <w:r w:rsidRPr="00FB31E2">
              <w:rPr>
                <w:lang w:eastAsia="en-AU"/>
              </w:rPr>
              <w:t>Develop Guidance framework</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3E832008" w14:textId="608EC6CF" w:rsidR="001F16B9"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Guidance on the use of RWD and RWE</w:t>
            </w:r>
            <w:r w:rsidR="00D75A2B">
              <w:rPr>
                <w:rFonts w:eastAsia="Times New Roman" w:cs="Segoe UI"/>
                <w:kern w:val="24"/>
                <w:sz w:val="20"/>
                <w:szCs w:val="20"/>
                <w:lang w:eastAsia="en-AU"/>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rPr>
                <w:rFonts w:eastAsia="Times New Roman" w:cs="Segoe UI"/>
                <w:kern w:val="24"/>
                <w:sz w:val="20"/>
                <w:szCs w:val="20"/>
                <w:lang w:eastAsia="en-AU"/>
              </w:rPr>
              <w:fldChar w:fldCharType="end"/>
            </w:r>
            <w:r w:rsidRPr="00FB31E2">
              <w:rPr>
                <w:rFonts w:eastAsia="Times New Roman" w:cs="Segoe UI"/>
                <w:kern w:val="24"/>
                <w:sz w:val="20"/>
                <w:szCs w:val="20"/>
                <w:lang w:eastAsia="en-AU"/>
              </w:rPr>
              <w:t xml:space="preserve"> would be produced under the oversight of the aforementioned advisory group, following the development of methods. In the interim, the FDA data standardisation framework adopted by the TGA may also be adopted to guide the use of RWD in HTA for subsidy decisions. </w:t>
            </w:r>
          </w:p>
        </w:tc>
      </w:tr>
      <w:tr w:rsidR="001F16B9" w:rsidRPr="006647C5" w14:paraId="1B8CA21A" w14:textId="77777777" w:rsidTr="00534579">
        <w:trPr>
          <w:trHeight w:val="728"/>
        </w:trPr>
        <w:tc>
          <w:tcPr>
            <w:tcW w:w="1055" w:type="dxa"/>
            <w:shd w:val="clear" w:color="auto" w:fill="FFFFFF" w:themeFill="background1"/>
            <w:tcMar>
              <w:top w:w="72" w:type="dxa"/>
              <w:left w:w="144" w:type="dxa"/>
              <w:bottom w:w="72" w:type="dxa"/>
              <w:right w:w="144" w:type="dxa"/>
            </w:tcMar>
          </w:tcPr>
          <w:p w14:paraId="465AB609" w14:textId="77777777" w:rsidR="001F16B9" w:rsidRPr="00FB31E2" w:rsidRDefault="001F16B9" w:rsidP="008C10BB">
            <w:pPr>
              <w:spacing w:after="120"/>
              <w:rPr>
                <w:rFonts w:eastAsia="Times New Roman" w:cs="Segoe UI"/>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21063F21" w14:textId="18D7AD7F" w:rsidR="001F16B9" w:rsidRPr="00FB31E2" w:rsidRDefault="001F16B9" w:rsidP="008A5286">
            <w:pPr>
              <w:pStyle w:val="Heading7"/>
              <w:keepNext w:val="0"/>
              <w:keepLines w:val="0"/>
              <w:rPr>
                <w:lang w:eastAsia="en-AU"/>
              </w:rPr>
            </w:pPr>
            <w:r w:rsidRPr="00FB31E2">
              <w:rPr>
                <w:lang w:eastAsia="en-AU"/>
              </w:rPr>
              <w:t>Collection of utilisation and outcome data for provisionally listed health technologies</w:t>
            </w:r>
          </w:p>
        </w:tc>
        <w:tc>
          <w:tcPr>
            <w:tcW w:w="12779" w:type="dxa"/>
            <w:gridSpan w:val="2"/>
            <w:tcBorders>
              <w:top w:val="single" w:sz="4" w:space="0" w:color="E7E6E6" w:themeColor="background2"/>
            </w:tcBorders>
            <w:shd w:val="clear" w:color="auto" w:fill="FFFFFF" w:themeFill="background1"/>
            <w:tcMar>
              <w:top w:w="72" w:type="dxa"/>
              <w:left w:w="144" w:type="dxa"/>
              <w:bottom w:w="72" w:type="dxa"/>
              <w:right w:w="144" w:type="dxa"/>
            </w:tcMar>
          </w:tcPr>
          <w:p w14:paraId="1E1D645B" w14:textId="3703D8A1" w:rsidR="001F16B9" w:rsidRPr="00FB31E2" w:rsidRDefault="001F16B9"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Existing national or international registries</w:t>
            </w:r>
            <w:r w:rsidR="000A52C3">
              <w:rPr>
                <w:rFonts w:eastAsia="Times New Roman" w:cs="Segoe UI"/>
                <w:kern w:val="24"/>
                <w:sz w:val="20"/>
                <w:szCs w:val="20"/>
                <w:lang w:eastAsia="en-AU"/>
              </w:rPr>
              <w:fldChar w:fldCharType="begin"/>
            </w:r>
            <w:r w:rsidR="000A52C3">
              <w:instrText xml:space="preserve"> XE "</w:instrText>
            </w:r>
            <w:r w:rsidR="000A52C3" w:rsidRPr="008675E1">
              <w:instrText>registries</w:instrText>
            </w:r>
            <w:r w:rsidR="000A52C3">
              <w:instrText xml:space="preserve">" \b </w:instrText>
            </w:r>
            <w:r w:rsidR="000A52C3">
              <w:rPr>
                <w:rFonts w:eastAsia="Times New Roman" w:cs="Segoe UI"/>
                <w:kern w:val="24"/>
                <w:sz w:val="20"/>
                <w:szCs w:val="20"/>
                <w:lang w:eastAsia="en-AU"/>
              </w:rPr>
              <w:fldChar w:fldCharType="end"/>
            </w:r>
            <w:r w:rsidRPr="00FB31E2">
              <w:rPr>
                <w:rFonts w:eastAsia="Times New Roman" w:cs="Segoe UI"/>
                <w:kern w:val="24"/>
                <w:sz w:val="20"/>
                <w:szCs w:val="20"/>
                <w:lang w:eastAsia="en-AU"/>
              </w:rPr>
              <w:t xml:space="preserve"> should be used, where possible, to facilitate the collection of outcome data relating to provisionally listed technologies in a timely manner. </w:t>
            </w:r>
          </w:p>
          <w:p w14:paraId="689FAFDA" w14:textId="77777777" w:rsidR="001F16B9" w:rsidRPr="006732A5" w:rsidRDefault="001F16B9" w:rsidP="008505D7">
            <w:pPr>
              <w:pStyle w:val="ListParagraph"/>
              <w:numPr>
                <w:ilvl w:val="0"/>
                <w:numId w:val="110"/>
              </w:numPr>
              <w:rPr>
                <w:rFonts w:eastAsia="Times New Roman" w:cs="Segoe UI"/>
                <w:sz w:val="20"/>
                <w:szCs w:val="20"/>
                <w:lang w:eastAsia="en-AU"/>
              </w:rPr>
            </w:pPr>
            <w:r w:rsidRPr="006732A5">
              <w:rPr>
                <w:rFonts w:eastAsia="Times New Roman" w:cs="Segoe UI"/>
                <w:sz w:val="20"/>
                <w:szCs w:val="20"/>
                <w:lang w:eastAsia="en-AU"/>
              </w:rPr>
              <w:t xml:space="preserve">Outcomes of interest should be determined based on the areas of uncertainty to be resolved, along with baseline data and information relating to other care received. </w:t>
            </w:r>
          </w:p>
          <w:p w14:paraId="512A3242" w14:textId="77777777" w:rsidR="001F16B9" w:rsidRPr="006732A5" w:rsidRDefault="001F16B9" w:rsidP="008505D7">
            <w:pPr>
              <w:pStyle w:val="ListParagraph"/>
              <w:numPr>
                <w:ilvl w:val="0"/>
                <w:numId w:val="110"/>
              </w:numPr>
              <w:rPr>
                <w:rFonts w:eastAsia="Times New Roman" w:cs="Segoe UI"/>
                <w:sz w:val="20"/>
                <w:szCs w:val="20"/>
                <w:lang w:eastAsia="en-AU"/>
              </w:rPr>
            </w:pPr>
            <w:r w:rsidRPr="006732A5">
              <w:rPr>
                <w:rFonts w:eastAsia="Times New Roman" w:cs="Segoe UI"/>
                <w:sz w:val="20"/>
                <w:szCs w:val="20"/>
                <w:lang w:eastAsia="en-AU"/>
              </w:rPr>
              <w:t>When it is expected that an application is likely to result in a CED arrangement, a suitable registry should be identified as early as possible, and negotiations commenced to determine the feasibility of data collection and timely access, as well as resourcing requirements (to be paid for by the sponsor, under cost-recovery arrangements). In the longer-term outcomes of interest may be collected as an add-on to relevant enduring data-linkages or e-Health Record data, as recommended by the advisory body (above).</w:t>
            </w:r>
          </w:p>
          <w:p w14:paraId="07B08FE3" w14:textId="79F7E086" w:rsidR="001F16B9" w:rsidRPr="00FB31E2" w:rsidRDefault="001F16B9" w:rsidP="008505D7">
            <w:pPr>
              <w:pStyle w:val="ListParagraph"/>
              <w:numPr>
                <w:ilvl w:val="0"/>
                <w:numId w:val="110"/>
              </w:numPr>
              <w:rPr>
                <w:rFonts w:eastAsia="Times New Roman" w:cs="Segoe UI"/>
                <w:kern w:val="24"/>
                <w:sz w:val="20"/>
                <w:szCs w:val="20"/>
                <w:lang w:eastAsia="en-AU"/>
              </w:rPr>
            </w:pPr>
            <w:r w:rsidRPr="006732A5">
              <w:rPr>
                <w:rFonts w:eastAsia="Times New Roman" w:cs="Segoe UI"/>
                <w:sz w:val="20"/>
                <w:szCs w:val="20"/>
                <w:lang w:eastAsia="en-AU"/>
              </w:rPr>
              <w:t>In the case of ultra-rare diseases</w:t>
            </w:r>
            <w:r w:rsidR="008B7A1E" w:rsidRPr="006732A5">
              <w:rPr>
                <w:rFonts w:eastAsia="Times New Roman" w:cs="Segoe UI"/>
                <w:sz w:val="20"/>
                <w:szCs w:val="20"/>
                <w:lang w:eastAsia="en-AU"/>
              </w:rPr>
              <w:fldChar w:fldCharType="begin"/>
            </w:r>
            <w:r w:rsidR="008B7A1E" w:rsidRPr="006732A5">
              <w:rPr>
                <w:rFonts w:eastAsia="Times New Roman" w:cs="Segoe UI"/>
                <w:sz w:val="20"/>
                <w:szCs w:val="20"/>
                <w:lang w:eastAsia="en-AU"/>
              </w:rPr>
              <w:instrText xml:space="preserve"> XE "rare diseases" \b </w:instrText>
            </w:r>
            <w:r w:rsidR="008B7A1E" w:rsidRPr="006732A5">
              <w:rPr>
                <w:rFonts w:eastAsia="Times New Roman" w:cs="Segoe UI"/>
                <w:sz w:val="20"/>
                <w:szCs w:val="20"/>
                <w:lang w:eastAsia="en-AU"/>
              </w:rPr>
              <w:fldChar w:fldCharType="end"/>
            </w:r>
            <w:r w:rsidRPr="006732A5">
              <w:rPr>
                <w:rFonts w:eastAsia="Times New Roman" w:cs="Segoe UI"/>
                <w:sz w:val="20"/>
                <w:szCs w:val="20"/>
                <w:lang w:eastAsia="en-AU"/>
              </w:rPr>
              <w:t>, international registries</w:t>
            </w:r>
            <w:r w:rsidR="000A52C3" w:rsidRPr="006732A5">
              <w:rPr>
                <w:rFonts w:eastAsia="Times New Roman" w:cs="Segoe UI"/>
                <w:sz w:val="20"/>
                <w:szCs w:val="20"/>
                <w:lang w:eastAsia="en-AU"/>
              </w:rPr>
              <w:fldChar w:fldCharType="begin"/>
            </w:r>
            <w:r w:rsidR="000A52C3" w:rsidRPr="006732A5">
              <w:rPr>
                <w:rFonts w:eastAsia="Times New Roman" w:cs="Segoe UI"/>
                <w:sz w:val="20"/>
                <w:szCs w:val="20"/>
                <w:lang w:eastAsia="en-AU"/>
              </w:rPr>
              <w:instrText xml:space="preserve"> XE "registries" \b </w:instrText>
            </w:r>
            <w:r w:rsidR="000A52C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should be utilised. Prior to entry into any CED arrangements, the likelihood of obtaining new evidence to address areas of uncertainty should be considered.</w:t>
            </w:r>
          </w:p>
        </w:tc>
      </w:tr>
      <w:tr w:rsidR="000C7F7A" w:rsidRPr="006647C5" w14:paraId="1A29D564" w14:textId="77777777" w:rsidTr="00C93D28">
        <w:trPr>
          <w:trHeight w:val="371"/>
        </w:trPr>
        <w:tc>
          <w:tcPr>
            <w:tcW w:w="15735" w:type="dxa"/>
            <w:gridSpan w:val="5"/>
            <w:tcBorders>
              <w:top w:val="single" w:sz="4" w:space="0" w:color="008A96" w:themeColor="accent3"/>
              <w:bottom w:val="single" w:sz="4" w:space="0" w:color="E7E6E6" w:themeColor="background2"/>
            </w:tcBorders>
            <w:shd w:val="clear" w:color="auto" w:fill="FFFFFF" w:themeFill="background1"/>
            <w:tcMar>
              <w:top w:w="72" w:type="dxa"/>
              <w:left w:w="144" w:type="dxa"/>
              <w:bottom w:w="72" w:type="dxa"/>
              <w:right w:w="144" w:type="dxa"/>
            </w:tcMar>
          </w:tcPr>
          <w:p w14:paraId="79E7A860" w14:textId="6DAF7B16" w:rsidR="000C7F7A" w:rsidRPr="0071614A" w:rsidRDefault="0071614A" w:rsidP="0071614A">
            <w:pPr>
              <w:pStyle w:val="ListParagraph"/>
              <w:numPr>
                <w:ilvl w:val="0"/>
                <w:numId w:val="35"/>
              </w:numPr>
              <w:spacing w:after="0"/>
              <w:ind w:left="215" w:hanging="357"/>
              <w:rPr>
                <w:rFonts w:eastAsia="Times New Roman" w:cs="Segoe UI"/>
                <w:color w:val="222A35"/>
                <w:kern w:val="24"/>
                <w:sz w:val="20"/>
                <w:szCs w:val="20"/>
                <w:lang w:eastAsia="en-AU"/>
              </w:rPr>
            </w:pPr>
            <w:r w:rsidRPr="0071614A">
              <w:rPr>
                <w:color w:val="008A96" w:themeColor="accent3"/>
              </w:rPr>
              <w:t>Futureproofing Australia’s systems and processes</w:t>
            </w:r>
          </w:p>
        </w:tc>
      </w:tr>
      <w:tr w:rsidR="00A901F2" w:rsidRPr="006647C5" w14:paraId="7EF3415B" w14:textId="77777777" w:rsidTr="00C93D28">
        <w:trPr>
          <w:trHeight w:val="196"/>
        </w:trPr>
        <w:tc>
          <w:tcPr>
            <w:tcW w:w="15735" w:type="dxa"/>
            <w:gridSpan w:val="5"/>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5449E2A" w14:textId="0CF5DA1C" w:rsidR="00A901F2" w:rsidRPr="00C9002C" w:rsidRDefault="000C2452" w:rsidP="008505D7">
            <w:pPr>
              <w:pStyle w:val="Heading6"/>
              <w:numPr>
                <w:ilvl w:val="1"/>
                <w:numId w:val="35"/>
              </w:numPr>
            </w:pPr>
            <w:bookmarkStart w:id="48" w:name="_Proactively_addressing_areas_1"/>
            <w:bookmarkEnd w:id="48"/>
            <w:r w:rsidRPr="002C6F9C">
              <w:rPr>
                <w:color w:val="1D437F" w:themeColor="accent1"/>
              </w:rPr>
              <w:lastRenderedPageBreak/>
              <w:t>Proactively addressing areas of unmet clinical need</w:t>
            </w:r>
            <w:r w:rsidRPr="002C6F9C">
              <w:rPr>
                <w:color w:val="1D437F" w:themeColor="accent1"/>
              </w:rPr>
              <w:fldChar w:fldCharType="begin"/>
            </w:r>
            <w:r w:rsidRPr="002C6F9C">
              <w:rPr>
                <w:color w:val="1D437F" w:themeColor="accent1"/>
              </w:rPr>
              <w:instrText xml:space="preserve"> XE "unmet clinical need" \b </w:instrText>
            </w:r>
            <w:r w:rsidRPr="002C6F9C">
              <w:rPr>
                <w:color w:val="1D437F" w:themeColor="accent1"/>
              </w:rPr>
              <w:fldChar w:fldCharType="end"/>
            </w:r>
            <w:r w:rsidRPr="002C6F9C">
              <w:rPr>
                <w:color w:val="1D437F" w:themeColor="accent1"/>
              </w:rPr>
              <w:t xml:space="preserve"> and gaps in the PBS – a systematic approach encompassing five interdependent new mechanisms. This new activity w</w:t>
            </w:r>
            <w:r>
              <w:rPr>
                <w:i w:val="0"/>
                <w:color w:val="1D437F" w:themeColor="accent1"/>
              </w:rPr>
              <w:t>ould</w:t>
            </w:r>
            <w:r w:rsidRPr="002C6F9C">
              <w:rPr>
                <w:color w:val="1D437F" w:themeColor="accent1"/>
              </w:rPr>
              <w:t xml:space="preserve"> require methodological development, implementation planning, and adequate resourcing including joint investment across stakeholder groups</w:t>
            </w:r>
            <w:r w:rsidR="003473A1" w:rsidRPr="000C2452">
              <w:rPr>
                <w:i w:val="0"/>
                <w:color w:val="1D437F" w:themeColor="accent1"/>
              </w:rPr>
              <w:t xml:space="preserve"> </w:t>
            </w:r>
            <w:r w:rsidR="00391E15" w:rsidRPr="002C6F9C">
              <w:rPr>
                <w:i w:val="0"/>
                <w:color w:val="1D437F" w:themeColor="accent1"/>
              </w:rPr>
              <w:t>(see Figure</w:t>
            </w:r>
            <w:r w:rsidRPr="002C6F9C">
              <w:rPr>
                <w:i w:val="0"/>
                <w:color w:val="1D437F" w:themeColor="accent1"/>
              </w:rPr>
              <w:t xml:space="preserve"> 1</w:t>
            </w:r>
            <w:r w:rsidR="008A5286" w:rsidRPr="002C6F9C">
              <w:rPr>
                <w:i w:val="0"/>
                <w:color w:val="1D437F" w:themeColor="accent1"/>
              </w:rPr>
              <w:t>)</w:t>
            </w:r>
            <w:r w:rsidRPr="000C2452">
              <w:rPr>
                <w:color w:val="1D437F" w:themeColor="accent1"/>
              </w:rPr>
              <w:t>.</w:t>
            </w:r>
          </w:p>
        </w:tc>
      </w:tr>
      <w:tr w:rsidR="005C4E85" w:rsidRPr="006647C5" w14:paraId="3A821D03" w14:textId="77777777" w:rsidTr="00534579">
        <w:trPr>
          <w:trHeight w:val="625"/>
        </w:trPr>
        <w:tc>
          <w:tcPr>
            <w:tcW w:w="1055"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7E26380" w14:textId="25887649" w:rsidR="003C5EF4" w:rsidRPr="009D14F6" w:rsidRDefault="003C5EF4" w:rsidP="008C10BB">
            <w:pPr>
              <w:pStyle w:val="ListParagraph"/>
              <w:spacing w:after="120"/>
              <w:ind w:left="425"/>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7740DC58" w14:textId="4B1211FE" w:rsidR="008A5286" w:rsidRDefault="008A5286" w:rsidP="006732A5">
            <w:pPr>
              <w:pStyle w:val="Heading7"/>
              <w:keepNext w:val="0"/>
              <w:keepLines w:val="0"/>
              <w:rPr>
                <w:lang w:eastAsia="en-AU"/>
              </w:rPr>
            </w:pPr>
            <w:r w:rsidRPr="006732A5">
              <w:rPr>
                <w:lang w:eastAsia="en-AU"/>
              </w:rPr>
              <w:t xml:space="preserve">Development of a priority list </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5089B74" w14:textId="7A49D024" w:rsidR="008A5286" w:rsidRPr="006759AE" w:rsidRDefault="008A5286" w:rsidP="008505D7">
            <w:pPr>
              <w:pStyle w:val="ListParagraph"/>
              <w:numPr>
                <w:ilvl w:val="0"/>
                <w:numId w:val="112"/>
              </w:numPr>
              <w:rPr>
                <w:rFonts w:eastAsia="Times New Roman" w:cs="Segoe UI"/>
                <w:sz w:val="20"/>
                <w:szCs w:val="20"/>
                <w:lang w:eastAsia="en-AU"/>
              </w:rPr>
            </w:pPr>
            <w:r w:rsidRPr="006759AE">
              <w:rPr>
                <w:rFonts w:eastAsia="Times New Roman" w:cs="Segoe UI"/>
                <w:sz w:val="20"/>
                <w:szCs w:val="20"/>
                <w:lang w:eastAsia="en-AU"/>
              </w:rPr>
              <w:t xml:space="preserve">A priority list of areas of </w:t>
            </w:r>
            <w:r w:rsidR="00154B8D">
              <w:rPr>
                <w:rFonts w:eastAsia="Times New Roman" w:cs="Segoe UI"/>
                <w:sz w:val="20"/>
                <w:szCs w:val="20"/>
                <w:lang w:eastAsia="en-AU"/>
              </w:rPr>
              <w:t>HUCN</w:t>
            </w:r>
            <w:r w:rsidR="00D027D9">
              <w:rPr>
                <w:rFonts w:eastAsia="Times New Roman" w:cs="Segoe UI"/>
                <w:sz w:val="20"/>
                <w:szCs w:val="20"/>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sz w:val="20"/>
                <w:szCs w:val="20"/>
                <w:lang w:eastAsia="en-AU"/>
              </w:rPr>
              <w:fldChar w:fldCharType="end"/>
            </w:r>
            <w:r w:rsidRPr="006759AE">
              <w:rPr>
                <w:rFonts w:eastAsia="Times New Roman" w:cs="Segoe UI"/>
                <w:sz w:val="20"/>
                <w:szCs w:val="20"/>
                <w:lang w:eastAsia="en-AU"/>
              </w:rPr>
              <w:t xml:space="preserve"> to be developed and regularly reviewed and updated in partnership between clinicians, patients and patient organisations, and community. </w:t>
            </w:r>
          </w:p>
          <w:p w14:paraId="16409F4A" w14:textId="035495CE" w:rsidR="008A5286" w:rsidRPr="006759AE" w:rsidRDefault="008A5286" w:rsidP="008505D7">
            <w:pPr>
              <w:pStyle w:val="ListParagraph"/>
              <w:numPr>
                <w:ilvl w:val="0"/>
                <w:numId w:val="112"/>
              </w:numPr>
              <w:rPr>
                <w:rFonts w:eastAsia="Times New Roman" w:cs="Segoe UI"/>
                <w:sz w:val="20"/>
                <w:szCs w:val="20"/>
                <w:lang w:eastAsia="en-AU"/>
              </w:rPr>
            </w:pPr>
            <w:r w:rsidRPr="006759AE">
              <w:rPr>
                <w:rFonts w:eastAsia="Times New Roman" w:cs="Segoe UI"/>
                <w:sz w:val="20"/>
                <w:szCs w:val="20"/>
                <w:lang w:eastAsia="en-AU"/>
              </w:rPr>
              <w:t xml:space="preserve">In line with the priority reforms under the </w:t>
            </w:r>
            <w:hyperlink r:id="rId89">
              <w:r w:rsidRPr="002A70DC">
                <w:rPr>
                  <w:sz w:val="20"/>
                  <w:szCs w:val="20"/>
                </w:rPr>
                <w:t>National Closing the Gap Agreement 2020</w:t>
              </w:r>
            </w:hyperlink>
            <w:r w:rsidRPr="006759AE">
              <w:rPr>
                <w:rFonts w:eastAsia="Times New Roman" w:cs="Segoe UI"/>
                <w:sz w:val="20"/>
                <w:szCs w:val="20"/>
                <w:lang w:eastAsia="en-AU"/>
              </w:rPr>
              <w:t xml:space="preserve"> between all Governments and the Coalition of Peaks, a sub-set of the priority list will be developed in partnership with ACCHSs for the priority areas of HUCN</w:t>
            </w:r>
            <w:r w:rsidR="00D027D9">
              <w:rPr>
                <w:rFonts w:eastAsia="Times New Roman" w:cs="Segoe UI"/>
                <w:sz w:val="20"/>
                <w:szCs w:val="20"/>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sz w:val="20"/>
                <w:szCs w:val="20"/>
                <w:lang w:eastAsia="en-AU"/>
              </w:rPr>
              <w:fldChar w:fldCharType="end"/>
            </w:r>
            <w:r w:rsidRPr="006759AE">
              <w:rPr>
                <w:rFonts w:eastAsia="Times New Roman" w:cs="Segoe UI"/>
                <w:sz w:val="20"/>
                <w:szCs w:val="20"/>
                <w:lang w:eastAsia="en-AU"/>
              </w:rPr>
              <w:t xml:space="preserve"> for First Nations </w:t>
            </w:r>
            <w:r w:rsidR="00765B27">
              <w:rPr>
                <w:rFonts w:eastAsia="Times New Roman" w:cs="Segoe UI"/>
                <w:sz w:val="20"/>
                <w:szCs w:val="20"/>
                <w:lang w:eastAsia="en-AU"/>
              </w:rPr>
              <w:t>p</w:t>
            </w:r>
            <w:r w:rsidRPr="006759AE">
              <w:rPr>
                <w:rFonts w:eastAsia="Times New Roman" w:cs="Segoe UI"/>
                <w:sz w:val="20"/>
                <w:szCs w:val="20"/>
                <w:lang w:eastAsia="en-AU"/>
              </w:rPr>
              <w:t>eoples</w:t>
            </w:r>
            <w:r w:rsidR="009950D4">
              <w:rPr>
                <w:rFonts w:eastAsia="Times New Roman" w:cs="Segoe UI"/>
                <w:sz w:val="20"/>
                <w:szCs w:val="20"/>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sz w:val="20"/>
                <w:szCs w:val="20"/>
                <w:lang w:eastAsia="en-AU"/>
              </w:rPr>
              <w:fldChar w:fldCharType="end"/>
            </w:r>
            <w:r w:rsidRPr="006759AE">
              <w:rPr>
                <w:rFonts w:eastAsia="Times New Roman" w:cs="Segoe UI"/>
                <w:sz w:val="20"/>
                <w:szCs w:val="20"/>
                <w:lang w:eastAsia="en-AU"/>
              </w:rPr>
              <w:t xml:space="preserve">. </w:t>
            </w:r>
          </w:p>
          <w:p w14:paraId="0E520399" w14:textId="7F4A091C" w:rsidR="008A5286" w:rsidRPr="009D14F6" w:rsidRDefault="008A5286" w:rsidP="008505D7">
            <w:pPr>
              <w:pStyle w:val="ListParagraph"/>
              <w:numPr>
                <w:ilvl w:val="0"/>
                <w:numId w:val="112"/>
              </w:numPr>
              <w:rPr>
                <w:rFonts w:eastAsia="Times New Roman" w:cs="Segoe UI"/>
                <w:color w:val="222A35"/>
                <w:kern w:val="24"/>
                <w:sz w:val="20"/>
                <w:szCs w:val="20"/>
                <w:lang w:eastAsia="en-AU"/>
              </w:rPr>
            </w:pPr>
            <w:r w:rsidRPr="006759AE">
              <w:rPr>
                <w:rFonts w:eastAsia="Times New Roman" w:cs="Segoe UI"/>
                <w:sz w:val="20"/>
                <w:szCs w:val="20"/>
                <w:lang w:eastAsia="en-AU"/>
              </w:rPr>
              <w:t xml:space="preserve">The list should include </w:t>
            </w:r>
            <w:r w:rsidRPr="006732A5">
              <w:rPr>
                <w:rFonts w:eastAsia="Times New Roman" w:cs="Segoe UI"/>
                <w:sz w:val="20"/>
                <w:szCs w:val="20"/>
                <w:lang w:eastAsia="en-AU"/>
              </w:rPr>
              <w:t>consideration</w:t>
            </w:r>
            <w:r w:rsidRPr="006759AE">
              <w:rPr>
                <w:rFonts w:eastAsia="Times New Roman" w:cs="Segoe UI"/>
                <w:sz w:val="20"/>
                <w:szCs w:val="20"/>
                <w:lang w:eastAsia="en-AU"/>
              </w:rPr>
              <w:t xml:space="preserve"> of surveillance of AMR to identify new microbes developing resistance to current available treatments, and surveillance of vaccine preventable diseases.</w:t>
            </w:r>
          </w:p>
        </w:tc>
      </w:tr>
      <w:tr w:rsidR="005C4E85" w:rsidRPr="006647C5" w14:paraId="002C39F5" w14:textId="77777777" w:rsidTr="00534579">
        <w:trPr>
          <w:trHeight w:val="625"/>
        </w:trPr>
        <w:tc>
          <w:tcPr>
            <w:tcW w:w="1055"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CED6359" w14:textId="56B9C2F7" w:rsidR="003C5EF4" w:rsidRPr="009D14F6" w:rsidRDefault="003C5EF4" w:rsidP="008C10BB">
            <w:pPr>
              <w:pStyle w:val="ListParagraph"/>
              <w:spacing w:after="0"/>
              <w:ind w:left="425"/>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2E910958" w14:textId="0F490D60" w:rsidR="008A5286" w:rsidRPr="006732A5" w:rsidRDefault="008A5286" w:rsidP="006732A5">
            <w:pPr>
              <w:pStyle w:val="Heading7"/>
              <w:keepNext w:val="0"/>
              <w:keepLines w:val="0"/>
              <w:rPr>
                <w:lang w:eastAsia="en-AU"/>
              </w:rPr>
            </w:pPr>
            <w:bookmarkStart w:id="49" w:name="_Identifying_therapies_to"/>
            <w:bookmarkEnd w:id="49"/>
            <w:r w:rsidRPr="006732A5">
              <w:rPr>
                <w:lang w:eastAsia="en-AU"/>
              </w:rPr>
              <w:t>Identifying therapies to meet priority list (horizon scanning</w:t>
            </w:r>
            <w:r w:rsidR="00CF3213" w:rsidRPr="006732A5">
              <w:rPr>
                <w:lang w:eastAsia="en-AU"/>
              </w:rPr>
              <w:fldChar w:fldCharType="begin"/>
            </w:r>
            <w:r w:rsidR="00CF3213">
              <w:rPr>
                <w:lang w:eastAsia="en-AU"/>
              </w:rPr>
              <w:instrText xml:space="preserve"> XE "</w:instrText>
            </w:r>
            <w:r w:rsidR="00CF3213" w:rsidRPr="006732A5">
              <w:rPr>
                <w:lang w:eastAsia="en-AU"/>
              </w:rPr>
              <w:instrText>horizon scanning</w:instrText>
            </w:r>
            <w:r w:rsidR="00CF3213">
              <w:rPr>
                <w:lang w:eastAsia="en-AU"/>
              </w:rPr>
              <w:instrText xml:space="preserve">" \b </w:instrText>
            </w:r>
            <w:r w:rsidR="00CF3213" w:rsidRPr="006732A5">
              <w:rPr>
                <w:lang w:eastAsia="en-AU"/>
              </w:rPr>
              <w:fldChar w:fldCharType="end"/>
            </w:r>
            <w:r w:rsidRPr="006732A5">
              <w:rPr>
                <w:lang w:eastAsia="en-AU"/>
              </w:rPr>
              <w:t>)</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FA467C1" w14:textId="5C476BB6" w:rsidR="008A5286" w:rsidRPr="006732A5" w:rsidRDefault="008A5286" w:rsidP="008505D7">
            <w:pPr>
              <w:pStyle w:val="ListParagraph"/>
              <w:numPr>
                <w:ilvl w:val="0"/>
                <w:numId w:val="113"/>
              </w:numPr>
              <w:rPr>
                <w:rFonts w:eastAsia="Times New Roman" w:cs="Segoe UI"/>
                <w:sz w:val="20"/>
                <w:szCs w:val="20"/>
                <w:lang w:eastAsia="en-AU"/>
              </w:rPr>
            </w:pPr>
            <w:r w:rsidRPr="00C9002C">
              <w:rPr>
                <w:rFonts w:eastAsia="Times New Roman" w:cs="Segoe UI"/>
                <w:sz w:val="20"/>
                <w:szCs w:val="20"/>
                <w:lang w:eastAsia="en-AU"/>
              </w:rPr>
              <w:t>An active horizon scanning</w:t>
            </w:r>
            <w:r w:rsidR="00CF3213">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034374C">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Pr>
                <w:rFonts w:eastAsia="Times New Roman" w:cs="Segoe UI"/>
                <w:sz w:val="20"/>
                <w:szCs w:val="20"/>
                <w:lang w:eastAsia="en-AU"/>
              </w:rPr>
              <w:fldChar w:fldCharType="end"/>
            </w:r>
            <w:r w:rsidRPr="00C9002C">
              <w:rPr>
                <w:rFonts w:eastAsia="Times New Roman" w:cs="Segoe UI"/>
                <w:sz w:val="20"/>
                <w:szCs w:val="20"/>
                <w:lang w:eastAsia="en-AU"/>
              </w:rPr>
              <w:t xml:space="preserve"> process</w:t>
            </w:r>
            <w:r w:rsidR="00D64B14">
              <w:rPr>
                <w:rFonts w:eastAsia="Times New Roman" w:cs="Segoe UI"/>
                <w:sz w:val="20"/>
                <w:szCs w:val="20"/>
                <w:lang w:eastAsia="en-AU"/>
              </w:rPr>
              <w:t xml:space="preserve"> to</w:t>
            </w:r>
            <w:r w:rsidRPr="00C9002C">
              <w:rPr>
                <w:rFonts w:eastAsia="Times New Roman" w:cs="Segoe UI"/>
                <w:sz w:val="20"/>
                <w:szCs w:val="20"/>
                <w:lang w:eastAsia="en-AU"/>
              </w:rPr>
              <w:t xml:space="preserve"> be developed to identify therapies with promising HATV</w:t>
            </w:r>
            <w:r w:rsidR="00515DEB">
              <w:rPr>
                <w:rFonts w:eastAsia="Times New Roman" w:cs="Segoe UI"/>
                <w:sz w:val="20"/>
                <w:szCs w:val="20"/>
                <w:lang w:eastAsia="en-AU"/>
              </w:rPr>
              <w:fldChar w:fldCharType="begin"/>
            </w:r>
            <w:r w:rsidR="00515DEB" w:rsidRPr="006732A5">
              <w:rPr>
                <w:rFonts w:eastAsia="Times New Roman" w:cs="Segoe UI"/>
                <w:sz w:val="20"/>
                <w:szCs w:val="20"/>
                <w:lang w:eastAsia="en-AU"/>
              </w:rPr>
              <w:instrText xml:space="preserve"> XE "high added therapeutic </w:instrText>
            </w:r>
            <w:proofErr w:type="spellStart"/>
            <w:proofErr w:type="gramStart"/>
            <w:r w:rsidR="00515DEB" w:rsidRPr="006732A5">
              <w:rPr>
                <w:rFonts w:eastAsia="Times New Roman" w:cs="Segoe UI"/>
                <w:sz w:val="20"/>
                <w:szCs w:val="20"/>
                <w:lang w:eastAsia="en-AU"/>
              </w:rPr>
              <w:instrText>value:HATV</w:instrText>
            </w:r>
            <w:proofErr w:type="spellEnd"/>
            <w:proofErr w:type="gramEnd"/>
            <w:r w:rsidR="00515DEB" w:rsidRPr="006732A5">
              <w:rPr>
                <w:rFonts w:eastAsia="Times New Roman" w:cs="Segoe UI"/>
                <w:sz w:val="20"/>
                <w:szCs w:val="20"/>
                <w:lang w:eastAsia="en-AU"/>
              </w:rPr>
              <w:instrText xml:space="preserve">" \b </w:instrText>
            </w:r>
            <w:r w:rsidR="00515DEB">
              <w:rPr>
                <w:rFonts w:eastAsia="Times New Roman" w:cs="Segoe UI"/>
                <w:sz w:val="20"/>
                <w:szCs w:val="20"/>
                <w:lang w:eastAsia="en-AU"/>
              </w:rPr>
              <w:fldChar w:fldCharType="end"/>
            </w:r>
            <w:r w:rsidRPr="00C9002C">
              <w:rPr>
                <w:rFonts w:eastAsia="Times New Roman" w:cs="Segoe UI"/>
                <w:sz w:val="20"/>
                <w:szCs w:val="20"/>
                <w:lang w:eastAsia="en-AU"/>
              </w:rPr>
              <w:t xml:space="preserve"> for indications on the priority list (this could include new therapies or new patient indications for the ‘repurposing’ of existing therapies). </w:t>
            </w:r>
          </w:p>
          <w:p w14:paraId="012D28F0" w14:textId="773EC00A" w:rsidR="008A5286" w:rsidRPr="006732A5" w:rsidRDefault="008A5286" w:rsidP="008505D7">
            <w:pPr>
              <w:pStyle w:val="ListParagraph"/>
              <w:numPr>
                <w:ilvl w:val="0"/>
                <w:numId w:val="113"/>
              </w:numPr>
              <w:rPr>
                <w:rFonts w:eastAsia="Times New Roman" w:cs="Segoe UI"/>
                <w:sz w:val="20"/>
                <w:szCs w:val="20"/>
                <w:lang w:eastAsia="en-AU"/>
              </w:rPr>
            </w:pPr>
            <w:r w:rsidRPr="00C9002C">
              <w:rPr>
                <w:rFonts w:eastAsia="Times New Roman" w:cs="Segoe UI"/>
                <w:sz w:val="20"/>
                <w:szCs w:val="20"/>
                <w:lang w:eastAsia="en-AU"/>
              </w:rPr>
              <w:t xml:space="preserve">This list is to include a </w:t>
            </w:r>
            <w:r w:rsidRPr="006732A5">
              <w:rPr>
                <w:rFonts w:eastAsia="Times New Roman" w:cs="Segoe UI"/>
                <w:sz w:val="20"/>
                <w:szCs w:val="20"/>
                <w:lang w:eastAsia="en-AU"/>
              </w:rPr>
              <w:t>mechanism</w:t>
            </w:r>
            <w:r w:rsidRPr="00C9002C">
              <w:rPr>
                <w:rFonts w:eastAsia="Times New Roman" w:cs="Segoe UI"/>
                <w:sz w:val="20"/>
                <w:szCs w:val="20"/>
                <w:lang w:eastAsia="en-AU"/>
              </w:rPr>
              <w:t xml:space="preserve"> for partnership with ACCHSs to ensure First Nations </w:t>
            </w:r>
            <w:r w:rsidR="007C6137">
              <w:rPr>
                <w:rFonts w:eastAsia="Times New Roman" w:cs="Segoe UI"/>
                <w:sz w:val="20"/>
                <w:szCs w:val="20"/>
                <w:lang w:eastAsia="en-AU"/>
              </w:rPr>
              <w:t>p</w:t>
            </w:r>
            <w:r w:rsidRPr="00C9002C">
              <w:rPr>
                <w:rFonts w:eastAsia="Times New Roman" w:cs="Segoe UI"/>
                <w:sz w:val="20"/>
                <w:szCs w:val="20"/>
                <w:lang w:eastAsia="en-AU"/>
              </w:rPr>
              <w:t>eoples</w:t>
            </w:r>
            <w:r w:rsidR="009950D4">
              <w:rPr>
                <w:rFonts w:eastAsia="Times New Roman" w:cs="Segoe UI"/>
                <w:sz w:val="20"/>
                <w:szCs w:val="20"/>
                <w:lang w:eastAsia="en-AU"/>
              </w:rPr>
              <w:fldChar w:fldCharType="begin"/>
            </w:r>
            <w:r w:rsidR="009950D4">
              <w:instrText xml:space="preserve"> XE "</w:instrText>
            </w:r>
            <w:r w:rsidR="009950D4" w:rsidRPr="0032056E">
              <w:instrText xml:space="preserve">Aboriginal and Torres Strait </w:instrText>
            </w:r>
            <w:proofErr w:type="spellStart"/>
            <w:proofErr w:type="gramStart"/>
            <w:r w:rsidR="009950D4" w:rsidRPr="0032056E">
              <w:instrText>Islander:First</w:instrText>
            </w:r>
            <w:proofErr w:type="spellEnd"/>
            <w:proofErr w:type="gramEnd"/>
            <w:r w:rsidR="009950D4" w:rsidRPr="0032056E">
              <w:instrText xml:space="preserve"> Nations peoples</w:instrText>
            </w:r>
            <w:r w:rsidR="009950D4">
              <w:instrText xml:space="preserve">" </w:instrText>
            </w:r>
            <w:r w:rsidR="009950D4">
              <w:rPr>
                <w:rFonts w:eastAsia="Times New Roman" w:cs="Segoe UI"/>
                <w:sz w:val="20"/>
                <w:szCs w:val="20"/>
                <w:lang w:eastAsia="en-AU"/>
              </w:rPr>
              <w:fldChar w:fldCharType="end"/>
            </w:r>
            <w:r w:rsidRPr="00C9002C">
              <w:rPr>
                <w:rFonts w:eastAsia="Times New Roman" w:cs="Segoe UI"/>
                <w:sz w:val="20"/>
                <w:szCs w:val="20"/>
                <w:lang w:eastAsia="en-AU"/>
              </w:rPr>
              <w:t xml:space="preserve"> health outcomes and health equity</w:t>
            </w:r>
            <w:r w:rsidR="00A67FBB">
              <w:rPr>
                <w:rFonts w:eastAsia="Times New Roman" w:cs="Segoe UI"/>
                <w:sz w:val="20"/>
                <w:szCs w:val="20"/>
                <w:lang w:eastAsia="en-AU"/>
              </w:rPr>
              <w:fldChar w:fldCharType="begin"/>
            </w:r>
            <w:r w:rsidR="00A67FBB" w:rsidRPr="006732A5">
              <w:rPr>
                <w:rFonts w:eastAsia="Times New Roman" w:cs="Segoe UI"/>
                <w:sz w:val="20"/>
                <w:szCs w:val="20"/>
                <w:lang w:eastAsia="en-AU"/>
              </w:rPr>
              <w:instrText xml:space="preserve"> XE "equity" </w:instrText>
            </w:r>
            <w:r w:rsidR="00A67FBB">
              <w:rPr>
                <w:rFonts w:eastAsia="Times New Roman" w:cs="Segoe UI"/>
                <w:sz w:val="20"/>
                <w:szCs w:val="20"/>
                <w:lang w:eastAsia="en-AU"/>
              </w:rPr>
              <w:fldChar w:fldCharType="end"/>
            </w:r>
            <w:r w:rsidRPr="00C9002C">
              <w:rPr>
                <w:rFonts w:eastAsia="Times New Roman" w:cs="Segoe UI"/>
                <w:sz w:val="20"/>
                <w:szCs w:val="20"/>
                <w:lang w:eastAsia="en-AU"/>
              </w:rPr>
              <w:t xml:space="preserve"> is appropriately reflected. </w:t>
            </w:r>
          </w:p>
          <w:p w14:paraId="3C884027" w14:textId="77777777" w:rsidR="008A5286" w:rsidRPr="006732A5" w:rsidRDefault="008A5286" w:rsidP="008505D7">
            <w:pPr>
              <w:pStyle w:val="ListParagraph"/>
              <w:numPr>
                <w:ilvl w:val="0"/>
                <w:numId w:val="113"/>
              </w:numPr>
              <w:rPr>
                <w:rFonts w:eastAsia="Times New Roman" w:cs="Segoe UI"/>
                <w:sz w:val="20"/>
                <w:szCs w:val="20"/>
                <w:lang w:eastAsia="en-AU"/>
              </w:rPr>
            </w:pPr>
            <w:r w:rsidRPr="006732A5">
              <w:rPr>
                <w:rFonts w:eastAsia="Times New Roman" w:cs="Segoe UI"/>
                <w:sz w:val="20"/>
                <w:szCs w:val="20"/>
                <w:lang w:eastAsia="en-AU"/>
              </w:rPr>
              <w:t>This list would include technologies that do not have market authorisation in Australia as well as technologies where there is evidence they could be repurposed for new indications.</w:t>
            </w:r>
          </w:p>
          <w:p w14:paraId="0D204F1C" w14:textId="60438523" w:rsidR="008A5286" w:rsidRPr="009D14F6" w:rsidRDefault="008A5286" w:rsidP="008C10BB">
            <w:pPr>
              <w:spacing w:after="0"/>
              <w:rPr>
                <w:rFonts w:eastAsia="Times New Roman" w:cs="Segoe UI"/>
                <w:sz w:val="20"/>
                <w:szCs w:val="20"/>
                <w:lang w:eastAsia="en-AU"/>
              </w:rPr>
            </w:pPr>
            <w:r w:rsidRPr="00F95060">
              <w:rPr>
                <w:rFonts w:eastAsia="Times New Roman" w:cs="Segoe UI"/>
                <w:i/>
                <w:sz w:val="20"/>
                <w:szCs w:val="20"/>
                <w:lang w:eastAsia="en-AU"/>
              </w:rPr>
              <w:t xml:space="preserve">Note: See separate section on options for </w:t>
            </w:r>
            <w:hyperlink w:anchor="po_HS" w:history="1">
              <w:r w:rsidRPr="00010E4C">
                <w:rPr>
                  <w:rStyle w:val="Hyperlink"/>
                  <w:rFonts w:eastAsia="Times New Roman" w:cs="Segoe UI"/>
                  <w:i/>
                  <w:sz w:val="20"/>
                  <w:szCs w:val="20"/>
                  <w:lang w:eastAsia="en-AU"/>
                </w:rPr>
                <w:t>horizon scanning</w:t>
              </w:r>
              <w:r w:rsidR="00CF3213">
                <w:rPr>
                  <w:rStyle w:val="Hyperlink"/>
                  <w:rFonts w:eastAsia="Times New Roman" w:cs="Segoe UI"/>
                  <w:i/>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Style w:val="Hyperlink"/>
                  <w:rFonts w:eastAsia="Times New Roman" w:cs="Segoe UI"/>
                  <w:i/>
                  <w:sz w:val="20"/>
                  <w:szCs w:val="20"/>
                  <w:lang w:eastAsia="en-AU"/>
                </w:rPr>
                <w:fldChar w:fldCharType="end"/>
              </w:r>
            </w:hyperlink>
            <w:r w:rsidRPr="00F95060">
              <w:rPr>
                <w:rFonts w:eastAsia="Times New Roman" w:cs="Segoe UI"/>
                <w:i/>
                <w:sz w:val="20"/>
                <w:szCs w:val="20"/>
                <w:lang w:eastAsia="en-AU"/>
              </w:rPr>
              <w:t xml:space="preserve"> for further information and additional preferred options considered by the Reference Committee relating to horizon scanning.</w:t>
            </w:r>
            <w:r w:rsidRPr="00F95060">
              <w:rPr>
                <w:rFonts w:eastAsia="Times New Roman" w:cs="Segoe UI"/>
                <w:sz w:val="20"/>
                <w:szCs w:val="20"/>
                <w:lang w:eastAsia="en-AU"/>
              </w:rPr>
              <w:t xml:space="preserve"> </w:t>
            </w:r>
          </w:p>
        </w:tc>
      </w:tr>
      <w:tr w:rsidR="005C4E85" w:rsidRPr="006647C5" w14:paraId="2027B91E" w14:textId="77777777" w:rsidTr="00534579">
        <w:trPr>
          <w:trHeight w:val="625"/>
        </w:trPr>
        <w:tc>
          <w:tcPr>
            <w:tcW w:w="1055"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8F8D351" w14:textId="2846F9BC" w:rsidR="003C5EF4" w:rsidRPr="00F314E6" w:rsidRDefault="003C5EF4" w:rsidP="008C10BB">
            <w:pPr>
              <w:pStyle w:val="ListParagraph"/>
              <w:spacing w:after="120"/>
              <w:ind w:left="425"/>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1B5225F9" w14:textId="0092D606" w:rsidR="008A5286" w:rsidRPr="006732A5" w:rsidRDefault="008A5286" w:rsidP="006732A5">
            <w:pPr>
              <w:pStyle w:val="Heading7"/>
              <w:keepNext w:val="0"/>
              <w:keepLines w:val="0"/>
              <w:rPr>
                <w:lang w:eastAsia="en-AU"/>
              </w:rPr>
            </w:pPr>
            <w:r w:rsidRPr="006732A5">
              <w:rPr>
                <w:lang w:eastAsia="en-AU"/>
              </w:rPr>
              <w:t>Early assessment and prioritisation of potentially promising therapies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9878F3C" w14:textId="130EBD5E" w:rsidR="008A5286" w:rsidRPr="009D14F6" w:rsidRDefault="008A5286" w:rsidP="008C10BB">
            <w:pPr>
              <w:spacing w:after="0"/>
              <w:rPr>
                <w:rFonts w:eastAsia="Times New Roman" w:cs="Segoe UI"/>
                <w:sz w:val="20"/>
                <w:szCs w:val="20"/>
                <w:lang w:eastAsia="en-AU"/>
              </w:rPr>
            </w:pPr>
            <w:r>
              <w:rPr>
                <w:rFonts w:eastAsia="Times New Roman" w:cs="Segoe UI"/>
                <w:color w:val="222A35"/>
                <w:kern w:val="24"/>
                <w:sz w:val="20"/>
                <w:szCs w:val="20"/>
                <w:lang w:eastAsia="en-AU"/>
              </w:rPr>
              <w:t xml:space="preserve">Implement a system to assess and prioritise </w:t>
            </w:r>
            <w:r w:rsidRPr="00C9002C">
              <w:rPr>
                <w:rFonts w:eastAsia="Times New Roman" w:cs="Segoe UI"/>
                <w:color w:val="222A35"/>
                <w:kern w:val="24"/>
                <w:sz w:val="20"/>
                <w:szCs w:val="20"/>
                <w:lang w:eastAsia="en-AU"/>
              </w:rPr>
              <w:t xml:space="preserve">the </w:t>
            </w:r>
            <w:r>
              <w:rPr>
                <w:rFonts w:eastAsia="Times New Roman" w:cs="Segoe UI"/>
                <w:color w:val="222A35"/>
                <w:kern w:val="24"/>
                <w:sz w:val="20"/>
                <w:szCs w:val="20"/>
                <w:lang w:eastAsia="en-AU"/>
              </w:rPr>
              <w:t>therapies</w:t>
            </w:r>
            <w:r w:rsidRPr="00C9002C">
              <w:rPr>
                <w:rFonts w:eastAsia="Times New Roman" w:cs="Segoe UI"/>
                <w:color w:val="222A35"/>
                <w:kern w:val="24"/>
                <w:sz w:val="20"/>
                <w:szCs w:val="20"/>
                <w:lang w:eastAsia="en-AU"/>
              </w:rPr>
              <w:t xml:space="preserve"> identified through horizon scanning</w:t>
            </w:r>
            <w:r w:rsidR="00CF3213">
              <w:rPr>
                <w:rFonts w:eastAsia="Times New Roman" w:cs="Segoe UI"/>
                <w:color w:val="222A35"/>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sz w:val="20"/>
                <w:szCs w:val="20"/>
                <w:lang w:eastAsia="en-AU"/>
              </w:rPr>
              <w:fldChar w:fldCharType="end"/>
            </w:r>
            <w:r w:rsidRPr="00C9002C">
              <w:rPr>
                <w:rFonts w:eastAsia="Times New Roman" w:cs="Segoe UI"/>
                <w:color w:val="222A35"/>
                <w:kern w:val="24"/>
                <w:sz w:val="20"/>
                <w:szCs w:val="20"/>
                <w:lang w:eastAsia="en-AU"/>
              </w:rPr>
              <w:t xml:space="preserve"> </w:t>
            </w:r>
            <w:r>
              <w:rPr>
                <w:rFonts w:eastAsia="Times New Roman" w:cs="Segoe UI"/>
                <w:color w:val="222A35"/>
                <w:kern w:val="24"/>
                <w:sz w:val="20"/>
                <w:szCs w:val="20"/>
                <w:lang w:eastAsia="en-AU"/>
              </w:rPr>
              <w:t>with the goal of understanding which therapies represent important advances (HATV</w:t>
            </w:r>
            <w:r w:rsidR="00515DEB">
              <w:rPr>
                <w:rFonts w:eastAsia="Times New Roman" w:cs="Segoe UI"/>
                <w:color w:val="222A35"/>
                <w:kern w:val="24"/>
                <w:sz w:val="20"/>
                <w:szCs w:val="20"/>
                <w:lang w:eastAsia="en-AU"/>
              </w:rPr>
              <w:fldChar w:fldCharType="begin"/>
            </w:r>
            <w:r w:rsidR="00515DEB">
              <w:instrText xml:space="preserve"> XE "</w:instrText>
            </w:r>
            <w:r w:rsidR="00515DEB" w:rsidRPr="00C65F0A">
              <w:rPr>
                <w:rFonts w:eastAsia="Times New Roman" w:cs="Segoe UI"/>
                <w:lang w:eastAsia="en-AU"/>
              </w:rPr>
              <w:instrText xml:space="preserve">high added therapeutic </w:instrText>
            </w:r>
            <w:proofErr w:type="spellStart"/>
            <w:proofErr w:type="gramStart"/>
            <w:r w:rsidR="00515DEB" w:rsidRPr="00C65F0A">
              <w:rPr>
                <w:rFonts w:eastAsia="Times New Roman" w:cs="Segoe UI"/>
                <w:lang w:eastAsia="en-AU"/>
              </w:rPr>
              <w:instrText>value</w:instrText>
            </w:r>
            <w:r w:rsidR="00515DEB" w:rsidRPr="00C65F0A">
              <w:rPr>
                <w:rFonts w:eastAsia="Times New Roman" w:cs="Segoe UI"/>
              </w:rPr>
              <w:instrText>:</w:instrText>
            </w:r>
            <w:r w:rsidR="00515DEB" w:rsidRPr="00C65F0A">
              <w:instrText>HATV</w:instrText>
            </w:r>
            <w:proofErr w:type="spellEnd"/>
            <w:proofErr w:type="gramEnd"/>
            <w:r w:rsidR="00515DEB">
              <w:instrText xml:space="preserve">" \b </w:instrText>
            </w:r>
            <w:r w:rsidR="00515DEB">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in areas of </w:t>
            </w:r>
            <w:r w:rsidR="00611542">
              <w:rPr>
                <w:rFonts w:eastAsia="Times New Roman" w:cs="Segoe UI"/>
                <w:color w:val="222A35"/>
                <w:kern w:val="24"/>
                <w:sz w:val="20"/>
                <w:szCs w:val="20"/>
                <w:lang w:eastAsia="en-AU"/>
              </w:rPr>
              <w:t>HUCN</w:t>
            </w:r>
            <w:r w:rsidR="002401F9">
              <w:rPr>
                <w:rFonts w:eastAsia="Times New Roman" w:cs="Segoe UI"/>
                <w:color w:val="222A35"/>
                <w:kern w:val="24"/>
                <w:sz w:val="20"/>
                <w:szCs w:val="20"/>
                <w:lang w:eastAsia="en-AU"/>
              </w:rPr>
              <w:fldChar w:fldCharType="begin"/>
            </w:r>
            <w:r w:rsidR="002401F9">
              <w:instrText xml:space="preserve"> XE "</w:instrText>
            </w:r>
            <w:r w:rsidR="002401F9" w:rsidRPr="002456C6">
              <w:instrText>unmet clinical need</w:instrText>
            </w:r>
            <w:r w:rsidR="002401F9">
              <w:instrText xml:space="preserve">" \b </w:instrText>
            </w:r>
            <w:r w:rsidR="002401F9">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w:t>
            </w:r>
            <w:r w:rsidRPr="00C9002C">
              <w:rPr>
                <w:rFonts w:eastAsia="Times New Roman" w:cs="Segoe UI"/>
                <w:color w:val="222A35"/>
                <w:kern w:val="24"/>
                <w:sz w:val="20"/>
                <w:szCs w:val="20"/>
                <w:lang w:eastAsia="en-AU"/>
              </w:rPr>
              <w:t xml:space="preserve"> </w:t>
            </w:r>
          </w:p>
        </w:tc>
      </w:tr>
      <w:tr w:rsidR="005C4E85" w:rsidRPr="006647C5" w14:paraId="3BF1748E" w14:textId="77777777" w:rsidTr="00534579">
        <w:trPr>
          <w:gridAfter w:val="1"/>
          <w:wAfter w:w="1439" w:type="dxa"/>
          <w:trHeight w:val="625"/>
        </w:trPr>
        <w:tc>
          <w:tcPr>
            <w:tcW w:w="1055"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7A3EDD2D" w14:textId="4208386A" w:rsidR="003C5EF4" w:rsidRPr="009D14F6" w:rsidRDefault="003C5EF4" w:rsidP="008C10BB">
            <w:pPr>
              <w:pStyle w:val="ListParagraph"/>
              <w:spacing w:after="120"/>
              <w:ind w:left="425"/>
              <w:rPr>
                <w:rFonts w:eastAsia="Times New Roman" w:cs="Segoe UI"/>
                <w:color w:val="222A35"/>
                <w:kern w:val="24"/>
                <w:sz w:val="20"/>
                <w:szCs w:val="20"/>
                <w:lang w:eastAsia="en-AU"/>
              </w:rPr>
            </w:pPr>
          </w:p>
        </w:tc>
        <w:tc>
          <w:tcPr>
            <w:tcW w:w="1879" w:type="dxa"/>
            <w:tcBorders>
              <w:top w:val="single" w:sz="4" w:space="0" w:color="E7E6E6" w:themeColor="background2"/>
              <w:bottom w:val="single" w:sz="4" w:space="0" w:color="E7E6E6" w:themeColor="background2"/>
            </w:tcBorders>
            <w:shd w:val="clear" w:color="auto" w:fill="FFFFFF" w:themeFill="background1"/>
          </w:tcPr>
          <w:p w14:paraId="78BBBB04" w14:textId="1C2955DC" w:rsidR="008A5286" w:rsidRPr="006732A5" w:rsidRDefault="008A5286" w:rsidP="006732A5">
            <w:pPr>
              <w:pStyle w:val="Heading7"/>
              <w:keepNext w:val="0"/>
              <w:keepLines w:val="0"/>
              <w:rPr>
                <w:lang w:eastAsia="en-AU"/>
              </w:rPr>
            </w:pPr>
            <w:r w:rsidRPr="006732A5">
              <w:rPr>
                <w:lang w:eastAsia="en-AU"/>
              </w:rPr>
              <w:t>Proactive submission invitation and incentivisation</w:t>
            </w:r>
          </w:p>
        </w:tc>
        <w:tc>
          <w:tcPr>
            <w:tcW w:w="11362" w:type="dxa"/>
            <w:gridSpan w:val="2"/>
            <w:tcBorders>
              <w:top w:val="single" w:sz="4" w:space="0" w:color="E7E6E6" w:themeColor="background2"/>
              <w:bottom w:val="single" w:sz="4" w:space="0" w:color="E7E6E6" w:themeColor="background2"/>
            </w:tcBorders>
            <w:shd w:val="clear" w:color="auto" w:fill="auto"/>
            <w:tcMar>
              <w:top w:w="72" w:type="dxa"/>
              <w:left w:w="144" w:type="dxa"/>
              <w:bottom w:w="72" w:type="dxa"/>
              <w:right w:w="144" w:type="dxa"/>
            </w:tcMar>
          </w:tcPr>
          <w:p w14:paraId="1C551A0D" w14:textId="3132ADA0" w:rsidR="008A5286" w:rsidRPr="00C9002C" w:rsidRDefault="008A5286" w:rsidP="008C10BB">
            <w:pPr>
              <w:spacing w:after="0"/>
              <w:rPr>
                <w:rFonts w:eastAsia="Times New Roman" w:cs="Segoe UI"/>
                <w:color w:val="222A35"/>
                <w:kern w:val="24"/>
                <w:sz w:val="20"/>
                <w:szCs w:val="20"/>
                <w:lang w:eastAsia="en-AU"/>
              </w:rPr>
            </w:pPr>
            <w:r w:rsidRPr="00C9002C">
              <w:rPr>
                <w:rFonts w:eastAsia="Times New Roman" w:cs="Segoe UI"/>
                <w:color w:val="222A35"/>
                <w:kern w:val="24"/>
                <w:sz w:val="20"/>
                <w:szCs w:val="20"/>
                <w:lang w:eastAsia="en-AU"/>
              </w:rPr>
              <w:t>After</w:t>
            </w:r>
            <w:r>
              <w:rPr>
                <w:rFonts w:eastAsia="Times New Roman" w:cs="Segoe UI"/>
                <w:color w:val="222A35"/>
                <w:kern w:val="24"/>
                <w:sz w:val="20"/>
                <w:szCs w:val="20"/>
                <w:lang w:eastAsia="en-AU"/>
              </w:rPr>
              <w:t xml:space="preserve"> a therapy identified through horizon scanning</w:t>
            </w:r>
            <w:r w:rsidR="00CF3213">
              <w:rPr>
                <w:rFonts w:eastAsia="Times New Roman" w:cs="Segoe UI"/>
                <w:color w:val="222A35"/>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has been prioritised through the early assessment, </w:t>
            </w:r>
            <w:r w:rsidRPr="00C9002C">
              <w:rPr>
                <w:rFonts w:eastAsia="Times New Roman" w:cs="Segoe UI"/>
                <w:color w:val="222A35"/>
                <w:kern w:val="24"/>
                <w:sz w:val="20"/>
                <w:szCs w:val="20"/>
                <w:lang w:eastAsia="en-AU"/>
              </w:rPr>
              <w:t xml:space="preserve">the Government could proactively request a sponsor submission. Incentives for the sponsor to bring a submission forward could include: </w:t>
            </w:r>
          </w:p>
          <w:p w14:paraId="07D5228B" w14:textId="05586A70" w:rsidR="008A5286" w:rsidRPr="00545CA9" w:rsidRDefault="003C5EF4" w:rsidP="008505D7">
            <w:pPr>
              <w:pStyle w:val="ListParagraph"/>
              <w:numPr>
                <w:ilvl w:val="0"/>
                <w:numId w:val="114"/>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f</w:t>
            </w:r>
            <w:r w:rsidR="008A5286" w:rsidRPr="00545CA9">
              <w:rPr>
                <w:rFonts w:eastAsia="Times New Roman" w:cs="Segoe UI"/>
                <w:color w:val="222A35"/>
                <w:kern w:val="24"/>
                <w:sz w:val="20"/>
                <w:szCs w:val="20"/>
                <w:lang w:eastAsia="en-AU"/>
              </w:rPr>
              <w:t>ee wa</w:t>
            </w:r>
            <w:r w:rsidR="00E43FFA">
              <w:rPr>
                <w:rFonts w:eastAsia="Times New Roman" w:cs="Segoe UI"/>
                <w:color w:val="222A35"/>
                <w:kern w:val="24"/>
                <w:sz w:val="20"/>
                <w:szCs w:val="20"/>
                <w:lang w:eastAsia="en-AU"/>
              </w:rPr>
              <w:t>i</w:t>
            </w:r>
            <w:r w:rsidR="008A5286" w:rsidRPr="00545CA9">
              <w:rPr>
                <w:rFonts w:eastAsia="Times New Roman" w:cs="Segoe UI"/>
                <w:color w:val="222A35"/>
                <w:kern w:val="24"/>
                <w:sz w:val="20"/>
                <w:szCs w:val="20"/>
                <w:lang w:eastAsia="en-AU"/>
              </w:rPr>
              <w:t xml:space="preserve">vers </w:t>
            </w:r>
          </w:p>
          <w:p w14:paraId="169ADC5B" w14:textId="1E530127" w:rsidR="008A5286" w:rsidRPr="00545CA9" w:rsidRDefault="003C5EF4" w:rsidP="008505D7">
            <w:pPr>
              <w:pStyle w:val="ListParagraph"/>
              <w:numPr>
                <w:ilvl w:val="0"/>
                <w:numId w:val="114"/>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c</w:t>
            </w:r>
            <w:r w:rsidR="008A5286" w:rsidRPr="00545CA9">
              <w:rPr>
                <w:rFonts w:eastAsia="Times New Roman" w:cs="Segoe UI"/>
                <w:color w:val="222A35"/>
                <w:kern w:val="24"/>
                <w:sz w:val="20"/>
                <w:szCs w:val="20"/>
                <w:lang w:eastAsia="en-AU"/>
              </w:rPr>
              <w:t xml:space="preserve">ase management </w:t>
            </w:r>
          </w:p>
          <w:p w14:paraId="4E0448D4" w14:textId="34FA0A3F" w:rsidR="008A5286" w:rsidRPr="00545CA9" w:rsidRDefault="003C5EF4" w:rsidP="008505D7">
            <w:pPr>
              <w:pStyle w:val="ListParagraph"/>
              <w:numPr>
                <w:ilvl w:val="0"/>
                <w:numId w:val="114"/>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A5286" w:rsidRPr="00545CA9">
              <w:rPr>
                <w:rFonts w:eastAsia="Times New Roman" w:cs="Segoe UI"/>
                <w:color w:val="222A35"/>
                <w:kern w:val="24"/>
                <w:sz w:val="20"/>
                <w:szCs w:val="20"/>
                <w:lang w:eastAsia="en-AU"/>
              </w:rPr>
              <w:t>riority pathway</w:t>
            </w:r>
          </w:p>
          <w:p w14:paraId="156AC895" w14:textId="61A692F1" w:rsidR="008A5286" w:rsidRPr="001B4547" w:rsidRDefault="003C5EF4" w:rsidP="008505D7">
            <w:pPr>
              <w:pStyle w:val="ListParagraph"/>
              <w:numPr>
                <w:ilvl w:val="0"/>
                <w:numId w:val="114"/>
              </w:num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p</w:t>
            </w:r>
            <w:r w:rsidR="008A5286" w:rsidRPr="00545CA9">
              <w:rPr>
                <w:rFonts w:eastAsia="Times New Roman" w:cs="Segoe UI"/>
                <w:color w:val="222A35"/>
                <w:kern w:val="24"/>
                <w:sz w:val="20"/>
                <w:szCs w:val="20"/>
                <w:lang w:eastAsia="en-AU"/>
              </w:rPr>
              <w:t xml:space="preserve">otential for access to </w:t>
            </w:r>
            <w:r w:rsidR="008A5286">
              <w:rPr>
                <w:rFonts w:eastAsia="Times New Roman" w:cs="Segoe UI"/>
                <w:color w:val="222A35"/>
                <w:kern w:val="24"/>
                <w:sz w:val="20"/>
                <w:szCs w:val="20"/>
                <w:lang w:eastAsia="en-AU"/>
              </w:rPr>
              <w:t>provisional funding programs</w:t>
            </w:r>
            <w:r w:rsidR="008A5286" w:rsidRPr="00545CA9">
              <w:rPr>
                <w:rFonts w:eastAsia="Times New Roman" w:cs="Segoe UI"/>
                <w:color w:val="222A35"/>
                <w:kern w:val="24"/>
                <w:sz w:val="20"/>
                <w:szCs w:val="20"/>
                <w:lang w:eastAsia="en-AU"/>
              </w:rPr>
              <w:t xml:space="preserve"> (subject to HTA committee recommendation</w:t>
            </w:r>
            <w:r w:rsidR="008A5286" w:rsidRPr="001B4547">
              <w:rPr>
                <w:rFonts w:eastAsia="Times New Roman" w:cs="Segoe UI"/>
                <w:color w:val="222A35"/>
                <w:kern w:val="24"/>
                <w:sz w:val="20"/>
                <w:szCs w:val="20"/>
                <w:lang w:eastAsia="en-AU"/>
              </w:rPr>
              <w:t xml:space="preserve">) (see </w:t>
            </w:r>
            <w:r w:rsidR="00D31AF2" w:rsidRPr="001B4547">
              <w:rPr>
                <w:rFonts w:eastAsia="Times New Roman" w:cs="Segoe UI"/>
                <w:color w:val="1D437F" w:themeColor="accent1"/>
                <w:kern w:val="24"/>
                <w:sz w:val="20"/>
                <w:szCs w:val="20"/>
                <w:u w:val="single"/>
                <w:lang w:eastAsia="en-AU"/>
              </w:rPr>
              <w:fldChar w:fldCharType="begin"/>
            </w:r>
            <w:r w:rsidR="00D31AF2" w:rsidRPr="001B4547">
              <w:rPr>
                <w:rFonts w:eastAsia="Times New Roman" w:cs="Segoe UI"/>
                <w:color w:val="1D437F" w:themeColor="accent1"/>
                <w:kern w:val="24"/>
                <w:sz w:val="20"/>
                <w:szCs w:val="20"/>
                <w:u w:val="single"/>
                <w:lang w:eastAsia="en-AU"/>
              </w:rPr>
              <w:instrText xml:space="preserve"> REF _Ref156855855 \h </w:instrText>
            </w:r>
            <w:r w:rsidR="00E30AE9" w:rsidRPr="001B4547">
              <w:rPr>
                <w:rFonts w:eastAsia="Times New Roman" w:cs="Segoe UI"/>
                <w:color w:val="1D437F" w:themeColor="accent1"/>
                <w:kern w:val="24"/>
                <w:sz w:val="20"/>
                <w:szCs w:val="20"/>
                <w:u w:val="single"/>
                <w:lang w:eastAsia="en-AU"/>
              </w:rPr>
              <w:instrText xml:space="preserve"> \* MERGEFORMAT </w:instrText>
            </w:r>
            <w:r w:rsidR="00D31AF2" w:rsidRPr="001B4547">
              <w:rPr>
                <w:rFonts w:eastAsia="Times New Roman" w:cs="Segoe UI"/>
                <w:color w:val="1D437F" w:themeColor="accent1"/>
                <w:kern w:val="24"/>
                <w:sz w:val="20"/>
                <w:szCs w:val="20"/>
                <w:u w:val="single"/>
                <w:lang w:eastAsia="en-AU"/>
              </w:rPr>
            </w:r>
            <w:r w:rsidR="00D31AF2" w:rsidRPr="001B4547">
              <w:rPr>
                <w:rFonts w:eastAsia="Times New Roman" w:cs="Segoe UI"/>
                <w:color w:val="1D437F" w:themeColor="accent1"/>
                <w:kern w:val="24"/>
                <w:sz w:val="20"/>
                <w:szCs w:val="20"/>
                <w:u w:val="single"/>
                <w:lang w:eastAsia="en-AU"/>
              </w:rPr>
              <w:fldChar w:fldCharType="separate"/>
            </w:r>
            <w:r w:rsidR="00474ED6" w:rsidRPr="00474ED6">
              <w:rPr>
                <w:rFonts w:eastAsia="Times New Roman" w:cs="Segoe UI"/>
                <w:color w:val="1D437F" w:themeColor="accent1"/>
                <w:kern w:val="24"/>
                <w:sz w:val="20"/>
                <w:szCs w:val="20"/>
                <w:u w:val="single"/>
                <w:lang w:eastAsia="en-AU"/>
              </w:rPr>
              <w:t>Approaches for managing uncertainty</w:t>
            </w:r>
            <w:r w:rsidR="00D31AF2" w:rsidRPr="001B4547">
              <w:rPr>
                <w:rFonts w:eastAsia="Times New Roman" w:cs="Segoe UI"/>
                <w:color w:val="1D437F" w:themeColor="accent1"/>
                <w:kern w:val="24"/>
                <w:sz w:val="20"/>
                <w:szCs w:val="20"/>
                <w:u w:val="single"/>
                <w:lang w:eastAsia="en-AU"/>
              </w:rPr>
              <w:fldChar w:fldCharType="end"/>
            </w:r>
            <w:r w:rsidR="008A5286" w:rsidRPr="001B4547">
              <w:rPr>
                <w:rFonts w:eastAsia="Times New Roman" w:cs="Segoe UI"/>
                <w:color w:val="222A35"/>
                <w:kern w:val="24"/>
                <w:sz w:val="20"/>
                <w:szCs w:val="20"/>
                <w:lang w:eastAsia="en-AU"/>
              </w:rPr>
              <w:t>)</w:t>
            </w:r>
          </w:p>
          <w:p w14:paraId="550270FA" w14:textId="13588899" w:rsidR="008A5286" w:rsidRPr="009D14F6" w:rsidRDefault="008A5286" w:rsidP="008C10BB">
            <w:pPr>
              <w:spacing w:after="0"/>
              <w:rPr>
                <w:rFonts w:eastAsia="Times New Roman" w:cs="Segoe UI"/>
                <w:sz w:val="20"/>
                <w:szCs w:val="20"/>
                <w:lang w:eastAsia="en-AU"/>
              </w:rPr>
            </w:pPr>
            <w:r w:rsidRPr="009D14F6">
              <w:rPr>
                <w:rFonts w:eastAsia="Times New Roman" w:cs="Segoe UI"/>
                <w:color w:val="222A35"/>
                <w:kern w:val="24"/>
                <w:sz w:val="20"/>
                <w:szCs w:val="20"/>
                <w:lang w:eastAsia="en-AU"/>
              </w:rPr>
              <w:lastRenderedPageBreak/>
              <w:t xml:space="preserve">The sponsor would have a defined period to notify the Government of their intention to accept the offer (4-6 weeks) and then will have to make a submission to the PBAC (and </w:t>
            </w:r>
            <w:r w:rsidR="00D16627">
              <w:rPr>
                <w:rFonts w:eastAsia="Times New Roman" w:cs="Segoe UI"/>
                <w:color w:val="222A35"/>
                <w:kern w:val="24"/>
                <w:sz w:val="20"/>
                <w:szCs w:val="20"/>
                <w:lang w:eastAsia="en-AU"/>
              </w:rPr>
              <w:t xml:space="preserve">application to the </w:t>
            </w:r>
            <w:r w:rsidRPr="009D14F6">
              <w:rPr>
                <w:rFonts w:eastAsia="Times New Roman" w:cs="Segoe UI"/>
                <w:color w:val="222A35"/>
                <w:kern w:val="24"/>
                <w:sz w:val="20"/>
                <w:szCs w:val="20"/>
                <w:lang w:eastAsia="en-AU"/>
              </w:rPr>
              <w:t xml:space="preserve">TGA if applicable) within a pre-defined </w:t>
            </w:r>
            <w:proofErr w:type="gramStart"/>
            <w:r w:rsidRPr="009D14F6">
              <w:rPr>
                <w:rFonts w:eastAsia="Times New Roman" w:cs="Segoe UI"/>
                <w:color w:val="222A35"/>
                <w:kern w:val="24"/>
                <w:sz w:val="20"/>
                <w:szCs w:val="20"/>
                <w:lang w:eastAsia="en-AU"/>
              </w:rPr>
              <w:t>time period</w:t>
            </w:r>
            <w:proofErr w:type="gramEnd"/>
            <w:r>
              <w:rPr>
                <w:rFonts w:eastAsia="Times New Roman" w:cs="Segoe UI"/>
                <w:color w:val="222A35"/>
                <w:kern w:val="24"/>
                <w:sz w:val="20"/>
                <w:szCs w:val="20"/>
                <w:lang w:eastAsia="en-AU"/>
              </w:rPr>
              <w:t xml:space="preserve">. </w:t>
            </w:r>
          </w:p>
        </w:tc>
      </w:tr>
      <w:tr w:rsidR="005C4E85" w:rsidRPr="006647C5" w14:paraId="442BD795" w14:textId="77777777" w:rsidTr="00E54402">
        <w:trPr>
          <w:trHeight w:val="625"/>
        </w:trPr>
        <w:tc>
          <w:tcPr>
            <w:tcW w:w="1055" w:type="dxa"/>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1C80AB74" w14:textId="621A11DF" w:rsidR="003C5EF4" w:rsidRPr="00F002F1" w:rsidRDefault="003C5EF4" w:rsidP="008C10BB">
            <w:pPr>
              <w:pStyle w:val="ListParagraph"/>
              <w:spacing w:after="120"/>
              <w:ind w:left="425"/>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38679D1B" w14:textId="78CF9CCE" w:rsidR="008A5286" w:rsidRPr="006732A5" w:rsidRDefault="008A5286" w:rsidP="006732A5">
            <w:pPr>
              <w:pStyle w:val="Heading7"/>
              <w:keepNext w:val="0"/>
              <w:keepLines w:val="0"/>
              <w:rPr>
                <w:lang w:eastAsia="en-AU"/>
              </w:rPr>
            </w:pPr>
            <w:r w:rsidRPr="006732A5">
              <w:rPr>
                <w:lang w:eastAsia="en-AU"/>
              </w:rPr>
              <w:t>Early PICO</w:t>
            </w:r>
            <w:r w:rsidR="0068258A" w:rsidRPr="006732A5">
              <w:rPr>
                <w:lang w:eastAsia="en-AU"/>
              </w:rPr>
              <w:fldChar w:fldCharType="begin"/>
            </w:r>
            <w:r w:rsidR="0068258A">
              <w:rPr>
                <w:lang w:eastAsia="en-AU"/>
              </w:rPr>
              <w:instrText xml:space="preserve"> XE "</w:instrText>
            </w:r>
            <w:r w:rsidR="0068258A" w:rsidRPr="006732A5">
              <w:rPr>
                <w:lang w:eastAsia="en-AU"/>
              </w:rPr>
              <w:instrText>PICO</w:instrText>
            </w:r>
            <w:r w:rsidR="0068258A">
              <w:rPr>
                <w:lang w:eastAsia="en-AU"/>
              </w:rPr>
              <w:instrText xml:space="preserve">" \b </w:instrText>
            </w:r>
            <w:r w:rsidR="0068258A" w:rsidRPr="006732A5">
              <w:rPr>
                <w:lang w:eastAsia="en-AU"/>
              </w:rPr>
              <w:fldChar w:fldCharType="end"/>
            </w:r>
            <w:r w:rsidRPr="006732A5">
              <w:rPr>
                <w:lang w:eastAsia="en-AU"/>
              </w:rPr>
              <w:t xml:space="preserve"> scoping</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7A02DC83" w14:textId="438C40A6" w:rsidR="008A5286" w:rsidRPr="009D14F6" w:rsidRDefault="008A5286" w:rsidP="008C10BB">
            <w:pPr>
              <w:spacing w:after="0"/>
              <w:rPr>
                <w:rFonts w:eastAsia="Times New Roman" w:cs="Segoe UI"/>
                <w:sz w:val="20"/>
                <w:szCs w:val="20"/>
                <w:lang w:eastAsia="en-AU"/>
              </w:rPr>
            </w:pPr>
            <w:r>
              <w:rPr>
                <w:rFonts w:eastAsia="Times New Roman" w:cs="Segoe UI"/>
                <w:sz w:val="20"/>
                <w:szCs w:val="20"/>
                <w:lang w:eastAsia="en-AU"/>
              </w:rPr>
              <w:t>For therapies where the sponsor has accepted proactive submission invitation, early PICO</w:t>
            </w:r>
            <w:r w:rsidR="0068258A">
              <w:rPr>
                <w:rFonts w:eastAsia="Times New Roman" w:cs="Segoe UI"/>
                <w:sz w:val="20"/>
                <w:szCs w:val="20"/>
                <w:lang w:eastAsia="en-AU"/>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Times New Roman" w:cs="Segoe UI"/>
                <w:sz w:val="20"/>
                <w:szCs w:val="20"/>
                <w:lang w:eastAsia="en-AU"/>
              </w:rPr>
              <w:fldChar w:fldCharType="end"/>
            </w:r>
            <w:r>
              <w:rPr>
                <w:rFonts w:eastAsia="Times New Roman" w:cs="Segoe UI"/>
                <w:sz w:val="20"/>
                <w:szCs w:val="20"/>
                <w:lang w:eastAsia="en-AU"/>
              </w:rPr>
              <w:t xml:space="preserve"> scoping including identification of implementation requirements and challenges to occur (this could happen contemporaneously to the sponsor developing their submission). </w:t>
            </w:r>
          </w:p>
        </w:tc>
      </w:tr>
      <w:tr w:rsidR="008A5286" w:rsidRPr="006647C5" w14:paraId="095EDC1C" w14:textId="77777777" w:rsidTr="00E54402">
        <w:trPr>
          <w:trHeight w:val="253"/>
        </w:trPr>
        <w:tc>
          <w:tcPr>
            <w:tcW w:w="15735" w:type="dxa"/>
            <w:gridSpan w:val="5"/>
            <w:tcBorders>
              <w:top w:val="single" w:sz="2" w:space="0" w:color="1D437F" w:themeColor="accent1"/>
              <w:bottom w:val="single" w:sz="4" w:space="0" w:color="E7E6E6" w:themeColor="background2"/>
            </w:tcBorders>
            <w:shd w:val="clear" w:color="auto" w:fill="FFFFFF" w:themeFill="background1"/>
            <w:tcMar>
              <w:top w:w="72" w:type="dxa"/>
              <w:left w:w="144" w:type="dxa"/>
              <w:bottom w:w="72" w:type="dxa"/>
              <w:right w:w="144" w:type="dxa"/>
            </w:tcMar>
          </w:tcPr>
          <w:p w14:paraId="063A65C5" w14:textId="711E3CDD" w:rsidR="008A5286" w:rsidRPr="009D14F6" w:rsidRDefault="008A5286" w:rsidP="008505D7">
            <w:pPr>
              <w:pStyle w:val="Heading6"/>
              <w:numPr>
                <w:ilvl w:val="1"/>
                <w:numId w:val="35"/>
              </w:numPr>
              <w:rPr>
                <w:rFonts w:eastAsia="Times New Roman" w:cs="Segoe UI"/>
                <w:color w:val="222A35"/>
                <w:kern w:val="24"/>
              </w:rPr>
            </w:pPr>
            <w:bookmarkStart w:id="50" w:name="_Establishment_of_horizon"/>
            <w:bookmarkEnd w:id="50"/>
            <w:r w:rsidRPr="009D14F6">
              <w:rPr>
                <w:color w:val="1D437F" w:themeColor="accent1"/>
              </w:rPr>
              <w:t>Establishment of horizon scanning</w:t>
            </w:r>
            <w:r w:rsidR="00CF3213">
              <w:rPr>
                <w:color w:val="1D437F" w:themeColor="accent1"/>
              </w:rPr>
              <w:fldChar w:fldCharType="begin"/>
            </w:r>
            <w:r w:rsidR="00CF3213">
              <w:instrText xml:space="preserve"> XE "</w:instrText>
            </w:r>
            <w:r w:rsidR="00CF3213" w:rsidRPr="0034374C">
              <w:rPr>
                <w:rFonts w:eastAsia="Times New Roman" w:cs="Segoe UI"/>
              </w:rPr>
              <w:instrText>horizon scanning</w:instrText>
            </w:r>
            <w:r w:rsidR="00CF3213">
              <w:instrText xml:space="preserve">" \b </w:instrText>
            </w:r>
            <w:r w:rsidR="00CF3213">
              <w:rPr>
                <w:color w:val="1D437F" w:themeColor="accent1"/>
              </w:rPr>
              <w:fldChar w:fldCharType="end"/>
            </w:r>
            <w:r w:rsidRPr="009D14F6">
              <w:rPr>
                <w:color w:val="1D437F" w:themeColor="accent1"/>
              </w:rPr>
              <w:t xml:space="preserve"> programs to address specific informational needs within HTA and the health system</w:t>
            </w:r>
          </w:p>
        </w:tc>
      </w:tr>
      <w:tr w:rsidR="005C4E85" w:rsidRPr="006647C5" w14:paraId="367061A3" w14:textId="77777777" w:rsidTr="00534579">
        <w:trPr>
          <w:trHeight w:val="775"/>
        </w:trPr>
        <w:tc>
          <w:tcPr>
            <w:tcW w:w="1055" w:type="dxa"/>
            <w:tcBorders>
              <w:top w:val="single" w:sz="4" w:space="0" w:color="E7E6E6" w:themeColor="background2"/>
            </w:tcBorders>
            <w:shd w:val="clear" w:color="auto" w:fill="FFFFFF" w:themeFill="background1"/>
            <w:tcMar>
              <w:top w:w="72" w:type="dxa"/>
              <w:left w:w="144" w:type="dxa"/>
              <w:bottom w:w="72" w:type="dxa"/>
              <w:right w:w="144" w:type="dxa"/>
            </w:tcMar>
          </w:tcPr>
          <w:p w14:paraId="6B069A24" w14:textId="75EDA2F5" w:rsidR="003C5EF4" w:rsidRPr="00515E74" w:rsidRDefault="003C5EF4" w:rsidP="008C10BB">
            <w:pPr>
              <w:pStyle w:val="ListParagraph"/>
              <w:spacing w:after="0"/>
              <w:ind w:left="421"/>
              <w:rPr>
                <w:rFonts w:eastAsia="Times New Roman" w:cs="Segoe UI"/>
                <w:color w:val="222A35"/>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58267921" w14:textId="2D0ED66D" w:rsidR="00EB6A17" w:rsidRPr="00807A04" w:rsidRDefault="008A5286" w:rsidP="008A5286">
            <w:pPr>
              <w:pStyle w:val="Heading6"/>
              <w:rPr>
                <w:color w:val="auto"/>
                <w:sz w:val="20"/>
                <w:szCs w:val="18"/>
              </w:rPr>
            </w:pPr>
            <w:r w:rsidRPr="00807A04">
              <w:rPr>
                <w:rFonts w:cs="Segoe UI"/>
                <w:color w:val="auto"/>
                <w:sz w:val="20"/>
                <w:szCs w:val="18"/>
              </w:rPr>
              <w:t xml:space="preserve">Horizon scanning for </w:t>
            </w:r>
            <w:r w:rsidR="00545632" w:rsidRPr="00807A04">
              <w:rPr>
                <w:rFonts w:cs="Segoe UI"/>
                <w:color w:val="auto"/>
                <w:sz w:val="20"/>
                <w:szCs w:val="18"/>
              </w:rPr>
              <w:t>advanced therapies</w:t>
            </w:r>
            <w:r w:rsidR="00700B73" w:rsidRPr="00807A04">
              <w:rPr>
                <w:rFonts w:cs="Segoe UI"/>
                <w:color w:val="auto"/>
                <w:sz w:val="20"/>
                <w:szCs w:val="18"/>
              </w:rPr>
              <w:fldChar w:fldCharType="begin"/>
            </w:r>
            <w:r w:rsidR="00700B73" w:rsidRPr="00807A04">
              <w:rPr>
                <w:color w:val="auto"/>
                <w:sz w:val="20"/>
                <w:szCs w:val="18"/>
              </w:rPr>
              <w:instrText xml:space="preserve"> XE "advanced therapies" </w:instrText>
            </w:r>
            <w:r w:rsidR="00700B73" w:rsidRPr="00807A04">
              <w:rPr>
                <w:rFonts w:cs="Segoe UI"/>
                <w:color w:val="auto"/>
                <w:sz w:val="20"/>
                <w:szCs w:val="18"/>
              </w:rPr>
              <w:fldChar w:fldCharType="end"/>
            </w:r>
            <w:r w:rsidR="00BB6EC9" w:rsidRPr="00807A04">
              <w:rPr>
                <w:rFonts w:cs="Segoe UI"/>
                <w:color w:val="auto"/>
                <w:sz w:val="20"/>
                <w:szCs w:val="18"/>
              </w:rPr>
              <w:t xml:space="preserve"> (including high cost, HSTs </w:t>
            </w:r>
            <w:r w:rsidR="004A2DF9" w:rsidRPr="00807A04">
              <w:rPr>
                <w:rFonts w:cs="Segoe UI"/>
                <w:color w:val="auto"/>
                <w:sz w:val="20"/>
                <w:szCs w:val="18"/>
              </w:rPr>
              <w:t>funded through</w:t>
            </w:r>
            <w:r w:rsidR="007E1476">
              <w:rPr>
                <w:rFonts w:cs="Segoe UI"/>
                <w:color w:val="auto"/>
                <w:sz w:val="20"/>
                <w:szCs w:val="18"/>
              </w:rPr>
              <w:t xml:space="preserve"> the</w:t>
            </w:r>
            <w:r w:rsidR="004A2DF9" w:rsidRPr="00807A04">
              <w:rPr>
                <w:rFonts w:cs="Segoe UI"/>
                <w:color w:val="auto"/>
                <w:sz w:val="20"/>
                <w:szCs w:val="18"/>
              </w:rPr>
              <w:t xml:space="preserve"> NHRA)</w:t>
            </w:r>
            <w:r w:rsidRPr="00807A04">
              <w:rPr>
                <w:rFonts w:cs="Segoe UI"/>
                <w:color w:val="auto"/>
                <w:sz w:val="20"/>
                <w:szCs w:val="18"/>
              </w:rPr>
              <w:t xml:space="preserve"> and other potentially disruptive technologies</w:t>
            </w:r>
            <w:r w:rsidR="003C5EF4" w:rsidRPr="00807A04">
              <w:rPr>
                <w:rFonts w:eastAsia="Times New Roman" w:cs="Segoe UI"/>
                <w:color w:val="auto"/>
                <w:kern w:val="24"/>
                <w:sz w:val="20"/>
                <w:szCs w:val="18"/>
              </w:rPr>
              <w:t xml:space="preserve"> </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8F6E4C3" w14:textId="6E94777C" w:rsidR="00EB6A17" w:rsidRPr="000F6D22" w:rsidRDefault="00226016" w:rsidP="008C10BB">
            <w:pPr>
              <w:spacing w:after="0"/>
              <w:rPr>
                <w:rFonts w:eastAsia="Times New Roman" w:cs="Segoe UI"/>
                <w:color w:val="222A35"/>
                <w:kern w:val="24"/>
                <w:sz w:val="20"/>
                <w:szCs w:val="20"/>
                <w:lang w:eastAsia="en-AU"/>
              </w:rPr>
            </w:pPr>
            <w:r>
              <w:rPr>
                <w:rFonts w:eastAsia="Times New Roman" w:cs="Segoe UI"/>
                <w:color w:val="222A35"/>
                <w:kern w:val="24"/>
                <w:sz w:val="20"/>
                <w:szCs w:val="20"/>
                <w:lang w:eastAsia="en-AU"/>
              </w:rPr>
              <w:t>Structured horizon scanning</w:t>
            </w:r>
            <w:r w:rsidR="00CF3213">
              <w:rPr>
                <w:rFonts w:eastAsia="Times New Roman" w:cs="Segoe UI"/>
                <w:color w:val="222A35"/>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process</w:t>
            </w:r>
            <w:r w:rsidR="00A93ABF">
              <w:rPr>
                <w:rFonts w:eastAsia="Times New Roman" w:cs="Segoe UI"/>
                <w:color w:val="222A35"/>
                <w:kern w:val="24"/>
                <w:sz w:val="20"/>
                <w:szCs w:val="20"/>
                <w:lang w:eastAsia="en-AU"/>
              </w:rPr>
              <w:t>:</w:t>
            </w:r>
          </w:p>
          <w:p w14:paraId="1986B743" w14:textId="2AF43887" w:rsidR="00D40BF4" w:rsidRPr="006732A5" w:rsidRDefault="00D40BF4" w:rsidP="008505D7">
            <w:pPr>
              <w:pStyle w:val="ListParagraph"/>
              <w:numPr>
                <w:ilvl w:val="0"/>
                <w:numId w:val="118"/>
              </w:numPr>
              <w:rPr>
                <w:rFonts w:eastAsia="Times New Roman" w:cs="Segoe UI"/>
                <w:sz w:val="20"/>
                <w:szCs w:val="20"/>
                <w:lang w:eastAsia="en-AU"/>
              </w:rPr>
            </w:pPr>
            <w:r w:rsidRPr="006732A5">
              <w:rPr>
                <w:rFonts w:eastAsia="Times New Roman" w:cs="Segoe UI"/>
                <w:sz w:val="20"/>
                <w:szCs w:val="20"/>
                <w:lang w:eastAsia="en-AU"/>
              </w:rPr>
              <w:t>Consistent with the NHRA mid-term review recommendation 29: A structured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034374C">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process should be established for HST</w:t>
            </w:r>
            <w:r w:rsidR="00D0068C">
              <w:rPr>
                <w:rFonts w:eastAsia="Times New Roman" w:cs="Segoe UI"/>
                <w:sz w:val="20"/>
                <w:szCs w:val="20"/>
                <w:lang w:eastAsia="en-AU"/>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Fonts w:eastAsia="Times New Roman" w:cs="Segoe UI"/>
                <w:sz w:val="20"/>
                <w:szCs w:val="20"/>
                <w:lang w:eastAsia="en-AU"/>
              </w:rPr>
              <w:fldChar w:fldCharType="end"/>
            </w:r>
            <w:r w:rsidRPr="006732A5">
              <w:rPr>
                <w:rFonts w:eastAsia="Times New Roman" w:cs="Segoe UI"/>
                <w:sz w:val="20"/>
                <w:szCs w:val="20"/>
                <w:lang w:eastAsia="en-AU"/>
              </w:rPr>
              <w:t xml:space="preserve">’s, with involvement of all jurisdictions, and with input from relevant stakeholders, including but not limited to the National Blood Authority, Organ and Tissue Donation Authority, HTA Advisory Committees (currently PBAC and </w:t>
            </w:r>
            <w:r w:rsidR="006A4862">
              <w:rPr>
                <w:rFonts w:eastAsia="Times New Roman" w:cs="Segoe UI"/>
                <w:sz w:val="20"/>
                <w:szCs w:val="20"/>
                <w:lang w:eastAsia="en-AU"/>
              </w:rPr>
              <w:t>the Medical Services Advisory Committee (</w:t>
            </w:r>
            <w:r w:rsidRPr="006732A5">
              <w:rPr>
                <w:rFonts w:eastAsia="Times New Roman" w:cs="Segoe UI"/>
                <w:sz w:val="20"/>
                <w:szCs w:val="20"/>
                <w:lang w:eastAsia="en-AU"/>
              </w:rPr>
              <w:t>MSAC</w:t>
            </w:r>
            <w:r w:rsidR="006A4862">
              <w:rPr>
                <w:rFonts w:eastAsia="Times New Roman" w:cs="Segoe UI"/>
                <w:sz w:val="20"/>
                <w:szCs w:val="20"/>
                <w:lang w:eastAsia="en-AU"/>
              </w:rPr>
              <w:t>)</w:t>
            </w:r>
            <w:r w:rsidRPr="006732A5">
              <w:rPr>
                <w:rFonts w:eastAsia="Times New Roman" w:cs="Segoe UI"/>
                <w:sz w:val="20"/>
                <w:szCs w:val="20"/>
                <w:lang w:eastAsia="en-AU"/>
              </w:rPr>
              <w:t>) to support forward planning and priority setting. (</w:t>
            </w:r>
            <w:proofErr w:type="gramStart"/>
            <w:r w:rsidR="00E30AE9" w:rsidRPr="001B4547">
              <w:rPr>
                <w:rFonts w:eastAsia="Times New Roman" w:cs="Segoe UI"/>
                <w:sz w:val="20"/>
                <w:szCs w:val="20"/>
                <w:lang w:eastAsia="en-AU"/>
              </w:rPr>
              <w:t>see</w:t>
            </w:r>
            <w:proofErr w:type="gramEnd"/>
            <w:r w:rsidR="00A05577" w:rsidRPr="001B4547">
              <w:rPr>
                <w:rFonts w:eastAsia="Times New Roman" w:cs="Segoe UI"/>
                <w:sz w:val="20"/>
                <w:szCs w:val="20"/>
                <w:lang w:eastAsia="en-AU"/>
              </w:rPr>
              <w:t xml:space="preserve"> </w:t>
            </w:r>
            <w:proofErr w:type="spellStart"/>
            <w:r w:rsidR="00FD58E8" w:rsidRPr="00511E73">
              <w:rPr>
                <w:rFonts w:eastAsia="Times New Roman" w:cs="Segoe UI"/>
                <w:color w:val="1D437F" w:themeColor="accent1"/>
                <w:kern w:val="24"/>
                <w:sz w:val="20"/>
                <w:szCs w:val="20"/>
                <w:u w:val="single"/>
                <w:lang w:eastAsia="en-AU"/>
              </w:rPr>
              <w:t>s</w:t>
            </w:r>
            <w:r w:rsidR="00923614" w:rsidRPr="00511E73">
              <w:rPr>
                <w:rFonts w:eastAsia="Times New Roman" w:cs="Segoe UI"/>
                <w:color w:val="1D437F" w:themeColor="accent1"/>
                <w:kern w:val="24"/>
                <w:sz w:val="20"/>
                <w:szCs w:val="20"/>
                <w:u w:val="single"/>
                <w:lang w:eastAsia="en-AU"/>
              </w:rPr>
              <w:fldChar w:fldCharType="begin"/>
            </w:r>
            <w:r w:rsidR="00923614" w:rsidRPr="006732A5">
              <w:rPr>
                <w:rFonts w:eastAsia="Times New Roman" w:cs="Segoe UI"/>
                <w:sz w:val="20"/>
                <w:szCs w:val="20"/>
                <w:lang w:eastAsia="en-AU"/>
              </w:rPr>
              <w:instrText xml:space="preserve"> REF _Ref156855921 \h </w:instrText>
            </w:r>
            <w:r w:rsidR="00D137BD" w:rsidRPr="006732A5">
              <w:rPr>
                <w:rFonts w:eastAsia="Times New Roman" w:cs="Segoe UI"/>
                <w:sz w:val="20"/>
                <w:szCs w:val="20"/>
                <w:lang w:eastAsia="en-AU"/>
              </w:rPr>
              <w:instrText xml:space="preserve"> \* MERGEFORMAT </w:instrText>
            </w:r>
            <w:r w:rsidR="00923614" w:rsidRPr="00511E73">
              <w:rPr>
                <w:rFonts w:eastAsia="Times New Roman" w:cs="Segoe UI"/>
                <w:color w:val="1D437F" w:themeColor="accent1"/>
                <w:kern w:val="24"/>
                <w:sz w:val="20"/>
                <w:szCs w:val="20"/>
                <w:u w:val="single"/>
                <w:lang w:eastAsia="en-AU"/>
              </w:rPr>
            </w:r>
            <w:r w:rsidR="00923614" w:rsidRPr="00511E73">
              <w:rPr>
                <w:rFonts w:eastAsia="Times New Roman" w:cs="Segoe UI"/>
                <w:color w:val="1D437F" w:themeColor="accent1"/>
                <w:kern w:val="24"/>
                <w:sz w:val="20"/>
                <w:szCs w:val="20"/>
                <w:u w:val="single"/>
                <w:lang w:eastAsia="en-AU"/>
              </w:rPr>
              <w:fldChar w:fldCharType="separate"/>
            </w:r>
            <w:r w:rsidR="00474ED6" w:rsidRPr="00474ED6">
              <w:rPr>
                <w:rFonts w:eastAsia="Times New Roman" w:cs="Segoe UI"/>
                <w:color w:val="1D437F" w:themeColor="accent1"/>
                <w:kern w:val="24"/>
                <w:sz w:val="20"/>
                <w:szCs w:val="20"/>
                <w:u w:val="single"/>
                <w:lang w:eastAsia="en-AU"/>
              </w:rPr>
              <w:t>State</w:t>
            </w:r>
            <w:proofErr w:type="spellEnd"/>
            <w:r w:rsidR="00474ED6" w:rsidRPr="00474ED6">
              <w:rPr>
                <w:rFonts w:eastAsia="Times New Roman" w:cs="Segoe UI"/>
                <w:color w:val="1D437F" w:themeColor="accent1"/>
                <w:kern w:val="24"/>
                <w:sz w:val="20"/>
                <w:szCs w:val="20"/>
                <w:u w:val="single"/>
                <w:lang w:eastAsia="en-AU"/>
              </w:rPr>
              <w:t xml:space="preserve"> and territory government collaboration</w:t>
            </w:r>
            <w:r w:rsidR="00474ED6" w:rsidRPr="00474ED6">
              <w:rPr>
                <w:rFonts w:eastAsia="Times New Roman" w:cs="Segoe UI"/>
                <w:color w:val="1D437F" w:themeColor="accent1"/>
                <w:kern w:val="24"/>
                <w:sz w:val="20"/>
                <w:szCs w:val="20"/>
                <w:u w:val="single"/>
                <w:lang w:eastAsia="en-AU"/>
              </w:rPr>
              <w:fldChar w:fldCharType="begin"/>
            </w:r>
            <w:r w:rsidR="00474ED6">
              <w:instrText xml:space="preserve"> XE "</w:instrText>
            </w:r>
            <w:r w:rsidR="00474ED6" w:rsidRPr="004A2916">
              <w:instrText>collaboration</w:instrText>
            </w:r>
            <w:r w:rsidR="00474ED6">
              <w:instrText xml:space="preserve">" </w:instrText>
            </w:r>
            <w:r w:rsidR="00474ED6" w:rsidRPr="00474ED6">
              <w:rPr>
                <w:rFonts w:eastAsia="Times New Roman" w:cs="Segoe UI"/>
                <w:color w:val="1D437F" w:themeColor="accent1"/>
                <w:kern w:val="24"/>
                <w:sz w:val="20"/>
                <w:szCs w:val="20"/>
                <w:u w:val="single"/>
                <w:lang w:eastAsia="en-AU"/>
              </w:rPr>
              <w:fldChar w:fldCharType="end"/>
            </w:r>
            <w:r w:rsidR="00474ED6" w:rsidRPr="00474ED6">
              <w:rPr>
                <w:rFonts w:eastAsia="Times New Roman" w:cs="Segoe UI"/>
                <w:color w:val="1D437F" w:themeColor="accent1"/>
                <w:kern w:val="24"/>
                <w:sz w:val="20"/>
                <w:szCs w:val="20"/>
                <w:u w:val="single"/>
                <w:lang w:eastAsia="en-AU"/>
              </w:rPr>
              <w:t xml:space="preserve"> in HTA</w:t>
            </w:r>
            <w:r w:rsidR="00474ED6" w:rsidRPr="00474ED6">
              <w:rPr>
                <w:rFonts w:eastAsia="Times New Roman" w:cs="Segoe UI"/>
                <w:kern w:val="24"/>
                <w:sz w:val="20"/>
                <w:szCs w:val="20"/>
                <w:lang w:eastAsia="en-AU"/>
              </w:rPr>
              <w:t xml:space="preserve"> </w:t>
            </w:r>
            <w:r w:rsidR="00923614" w:rsidRPr="00511E73">
              <w:rPr>
                <w:rFonts w:eastAsia="Times New Roman" w:cs="Segoe UI"/>
                <w:color w:val="1D437F" w:themeColor="accent1"/>
                <w:kern w:val="24"/>
                <w:sz w:val="20"/>
                <w:szCs w:val="20"/>
                <w:u w:val="single"/>
                <w:lang w:eastAsia="en-AU"/>
              </w:rPr>
              <w:fldChar w:fldCharType="end"/>
            </w:r>
          </w:p>
          <w:p w14:paraId="42B2D9B7" w14:textId="1D15F3CA" w:rsidR="00EB6A17" w:rsidRPr="006732A5" w:rsidRDefault="00EB6A17" w:rsidP="008505D7">
            <w:pPr>
              <w:pStyle w:val="ListParagraph"/>
              <w:numPr>
                <w:ilvl w:val="0"/>
                <w:numId w:val="118"/>
              </w:numPr>
              <w:rPr>
                <w:rFonts w:eastAsia="Times New Roman" w:cs="Segoe UI"/>
                <w:sz w:val="20"/>
                <w:szCs w:val="20"/>
                <w:lang w:eastAsia="en-AU"/>
              </w:rPr>
            </w:pPr>
            <w:r w:rsidRPr="006732A5">
              <w:rPr>
                <w:rFonts w:eastAsia="Times New Roman" w:cs="Segoe UI"/>
                <w:sz w:val="20"/>
                <w:szCs w:val="20"/>
                <w:lang w:eastAsia="en-AU"/>
              </w:rPr>
              <w:t xml:space="preserve">This should be done </w:t>
            </w:r>
            <w:r w:rsidR="007D4F67" w:rsidRPr="006732A5">
              <w:rPr>
                <w:rFonts w:eastAsia="Times New Roman" w:cs="Segoe UI"/>
                <w:sz w:val="20"/>
                <w:szCs w:val="20"/>
                <w:lang w:eastAsia="en-AU"/>
              </w:rPr>
              <w:t xml:space="preserve">in partnership </w:t>
            </w:r>
            <w:r w:rsidR="002C670C" w:rsidRPr="006732A5">
              <w:rPr>
                <w:rFonts w:eastAsia="Times New Roman" w:cs="Segoe UI"/>
                <w:sz w:val="20"/>
                <w:szCs w:val="20"/>
                <w:lang w:eastAsia="en-AU"/>
              </w:rPr>
              <w:t>including Commonwealth</w:t>
            </w:r>
            <w:r w:rsidR="00706E91" w:rsidRPr="006732A5">
              <w:rPr>
                <w:rFonts w:eastAsia="Times New Roman" w:cs="Segoe UI"/>
                <w:sz w:val="20"/>
                <w:szCs w:val="20"/>
                <w:lang w:eastAsia="en-AU"/>
              </w:rPr>
              <w:t xml:space="preserve">, </w:t>
            </w:r>
            <w:proofErr w:type="gramStart"/>
            <w:r w:rsidR="00B3692A" w:rsidRPr="006732A5">
              <w:rPr>
                <w:rFonts w:eastAsia="Times New Roman" w:cs="Segoe UI"/>
                <w:sz w:val="20"/>
                <w:szCs w:val="20"/>
                <w:lang w:eastAsia="en-AU"/>
              </w:rPr>
              <w:t>s</w:t>
            </w:r>
            <w:r w:rsidR="00706E91" w:rsidRPr="006732A5">
              <w:rPr>
                <w:rFonts w:eastAsia="Times New Roman" w:cs="Segoe UI"/>
                <w:sz w:val="20"/>
                <w:szCs w:val="20"/>
                <w:lang w:eastAsia="en-AU"/>
              </w:rPr>
              <w:t>tate</w:t>
            </w:r>
            <w:proofErr w:type="gramEnd"/>
            <w:r w:rsidR="00706E91" w:rsidRPr="006732A5">
              <w:rPr>
                <w:rFonts w:eastAsia="Times New Roman" w:cs="Segoe UI"/>
                <w:sz w:val="20"/>
                <w:szCs w:val="20"/>
                <w:lang w:eastAsia="en-AU"/>
              </w:rPr>
              <w:t xml:space="preserve"> and </w:t>
            </w:r>
            <w:r w:rsidR="00B3692A" w:rsidRPr="006732A5">
              <w:rPr>
                <w:rFonts w:eastAsia="Times New Roman" w:cs="Segoe UI"/>
                <w:sz w:val="20"/>
                <w:szCs w:val="20"/>
                <w:lang w:eastAsia="en-AU"/>
              </w:rPr>
              <w:t>t</w:t>
            </w:r>
            <w:r w:rsidR="00706E91" w:rsidRPr="006732A5">
              <w:rPr>
                <w:rFonts w:eastAsia="Times New Roman" w:cs="Segoe UI"/>
                <w:sz w:val="20"/>
                <w:szCs w:val="20"/>
                <w:lang w:eastAsia="en-AU"/>
              </w:rPr>
              <w:t xml:space="preserve">erritory </w:t>
            </w:r>
            <w:r w:rsidR="00B3692A" w:rsidRPr="006732A5">
              <w:rPr>
                <w:rFonts w:eastAsia="Times New Roman" w:cs="Segoe UI"/>
                <w:sz w:val="20"/>
                <w:szCs w:val="20"/>
                <w:lang w:eastAsia="en-AU"/>
              </w:rPr>
              <w:t>g</w:t>
            </w:r>
            <w:r w:rsidR="00706E91" w:rsidRPr="006732A5">
              <w:rPr>
                <w:rFonts w:eastAsia="Times New Roman" w:cs="Segoe UI"/>
                <w:sz w:val="20"/>
                <w:szCs w:val="20"/>
                <w:lang w:eastAsia="en-AU"/>
              </w:rPr>
              <w:t>overnments</w:t>
            </w:r>
            <w:r w:rsidR="00FC6010" w:rsidRPr="006732A5">
              <w:rPr>
                <w:rFonts w:eastAsia="Times New Roman" w:cs="Segoe UI"/>
                <w:sz w:val="20"/>
                <w:szCs w:val="20"/>
                <w:lang w:eastAsia="en-AU"/>
              </w:rPr>
              <w:fldChar w:fldCharType="begin"/>
            </w:r>
            <w:r w:rsidR="00FC6010" w:rsidRPr="006732A5">
              <w:rPr>
                <w:rFonts w:eastAsia="Times New Roman" w:cs="Segoe UI"/>
                <w:sz w:val="20"/>
                <w:szCs w:val="20"/>
                <w:lang w:eastAsia="en-AU"/>
              </w:rPr>
              <w:instrText xml:space="preserve"> XE "state and territory governments" \b </w:instrText>
            </w:r>
            <w:r w:rsidR="00FC6010" w:rsidRPr="006732A5">
              <w:rPr>
                <w:rFonts w:eastAsia="Times New Roman" w:cs="Segoe UI"/>
                <w:sz w:val="20"/>
                <w:szCs w:val="20"/>
                <w:lang w:eastAsia="en-AU"/>
              </w:rPr>
              <w:fldChar w:fldCharType="end"/>
            </w:r>
            <w:r w:rsidR="00706E91" w:rsidRPr="006732A5">
              <w:rPr>
                <w:rFonts w:eastAsia="Times New Roman" w:cs="Segoe UI"/>
                <w:sz w:val="20"/>
                <w:szCs w:val="20"/>
                <w:lang w:eastAsia="en-AU"/>
              </w:rPr>
              <w:t xml:space="preserve">, and industry and </w:t>
            </w:r>
            <w:r w:rsidRPr="006732A5">
              <w:rPr>
                <w:rFonts w:eastAsia="Times New Roman" w:cs="Segoe UI"/>
                <w:sz w:val="20"/>
                <w:szCs w:val="20"/>
                <w:lang w:eastAsia="en-AU"/>
              </w:rPr>
              <w:t>on a cost</w:t>
            </w:r>
            <w:r w:rsidR="00482378">
              <w:rPr>
                <w:rFonts w:eastAsia="Times New Roman" w:cs="Segoe UI"/>
                <w:sz w:val="20"/>
                <w:szCs w:val="20"/>
                <w:lang w:eastAsia="en-AU"/>
              </w:rPr>
              <w:t>-</w:t>
            </w:r>
            <w:r w:rsidRPr="006732A5">
              <w:rPr>
                <w:rFonts w:eastAsia="Times New Roman" w:cs="Segoe UI"/>
                <w:sz w:val="20"/>
                <w:szCs w:val="20"/>
                <w:lang w:eastAsia="en-AU"/>
              </w:rPr>
              <w:t xml:space="preserve">sharing basis between the partners (with consideration </w:t>
            </w:r>
            <w:r w:rsidR="005C43B6" w:rsidRPr="006732A5">
              <w:rPr>
                <w:rFonts w:eastAsia="Times New Roman" w:cs="Segoe UI"/>
                <w:sz w:val="20"/>
                <w:szCs w:val="20"/>
                <w:lang w:eastAsia="en-AU"/>
              </w:rPr>
              <w:t xml:space="preserve">and consultation </w:t>
            </w:r>
            <w:r w:rsidRPr="006732A5">
              <w:rPr>
                <w:rFonts w:eastAsia="Times New Roman" w:cs="Segoe UI"/>
                <w:sz w:val="20"/>
                <w:szCs w:val="20"/>
                <w:lang w:eastAsia="en-AU"/>
              </w:rPr>
              <w:t xml:space="preserve">to what joint investment from industry </w:t>
            </w:r>
            <w:r w:rsidR="005C43B6" w:rsidRPr="006732A5">
              <w:rPr>
                <w:rFonts w:eastAsia="Times New Roman" w:cs="Segoe UI"/>
                <w:sz w:val="20"/>
                <w:szCs w:val="20"/>
                <w:lang w:eastAsia="en-AU"/>
              </w:rPr>
              <w:t>c</w:t>
            </w:r>
            <w:r w:rsidRPr="006732A5">
              <w:rPr>
                <w:rFonts w:eastAsia="Times New Roman" w:cs="Segoe UI"/>
                <w:sz w:val="20"/>
                <w:szCs w:val="20"/>
                <w:lang w:eastAsia="en-AU"/>
              </w:rPr>
              <w:t>ould look like)</w:t>
            </w:r>
          </w:p>
          <w:p w14:paraId="62572941" w14:textId="12AA9F4D" w:rsidR="00EB6A17" w:rsidRPr="006732A5" w:rsidRDefault="00EB6A17" w:rsidP="008505D7">
            <w:pPr>
              <w:pStyle w:val="ListParagraph"/>
              <w:numPr>
                <w:ilvl w:val="0"/>
                <w:numId w:val="118"/>
              </w:numPr>
              <w:rPr>
                <w:rFonts w:eastAsia="Times New Roman" w:cs="Segoe UI"/>
                <w:sz w:val="20"/>
                <w:szCs w:val="20"/>
                <w:lang w:eastAsia="en-AU"/>
              </w:rPr>
            </w:pPr>
            <w:r w:rsidRPr="006732A5">
              <w:rPr>
                <w:rFonts w:eastAsia="Times New Roman" w:cs="Segoe UI"/>
                <w:sz w:val="20"/>
                <w:szCs w:val="20"/>
                <w:lang w:eastAsia="en-AU"/>
              </w:rPr>
              <w:t>The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337427D">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program should establish and seek agreement on what the purpose and objectives of the </w:t>
            </w:r>
            <w:r w:rsidR="2F5DB8ED" w:rsidRPr="006732A5">
              <w:rPr>
                <w:rFonts w:eastAsia="Times New Roman" w:cs="Segoe UI"/>
                <w:sz w:val="20"/>
                <w:szCs w:val="20"/>
                <w:lang w:eastAsia="en-AU"/>
              </w:rPr>
              <w:t xml:space="preserve">horizon scanning </w:t>
            </w:r>
            <w:r w:rsidRPr="006732A5">
              <w:rPr>
                <w:rFonts w:eastAsia="Times New Roman" w:cs="Segoe UI"/>
                <w:sz w:val="20"/>
                <w:szCs w:val="20"/>
                <w:lang w:eastAsia="en-AU"/>
              </w:rPr>
              <w:t xml:space="preserve">process is (what is the research question?), </w:t>
            </w:r>
            <w:r w:rsidR="000D3634">
              <w:rPr>
                <w:rFonts w:eastAsia="Times New Roman" w:cs="Segoe UI"/>
                <w:sz w:val="20"/>
                <w:szCs w:val="20"/>
                <w:lang w:eastAsia="en-AU"/>
              </w:rPr>
              <w:t>h</w:t>
            </w:r>
            <w:r w:rsidRPr="006732A5">
              <w:rPr>
                <w:rFonts w:eastAsia="Times New Roman" w:cs="Segoe UI"/>
                <w:sz w:val="20"/>
                <w:szCs w:val="20"/>
                <w:lang w:eastAsia="en-AU"/>
              </w:rPr>
              <w:t>ow the information will be used/translated into action? (</w:t>
            </w:r>
            <w:proofErr w:type="gramStart"/>
            <w:r w:rsidRPr="006732A5">
              <w:rPr>
                <w:rFonts w:eastAsia="Times New Roman" w:cs="Segoe UI"/>
                <w:sz w:val="20"/>
                <w:szCs w:val="20"/>
                <w:lang w:eastAsia="en-AU"/>
              </w:rPr>
              <w:t>including</w:t>
            </w:r>
            <w:proofErr w:type="gramEnd"/>
            <w:r w:rsidRPr="006732A5">
              <w:rPr>
                <w:rFonts w:eastAsia="Times New Roman" w:cs="Segoe UI"/>
                <w:sz w:val="20"/>
                <w:szCs w:val="20"/>
                <w:lang w:eastAsia="en-AU"/>
              </w:rPr>
              <w:t xml:space="preserve"> explicit scope, audience, purpose, process/methods and outcomes/outputs</w:t>
            </w:r>
            <w:r w:rsidR="00C36B34" w:rsidRPr="006732A5">
              <w:rPr>
                <w:rFonts w:eastAsia="Times New Roman" w:cs="Segoe UI"/>
                <w:sz w:val="20"/>
                <w:szCs w:val="20"/>
                <w:lang w:eastAsia="en-AU"/>
              </w:rPr>
              <w:t>).</w:t>
            </w:r>
            <w:r w:rsidRPr="006732A5">
              <w:rPr>
                <w:rFonts w:eastAsia="Times New Roman" w:cs="Segoe UI"/>
                <w:sz w:val="20"/>
                <w:szCs w:val="20"/>
                <w:lang w:eastAsia="en-AU"/>
              </w:rPr>
              <w:t xml:space="preserve"> </w:t>
            </w:r>
          </w:p>
          <w:p w14:paraId="44D69268" w14:textId="1F8D2D6B" w:rsidR="00EB6A17" w:rsidRPr="006732A5" w:rsidRDefault="00EB6A17" w:rsidP="008505D7">
            <w:pPr>
              <w:pStyle w:val="ListParagraph"/>
              <w:numPr>
                <w:ilvl w:val="0"/>
                <w:numId w:val="118"/>
              </w:numPr>
              <w:rPr>
                <w:rFonts w:eastAsia="Times New Roman" w:cs="Segoe UI"/>
                <w:sz w:val="20"/>
                <w:szCs w:val="20"/>
                <w:lang w:eastAsia="en-AU"/>
              </w:rPr>
            </w:pPr>
            <w:r w:rsidRPr="006732A5">
              <w:rPr>
                <w:rFonts w:eastAsia="Times New Roman" w:cs="Segoe UI"/>
                <w:sz w:val="20"/>
                <w:szCs w:val="20"/>
                <w:lang w:eastAsia="en-AU"/>
              </w:rPr>
              <w:t>The developed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337427D">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should be tied to actions required to be undertaken by the partners to prepare for the funding and successful implementation of the identified health technology. </w:t>
            </w:r>
          </w:p>
          <w:p w14:paraId="76BB79EB" w14:textId="52330E7B" w:rsidR="00EB6A17" w:rsidRPr="006732A5" w:rsidRDefault="00EB6A17" w:rsidP="008505D7">
            <w:pPr>
              <w:pStyle w:val="ListParagraph"/>
              <w:numPr>
                <w:ilvl w:val="0"/>
                <w:numId w:val="118"/>
              </w:numPr>
              <w:rPr>
                <w:rFonts w:eastAsia="Times New Roman" w:cs="Segoe UI"/>
                <w:sz w:val="20"/>
                <w:szCs w:val="20"/>
                <w:lang w:eastAsia="en-AU"/>
              </w:rPr>
            </w:pPr>
            <w:r w:rsidRPr="006732A5">
              <w:rPr>
                <w:rFonts w:eastAsia="Times New Roman" w:cs="Segoe UI"/>
                <w:sz w:val="20"/>
                <w:szCs w:val="20"/>
                <w:lang w:eastAsia="en-AU"/>
              </w:rPr>
              <w:t>A method to measure and evaluate the success of the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337427D">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program, its </w:t>
            </w:r>
            <w:proofErr w:type="gramStart"/>
            <w:r w:rsidRPr="006732A5">
              <w:rPr>
                <w:rFonts w:eastAsia="Times New Roman" w:cs="Segoe UI"/>
                <w:sz w:val="20"/>
                <w:szCs w:val="20"/>
                <w:lang w:eastAsia="en-AU"/>
              </w:rPr>
              <w:t>outputs</w:t>
            </w:r>
            <w:proofErr w:type="gramEnd"/>
            <w:r w:rsidRPr="006732A5">
              <w:rPr>
                <w:rFonts w:eastAsia="Times New Roman" w:cs="Segoe UI"/>
                <w:sz w:val="20"/>
                <w:szCs w:val="20"/>
                <w:lang w:eastAsia="en-AU"/>
              </w:rPr>
              <w:t xml:space="preserve"> and impacts</w:t>
            </w:r>
            <w:r w:rsidR="000D3634">
              <w:rPr>
                <w:rFonts w:eastAsia="Times New Roman" w:cs="Segoe UI"/>
                <w:sz w:val="20"/>
                <w:szCs w:val="20"/>
                <w:lang w:eastAsia="en-AU"/>
              </w:rPr>
              <w:t>,</w:t>
            </w:r>
            <w:r w:rsidRPr="006732A5">
              <w:rPr>
                <w:rFonts w:eastAsia="Times New Roman" w:cs="Segoe UI"/>
                <w:sz w:val="20"/>
                <w:szCs w:val="20"/>
                <w:lang w:eastAsia="en-AU"/>
              </w:rPr>
              <w:t xml:space="preserve"> should be developed</w:t>
            </w:r>
            <w:r w:rsidR="00EB4CC2" w:rsidRPr="006732A5">
              <w:rPr>
                <w:rFonts w:eastAsia="Times New Roman" w:cs="Segoe UI"/>
                <w:sz w:val="20"/>
                <w:szCs w:val="20"/>
                <w:lang w:eastAsia="en-AU"/>
              </w:rPr>
              <w:t>,</w:t>
            </w:r>
            <w:r w:rsidRPr="006732A5">
              <w:rPr>
                <w:rFonts w:eastAsia="Times New Roman" w:cs="Segoe UI"/>
                <w:sz w:val="20"/>
                <w:szCs w:val="20"/>
                <w:lang w:eastAsia="en-AU"/>
              </w:rPr>
              <w:t xml:space="preserve"> and the program be regularly reviewed and updated accordingly</w:t>
            </w:r>
            <w:r w:rsidR="006262A4">
              <w:rPr>
                <w:rFonts w:eastAsia="Times New Roman" w:cs="Segoe UI"/>
                <w:sz w:val="20"/>
                <w:szCs w:val="20"/>
                <w:lang w:eastAsia="en-AU"/>
              </w:rPr>
              <w:t>.</w:t>
            </w:r>
          </w:p>
          <w:p w14:paraId="5D1A164A" w14:textId="118A1A6F" w:rsidR="00EB6A17" w:rsidRPr="000F551A" w:rsidRDefault="00EB6A17" w:rsidP="008C10BB">
            <w:pPr>
              <w:spacing w:after="0"/>
              <w:rPr>
                <w:rFonts w:eastAsia="Times New Roman" w:cs="Segoe UI"/>
                <w:color w:val="222A35"/>
                <w:kern w:val="24"/>
                <w:sz w:val="20"/>
                <w:szCs w:val="20"/>
                <w:lang w:eastAsia="en-AU"/>
              </w:rPr>
            </w:pPr>
            <w:r w:rsidRPr="000F551A">
              <w:rPr>
                <w:rFonts w:eastAsia="Times New Roman" w:cs="Segoe UI"/>
                <w:color w:val="222A35"/>
                <w:kern w:val="24"/>
                <w:sz w:val="20"/>
                <w:szCs w:val="20"/>
                <w:lang w:eastAsia="en-AU"/>
              </w:rPr>
              <w:t>Continue to progress multi-agency, international collaboration</w:t>
            </w:r>
            <w:r w:rsidR="000732FF">
              <w:rPr>
                <w:rFonts w:eastAsia="Times New Roman" w:cs="Segoe UI"/>
                <w:color w:val="222A35"/>
                <w:kern w:val="24"/>
                <w:sz w:val="20"/>
                <w:szCs w:val="20"/>
                <w:lang w:eastAsia="en-AU"/>
              </w:rPr>
              <w:fldChar w:fldCharType="begin"/>
            </w:r>
            <w:r w:rsidR="000732FF">
              <w:instrText xml:space="preserve"> XE "</w:instrText>
            </w:r>
            <w:r w:rsidR="000732FF" w:rsidRPr="00DD1576">
              <w:rPr>
                <w:rFonts w:eastAsia="Times New Roman" w:cs="Segoe UI"/>
                <w:color w:val="222A35"/>
                <w:kern w:val="24"/>
                <w:sz w:val="20"/>
                <w:szCs w:val="20"/>
                <w:lang w:eastAsia="en-AU"/>
              </w:rPr>
              <w:instrText>international collaboration</w:instrText>
            </w:r>
            <w:r w:rsidR="000732FF">
              <w:instrText xml:space="preserve">" \b </w:instrText>
            </w:r>
            <w:r w:rsidR="000732FF">
              <w:rPr>
                <w:rFonts w:eastAsia="Times New Roman" w:cs="Segoe UI"/>
                <w:color w:val="222A35"/>
                <w:kern w:val="24"/>
                <w:sz w:val="20"/>
                <w:szCs w:val="20"/>
                <w:lang w:eastAsia="en-AU"/>
              </w:rPr>
              <w:fldChar w:fldCharType="end"/>
            </w:r>
            <w:r w:rsidRPr="000F551A">
              <w:rPr>
                <w:rFonts w:eastAsia="Times New Roman" w:cs="Segoe UI"/>
                <w:color w:val="222A35"/>
                <w:kern w:val="24"/>
                <w:sz w:val="20"/>
                <w:szCs w:val="20"/>
                <w:lang w:eastAsia="en-AU"/>
              </w:rPr>
              <w:t xml:space="preserve"> around horizon scanning</w:t>
            </w:r>
            <w:r w:rsidR="00CF3213">
              <w:rPr>
                <w:rFonts w:eastAsia="Times New Roman" w:cs="Segoe UI"/>
                <w:color w:val="222A35"/>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sz w:val="20"/>
                <w:szCs w:val="20"/>
                <w:lang w:eastAsia="en-AU"/>
              </w:rPr>
              <w:fldChar w:fldCharType="end"/>
            </w:r>
            <w:r w:rsidR="005A188C">
              <w:rPr>
                <w:rFonts w:eastAsia="Times New Roman" w:cs="Segoe UI"/>
                <w:color w:val="222A35"/>
                <w:kern w:val="24"/>
                <w:sz w:val="20"/>
                <w:szCs w:val="20"/>
                <w:lang w:eastAsia="en-AU"/>
              </w:rPr>
              <w:t>:</w:t>
            </w:r>
          </w:p>
          <w:p w14:paraId="70C002C8" w14:textId="77777777" w:rsidR="00B967BF" w:rsidRDefault="00B967BF" w:rsidP="008C10BB">
            <w:pPr>
              <w:spacing w:after="0"/>
              <w:rPr>
                <w:rFonts w:eastAsia="Times New Roman" w:cs="Segoe UI"/>
                <w:color w:val="222A35"/>
                <w:kern w:val="24"/>
                <w:sz w:val="20"/>
                <w:szCs w:val="20"/>
                <w:lang w:eastAsia="en-AU"/>
              </w:rPr>
            </w:pPr>
          </w:p>
          <w:p w14:paraId="5701D2A9" w14:textId="43CD092D" w:rsidR="00EB6A17" w:rsidRPr="007D40BB" w:rsidRDefault="00EB6A17" w:rsidP="008C10BB">
            <w:pPr>
              <w:spacing w:after="0"/>
              <w:rPr>
                <w:rFonts w:eastAsia="Times New Roman" w:cs="Segoe UI"/>
                <w:color w:val="222A35"/>
                <w:kern w:val="24"/>
                <w:sz w:val="20"/>
                <w:szCs w:val="20"/>
                <w:lang w:eastAsia="en-AU"/>
              </w:rPr>
            </w:pPr>
            <w:r w:rsidRPr="007D40BB">
              <w:rPr>
                <w:rFonts w:eastAsia="Times New Roman" w:cs="Segoe UI"/>
                <w:color w:val="222A35"/>
                <w:kern w:val="24"/>
                <w:sz w:val="20"/>
                <w:szCs w:val="20"/>
                <w:lang w:eastAsia="en-AU"/>
              </w:rPr>
              <w:t>Noting the international collaboration</w:t>
            </w:r>
            <w:r w:rsidR="000732FF">
              <w:rPr>
                <w:rFonts w:eastAsia="Times New Roman" w:cs="Segoe UI"/>
                <w:color w:val="222A35"/>
                <w:kern w:val="24"/>
                <w:sz w:val="20"/>
                <w:szCs w:val="20"/>
                <w:lang w:eastAsia="en-AU"/>
              </w:rPr>
              <w:fldChar w:fldCharType="begin"/>
            </w:r>
            <w:r w:rsidR="000732FF">
              <w:instrText xml:space="preserve"> XE "</w:instrText>
            </w:r>
            <w:r w:rsidR="000732FF" w:rsidRPr="00DD1576">
              <w:rPr>
                <w:rFonts w:eastAsia="Times New Roman" w:cs="Segoe UI"/>
                <w:color w:val="222A35"/>
                <w:kern w:val="24"/>
                <w:sz w:val="20"/>
                <w:szCs w:val="20"/>
                <w:lang w:eastAsia="en-AU"/>
              </w:rPr>
              <w:instrText>international collaboration</w:instrText>
            </w:r>
            <w:r w:rsidR="000732FF">
              <w:instrText xml:space="preserve">" \b </w:instrText>
            </w:r>
            <w:r w:rsidR="000732FF">
              <w:rPr>
                <w:rFonts w:eastAsia="Times New Roman" w:cs="Segoe UI"/>
                <w:color w:val="222A35"/>
                <w:kern w:val="24"/>
                <w:sz w:val="20"/>
                <w:szCs w:val="20"/>
                <w:lang w:eastAsia="en-AU"/>
              </w:rPr>
              <w:fldChar w:fldCharType="end"/>
            </w:r>
            <w:r w:rsidRPr="007D40BB">
              <w:rPr>
                <w:rFonts w:eastAsia="Times New Roman" w:cs="Segoe UI"/>
                <w:color w:val="222A35"/>
                <w:kern w:val="24"/>
                <w:sz w:val="20"/>
                <w:szCs w:val="20"/>
                <w:lang w:eastAsia="en-AU"/>
              </w:rPr>
              <w:t xml:space="preserve"> efforts the Department is already progressing, investigate if/where the information available through international collaboration</w:t>
            </w:r>
            <w:r w:rsidR="00306661">
              <w:rPr>
                <w:rFonts w:eastAsia="Times New Roman" w:cs="Segoe UI"/>
                <w:color w:val="222A35"/>
                <w:kern w:val="24"/>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sz w:val="20"/>
                <w:szCs w:val="20"/>
                <w:lang w:eastAsia="en-AU"/>
              </w:rPr>
              <w:fldChar w:fldCharType="end"/>
            </w:r>
            <w:r w:rsidRPr="007D40BB">
              <w:rPr>
                <w:rFonts w:eastAsia="Times New Roman" w:cs="Segoe UI"/>
                <w:color w:val="222A35"/>
                <w:kern w:val="24"/>
                <w:sz w:val="20"/>
                <w:szCs w:val="20"/>
                <w:lang w:eastAsia="en-AU"/>
              </w:rPr>
              <w:t xml:space="preserve"> on horizon scanning</w:t>
            </w:r>
            <w:r w:rsidR="00CF3213">
              <w:rPr>
                <w:rFonts w:eastAsia="Times New Roman" w:cs="Segoe UI"/>
                <w:color w:val="222A35"/>
                <w:kern w:val="24"/>
                <w:sz w:val="20"/>
                <w:szCs w:val="20"/>
                <w:lang w:eastAsia="en-AU"/>
              </w:rPr>
              <w:fldChar w:fldCharType="begin"/>
            </w:r>
            <w:r w:rsidR="00CF3213">
              <w:instrText xml:space="preserve"> XE "</w:instrText>
            </w:r>
            <w:r w:rsidR="00CF3213" w:rsidRPr="00CF3213">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sz w:val="20"/>
                <w:szCs w:val="20"/>
                <w:lang w:eastAsia="en-AU"/>
              </w:rPr>
              <w:fldChar w:fldCharType="end"/>
            </w:r>
            <w:r w:rsidRPr="007D40BB">
              <w:rPr>
                <w:rFonts w:eastAsia="Times New Roman" w:cs="Segoe UI"/>
                <w:color w:val="222A35"/>
                <w:kern w:val="24"/>
                <w:sz w:val="20"/>
                <w:szCs w:val="20"/>
                <w:lang w:eastAsia="en-AU"/>
              </w:rPr>
              <w:t xml:space="preserve"> would meet the informational needs (or part there-of) for the purposes of the above.</w:t>
            </w:r>
          </w:p>
        </w:tc>
      </w:tr>
      <w:tr w:rsidR="007F78E2" w:rsidRPr="006647C5" w14:paraId="5126E29D" w14:textId="77777777" w:rsidTr="00534579">
        <w:trPr>
          <w:trHeight w:val="775"/>
        </w:trPr>
        <w:tc>
          <w:tcPr>
            <w:tcW w:w="1055" w:type="dxa"/>
            <w:tcBorders>
              <w:top w:val="single" w:sz="4" w:space="0" w:color="E7E6E6" w:themeColor="background2"/>
            </w:tcBorders>
            <w:shd w:val="clear" w:color="auto" w:fill="FFFFFF" w:themeFill="background1"/>
            <w:tcMar>
              <w:top w:w="72" w:type="dxa"/>
              <w:left w:w="144" w:type="dxa"/>
              <w:bottom w:w="72" w:type="dxa"/>
              <w:right w:w="144" w:type="dxa"/>
            </w:tcMar>
          </w:tcPr>
          <w:p w14:paraId="6240F7BD" w14:textId="6AE3C299" w:rsidR="003C5EF4" w:rsidRPr="000F6D22" w:rsidRDefault="003C5EF4" w:rsidP="008C10BB">
            <w:pPr>
              <w:pStyle w:val="ListParagraph"/>
              <w:spacing w:before="240" w:after="0"/>
              <w:ind w:left="421"/>
              <w:rPr>
                <w:rFonts w:eastAsia="Times New Roman" w:cs="Segoe UI"/>
                <w:color w:val="222A35"/>
                <w:kern w:val="24"/>
                <w:sz w:val="20"/>
                <w:szCs w:val="20"/>
                <w:lang w:eastAsia="en-AU"/>
              </w:rPr>
            </w:pPr>
          </w:p>
        </w:tc>
        <w:tc>
          <w:tcPr>
            <w:tcW w:w="1901" w:type="dxa"/>
            <w:gridSpan w:val="2"/>
            <w:tcBorders>
              <w:top w:val="single" w:sz="4" w:space="0" w:color="E7E6E6" w:themeColor="background2"/>
            </w:tcBorders>
            <w:shd w:val="clear" w:color="auto" w:fill="FFFFFF" w:themeFill="background1"/>
          </w:tcPr>
          <w:p w14:paraId="14BC49F1" w14:textId="75755892" w:rsidR="008A5286" w:rsidRPr="00807A04" w:rsidRDefault="008A5286" w:rsidP="006732A5">
            <w:pPr>
              <w:pStyle w:val="Heading6"/>
              <w:rPr>
                <w:rFonts w:cs="Segoe UI"/>
                <w:color w:val="auto"/>
                <w:sz w:val="20"/>
                <w:szCs w:val="18"/>
              </w:rPr>
            </w:pPr>
            <w:r w:rsidRPr="00807A04">
              <w:rPr>
                <w:rFonts w:cs="Segoe UI"/>
                <w:color w:val="auto"/>
                <w:sz w:val="20"/>
                <w:szCs w:val="18"/>
              </w:rPr>
              <w:t>Horizon Scanning to meet priority areas (including addressing equity</w:t>
            </w:r>
            <w:r w:rsidR="00A67FBB" w:rsidRPr="00807A04">
              <w:rPr>
                <w:rFonts w:cs="Segoe UI"/>
                <w:color w:val="auto"/>
                <w:sz w:val="20"/>
                <w:szCs w:val="18"/>
              </w:rPr>
              <w:fldChar w:fldCharType="begin"/>
            </w:r>
            <w:r w:rsidR="00A67FBB" w:rsidRPr="00807A04">
              <w:rPr>
                <w:rFonts w:cs="Segoe UI"/>
                <w:color w:val="auto"/>
                <w:sz w:val="20"/>
                <w:szCs w:val="18"/>
              </w:rPr>
              <w:instrText xml:space="preserve"> XE "equity" </w:instrText>
            </w:r>
            <w:r w:rsidR="00A67FBB" w:rsidRPr="00807A04">
              <w:rPr>
                <w:rFonts w:cs="Segoe UI"/>
                <w:color w:val="auto"/>
                <w:sz w:val="20"/>
                <w:szCs w:val="18"/>
              </w:rPr>
              <w:fldChar w:fldCharType="end"/>
            </w:r>
            <w:r w:rsidRPr="00807A04">
              <w:rPr>
                <w:rFonts w:cs="Segoe UI"/>
                <w:color w:val="auto"/>
                <w:sz w:val="20"/>
                <w:szCs w:val="18"/>
              </w:rPr>
              <w:t xml:space="preserve"> </w:t>
            </w:r>
            <w:r w:rsidRPr="00807A04">
              <w:rPr>
                <w:rFonts w:cs="Segoe UI"/>
                <w:color w:val="auto"/>
                <w:sz w:val="20"/>
                <w:szCs w:val="18"/>
              </w:rPr>
              <w:lastRenderedPageBreak/>
              <w:t>and HUCN</w:t>
            </w:r>
            <w:r w:rsidR="00D027D9">
              <w:rPr>
                <w:rFonts w:cs="Segoe UI"/>
                <w:color w:val="auto"/>
                <w:sz w:val="20"/>
                <w:szCs w:val="18"/>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cs="Segoe UI"/>
                <w:color w:val="auto"/>
                <w:sz w:val="20"/>
                <w:szCs w:val="18"/>
              </w:rPr>
              <w:fldChar w:fldCharType="end"/>
            </w:r>
            <w:r w:rsidRPr="00807A04">
              <w:rPr>
                <w:rFonts w:cs="Segoe UI"/>
                <w:color w:val="auto"/>
                <w:sz w:val="20"/>
                <w:szCs w:val="18"/>
              </w:rPr>
              <w:t>)</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AE7F717" w14:textId="627E7DBF" w:rsidR="008A5286" w:rsidRPr="006732A5" w:rsidRDefault="008A5286" w:rsidP="008505D7">
            <w:pPr>
              <w:pStyle w:val="ListParagraph"/>
              <w:numPr>
                <w:ilvl w:val="0"/>
                <w:numId w:val="120"/>
              </w:numPr>
              <w:rPr>
                <w:rFonts w:eastAsia="Times New Roman" w:cs="Segoe UI"/>
                <w:sz w:val="20"/>
                <w:szCs w:val="20"/>
                <w:lang w:eastAsia="en-AU"/>
              </w:rPr>
            </w:pPr>
            <w:r w:rsidRPr="006732A5">
              <w:rPr>
                <w:rFonts w:eastAsia="Times New Roman" w:cs="Segoe UI"/>
                <w:sz w:val="20"/>
                <w:szCs w:val="20"/>
                <w:lang w:eastAsia="en-AU"/>
              </w:rPr>
              <w:lastRenderedPageBreak/>
              <w:t>Establish an active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034374C">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process that to identify therapies with promising added therapeutic value, in a priority area (patient indication); This should include new therapies or new patient indications for the ‘repurposing’ of existing therapies.</w:t>
            </w:r>
          </w:p>
          <w:p w14:paraId="3FFF17FB" w14:textId="19EB987D" w:rsidR="008A5286" w:rsidRPr="006732A5" w:rsidRDefault="008A5286" w:rsidP="008505D7">
            <w:pPr>
              <w:pStyle w:val="ListParagraph"/>
              <w:numPr>
                <w:ilvl w:val="0"/>
                <w:numId w:val="120"/>
              </w:numPr>
              <w:rPr>
                <w:rFonts w:eastAsia="Times New Roman" w:cs="Segoe UI"/>
                <w:sz w:val="20"/>
                <w:szCs w:val="20"/>
                <w:lang w:eastAsia="en-AU"/>
              </w:rPr>
            </w:pPr>
            <w:r w:rsidRPr="006732A5">
              <w:rPr>
                <w:rFonts w:eastAsia="Times New Roman" w:cs="Segoe UI"/>
                <w:sz w:val="20"/>
                <w:szCs w:val="20"/>
                <w:lang w:eastAsia="en-AU"/>
              </w:rPr>
              <w:lastRenderedPageBreak/>
              <w:t xml:space="preserve">This process should be open to the </w:t>
            </w:r>
            <w:r w:rsidR="006A256F">
              <w:rPr>
                <w:rFonts w:eastAsia="Times New Roman" w:cs="Segoe UI"/>
                <w:sz w:val="20"/>
                <w:szCs w:val="20"/>
                <w:lang w:eastAsia="en-AU"/>
              </w:rPr>
              <w:t>use</w:t>
            </w:r>
            <w:r w:rsidR="006C36E6">
              <w:rPr>
                <w:rFonts w:eastAsia="Times New Roman" w:cs="Segoe UI"/>
                <w:sz w:val="20"/>
                <w:szCs w:val="20"/>
                <w:lang w:eastAsia="en-AU"/>
              </w:rPr>
              <w:t xml:space="preserve"> of </w:t>
            </w:r>
            <w:r w:rsidRPr="006732A5">
              <w:rPr>
                <w:rFonts w:eastAsia="Times New Roman" w:cs="Segoe UI"/>
                <w:sz w:val="20"/>
                <w:szCs w:val="20"/>
                <w:lang w:eastAsia="en-AU"/>
              </w:rPr>
              <w:t>patient and clinician communit</w:t>
            </w:r>
            <w:r w:rsidR="006A256F">
              <w:rPr>
                <w:rFonts w:eastAsia="Times New Roman" w:cs="Segoe UI"/>
                <w:sz w:val="20"/>
                <w:szCs w:val="20"/>
                <w:lang w:eastAsia="en-AU"/>
              </w:rPr>
              <w:t>y partnerships</w:t>
            </w:r>
            <w:r w:rsidRPr="006732A5">
              <w:rPr>
                <w:rFonts w:eastAsia="Times New Roman" w:cs="Segoe UI"/>
                <w:sz w:val="20"/>
                <w:szCs w:val="20"/>
                <w:lang w:eastAsia="en-AU"/>
              </w:rPr>
              <w:t xml:space="preserve">, to help identify possible therapies / expanded indications, </w:t>
            </w:r>
            <w:r w:rsidR="00E56DB8" w:rsidRPr="00E56DB8">
              <w:rPr>
                <w:rFonts w:eastAsia="Times New Roman" w:cs="Segoe UI"/>
                <w:sz w:val="20"/>
                <w:szCs w:val="20"/>
                <w:lang w:eastAsia="en-AU"/>
              </w:rPr>
              <w:t>and involve them in the later parts of the process to ensure they can be informed about potential future health technologies.</w:t>
            </w:r>
          </w:p>
          <w:p w14:paraId="3847BDDE" w14:textId="1E2535A0" w:rsidR="008A5286" w:rsidRPr="006732A5" w:rsidRDefault="008A5286" w:rsidP="008505D7">
            <w:pPr>
              <w:pStyle w:val="ListParagraph"/>
              <w:numPr>
                <w:ilvl w:val="0"/>
                <w:numId w:val="120"/>
              </w:numPr>
              <w:rPr>
                <w:rFonts w:eastAsia="Times New Roman" w:cs="Segoe UI"/>
                <w:sz w:val="20"/>
                <w:szCs w:val="20"/>
                <w:lang w:eastAsia="en-AU"/>
              </w:rPr>
            </w:pPr>
            <w:r w:rsidRPr="006732A5">
              <w:rPr>
                <w:rFonts w:eastAsia="Times New Roman" w:cs="Segoe UI"/>
                <w:sz w:val="20"/>
                <w:szCs w:val="20"/>
                <w:lang w:eastAsia="en-AU"/>
              </w:rPr>
              <w:t>In line with the priority reforms under the National Closing the Gap Agreement 2020 between all Governments and the Coalition of Peaks, this process should also include collaboration</w:t>
            </w:r>
            <w:r w:rsidR="00306661">
              <w:rPr>
                <w:rFonts w:eastAsia="Times New Roman" w:cs="Segoe UI"/>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sz w:val="20"/>
                <w:szCs w:val="20"/>
                <w:lang w:eastAsia="en-AU"/>
              </w:rPr>
              <w:fldChar w:fldCharType="end"/>
            </w:r>
            <w:r w:rsidRPr="006732A5">
              <w:rPr>
                <w:rFonts w:eastAsia="Times New Roman" w:cs="Segoe UI"/>
                <w:sz w:val="20"/>
                <w:szCs w:val="20"/>
                <w:lang w:eastAsia="en-AU"/>
              </w:rPr>
              <w:t xml:space="preserve"> with </w:t>
            </w:r>
            <w:r w:rsidRPr="0159AD90">
              <w:rPr>
                <w:rFonts w:eastAsia="Times New Roman" w:cs="Segoe UI"/>
                <w:sz w:val="20"/>
                <w:szCs w:val="20"/>
                <w:lang w:eastAsia="en-AU"/>
              </w:rPr>
              <w:t>ACCHS</w:t>
            </w:r>
            <w:r w:rsidRPr="006732A5">
              <w:rPr>
                <w:rFonts w:eastAsia="Times New Roman" w:cs="Segoe UI"/>
                <w:sz w:val="20"/>
                <w:szCs w:val="20"/>
                <w:lang w:eastAsia="en-AU"/>
              </w:rPr>
              <w:t xml:space="preserve"> to help identify therapies for addressing areas of unmet clinical need</w:t>
            </w:r>
            <w:r w:rsidR="002401F9" w:rsidRPr="006732A5">
              <w:rPr>
                <w:rFonts w:eastAsia="Times New Roman" w:cs="Segoe UI"/>
                <w:sz w:val="20"/>
                <w:szCs w:val="20"/>
                <w:lang w:eastAsia="en-AU"/>
              </w:rPr>
              <w:fldChar w:fldCharType="begin"/>
            </w:r>
            <w:r w:rsidR="002401F9" w:rsidRPr="006732A5">
              <w:rPr>
                <w:rFonts w:eastAsia="Times New Roman" w:cs="Segoe UI"/>
                <w:sz w:val="20"/>
                <w:szCs w:val="20"/>
                <w:lang w:eastAsia="en-AU"/>
              </w:rPr>
              <w:instrText xml:space="preserve"> XE "unmet clinical need" \b </w:instrText>
            </w:r>
            <w:r w:rsidR="002401F9"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for First Nations </w:t>
            </w:r>
            <w:r w:rsidR="008505D7">
              <w:rPr>
                <w:rFonts w:eastAsia="Times New Roman" w:cs="Segoe UI"/>
                <w:sz w:val="20"/>
                <w:szCs w:val="20"/>
                <w:lang w:eastAsia="en-AU"/>
              </w:rPr>
              <w:t>p</w:t>
            </w:r>
            <w:r w:rsidRPr="006732A5">
              <w:rPr>
                <w:rFonts w:eastAsia="Times New Roman" w:cs="Segoe UI"/>
                <w:sz w:val="20"/>
                <w:szCs w:val="20"/>
                <w:lang w:eastAsia="en-AU"/>
              </w:rPr>
              <w:t>eoples</w:t>
            </w:r>
            <w:r w:rsidR="009950D4">
              <w:rPr>
                <w:rFonts w:eastAsia="Times New Roman" w:cs="Segoe UI"/>
                <w:sz w:val="20"/>
                <w:szCs w:val="20"/>
                <w:lang w:eastAsia="en-AU"/>
              </w:rPr>
              <w:fldChar w:fldCharType="begin"/>
            </w:r>
            <w:r w:rsidR="009950D4">
              <w:instrText xml:space="preserve"> XE "</w:instrText>
            </w:r>
            <w:r w:rsidR="009950D4" w:rsidRPr="0032056E">
              <w:instrText xml:space="preserve">Aboriginal and Torres Strait </w:instrText>
            </w:r>
            <w:proofErr w:type="spellStart"/>
            <w:proofErr w:type="gramStart"/>
            <w:r w:rsidR="009950D4" w:rsidRPr="0032056E">
              <w:instrText>Islander:First</w:instrText>
            </w:r>
            <w:proofErr w:type="spellEnd"/>
            <w:proofErr w:type="gramEnd"/>
            <w:r w:rsidR="009950D4" w:rsidRPr="0032056E">
              <w:instrText xml:space="preserve"> Nations peoples</w:instrText>
            </w:r>
            <w:r w:rsidR="009950D4">
              <w:instrText xml:space="preserve">" </w:instrText>
            </w:r>
            <w:r w:rsidR="009950D4">
              <w:rPr>
                <w:rFonts w:eastAsia="Times New Roman" w:cs="Segoe UI"/>
                <w:sz w:val="20"/>
                <w:szCs w:val="20"/>
                <w:lang w:eastAsia="en-AU"/>
              </w:rPr>
              <w:fldChar w:fldCharType="end"/>
            </w:r>
            <w:r w:rsidRPr="006732A5">
              <w:rPr>
                <w:rFonts w:eastAsia="Times New Roman" w:cs="Segoe UI"/>
                <w:sz w:val="20"/>
                <w:szCs w:val="20"/>
                <w:lang w:eastAsia="en-AU"/>
              </w:rPr>
              <w:t>.</w:t>
            </w:r>
          </w:p>
          <w:p w14:paraId="334BC4A4" w14:textId="77777777" w:rsidR="008A5286" w:rsidRPr="006732A5" w:rsidRDefault="008A5286" w:rsidP="008505D7">
            <w:pPr>
              <w:pStyle w:val="ListParagraph"/>
              <w:numPr>
                <w:ilvl w:val="0"/>
                <w:numId w:val="120"/>
              </w:numPr>
              <w:rPr>
                <w:rFonts w:eastAsia="Times New Roman" w:cs="Segoe UI"/>
                <w:sz w:val="20"/>
                <w:szCs w:val="20"/>
                <w:lang w:eastAsia="en-AU"/>
              </w:rPr>
            </w:pPr>
            <w:r w:rsidRPr="006732A5">
              <w:rPr>
                <w:rFonts w:eastAsia="Times New Roman" w:cs="Segoe UI"/>
                <w:sz w:val="20"/>
                <w:szCs w:val="20"/>
                <w:lang w:eastAsia="en-AU"/>
              </w:rPr>
              <w:t xml:space="preserve">Develop a framework that includes an assessment of prioritisation of therapies after they have been identified through the scanning process to assist in informing the decision / action related to the identified therapy. </w:t>
            </w:r>
          </w:p>
          <w:p w14:paraId="166D51AF" w14:textId="34DECC6C" w:rsidR="008A5286" w:rsidRPr="00515E74" w:rsidDel="002E1FF8" w:rsidRDefault="008A5286" w:rsidP="008C10BB">
            <w:pPr>
              <w:spacing w:after="120"/>
              <w:ind w:left="360"/>
              <w:rPr>
                <w:rFonts w:eastAsia="Times New Roman" w:cs="Segoe UI"/>
                <w:color w:val="222A35"/>
                <w:kern w:val="24"/>
                <w:sz w:val="20"/>
                <w:szCs w:val="20"/>
                <w:lang w:eastAsia="en-AU"/>
              </w:rPr>
            </w:pPr>
            <w:r w:rsidRPr="000F6D22">
              <w:rPr>
                <w:rFonts w:eastAsia="Times New Roman" w:cs="Segoe UI"/>
                <w:i/>
                <w:color w:val="222A35"/>
                <w:kern w:val="24"/>
                <w:sz w:val="20"/>
                <w:szCs w:val="20"/>
                <w:lang w:eastAsia="en-AU"/>
              </w:rPr>
              <w:t>(</w:t>
            </w:r>
            <w:proofErr w:type="gramStart"/>
            <w:r w:rsidRPr="000F6D22">
              <w:rPr>
                <w:rFonts w:eastAsia="Times New Roman" w:cs="Segoe UI"/>
                <w:i/>
                <w:color w:val="222A35"/>
                <w:kern w:val="24"/>
                <w:sz w:val="20"/>
                <w:szCs w:val="20"/>
                <w:lang w:eastAsia="en-AU"/>
              </w:rPr>
              <w:t>note</w:t>
            </w:r>
            <w:proofErr w:type="gramEnd"/>
            <w:r w:rsidRPr="000F6D22">
              <w:rPr>
                <w:rFonts w:eastAsia="Times New Roman" w:cs="Segoe UI"/>
                <w:i/>
                <w:color w:val="222A35"/>
                <w:kern w:val="24"/>
                <w:sz w:val="20"/>
                <w:szCs w:val="20"/>
                <w:lang w:eastAsia="en-AU"/>
              </w:rPr>
              <w:t>: areas of action from this proposed horizon scanning</w:t>
            </w:r>
            <w:r w:rsidR="00CF3213">
              <w:rPr>
                <w:rFonts w:eastAsia="Times New Roman" w:cs="Segoe UI"/>
                <w:i/>
                <w:color w:val="222A35"/>
                <w:kern w:val="24"/>
                <w:sz w:val="20"/>
                <w:szCs w:val="20"/>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i/>
                <w:color w:val="222A35"/>
                <w:kern w:val="24"/>
                <w:sz w:val="20"/>
                <w:szCs w:val="20"/>
                <w:lang w:eastAsia="en-AU"/>
              </w:rPr>
              <w:fldChar w:fldCharType="end"/>
            </w:r>
            <w:r w:rsidRPr="000F6D22">
              <w:rPr>
                <w:rFonts w:eastAsia="Times New Roman" w:cs="Segoe UI"/>
                <w:i/>
                <w:color w:val="222A35"/>
                <w:kern w:val="24"/>
                <w:sz w:val="20"/>
                <w:szCs w:val="20"/>
                <w:lang w:eastAsia="en-AU"/>
              </w:rPr>
              <w:t xml:space="preserve"> program are discussed under the section on “proactively addressing gaps </w:t>
            </w:r>
            <w:r w:rsidRPr="000F6D22">
              <w:rPr>
                <w:rFonts w:eastAsia="Times New Roman" w:cs="Segoe UI"/>
                <w:color w:val="222A35"/>
                <w:kern w:val="24"/>
                <w:sz w:val="20"/>
                <w:szCs w:val="20"/>
                <w:lang w:eastAsia="en-AU"/>
              </w:rPr>
              <w:t>in</w:t>
            </w:r>
            <w:r w:rsidRPr="000F6D22">
              <w:rPr>
                <w:rFonts w:eastAsia="Times New Roman" w:cs="Segoe UI"/>
                <w:i/>
                <w:color w:val="222A35"/>
                <w:kern w:val="24"/>
                <w:sz w:val="20"/>
                <w:szCs w:val="20"/>
                <w:lang w:eastAsia="en-AU"/>
              </w:rPr>
              <w:t xml:space="preserve"> the PBS” and broader pathways sections)</w:t>
            </w:r>
          </w:p>
        </w:tc>
      </w:tr>
      <w:tr w:rsidR="007F78E2" w:rsidRPr="006647C5" w14:paraId="2764CDD6" w14:textId="77777777" w:rsidTr="00E54402">
        <w:trPr>
          <w:trHeight w:val="775"/>
        </w:trPr>
        <w:tc>
          <w:tcPr>
            <w:tcW w:w="1055" w:type="dxa"/>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069F98DE" w14:textId="3A3D7F70" w:rsidR="003C5EF4" w:rsidRPr="000F6D22" w:rsidRDefault="003C5EF4" w:rsidP="008C10BB">
            <w:pPr>
              <w:pStyle w:val="ListParagraph"/>
              <w:spacing w:after="120"/>
              <w:ind w:left="421"/>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257ECA82" w14:textId="59B027E8" w:rsidR="008A5286" w:rsidRPr="006732A5" w:rsidRDefault="008A5286" w:rsidP="008C10BB">
            <w:pPr>
              <w:spacing w:after="0"/>
              <w:rPr>
                <w:rFonts w:eastAsiaTheme="majorEastAsia" w:cs="Segoe UI"/>
                <w:color w:val="0E213F" w:themeColor="accent1" w:themeShade="80"/>
                <w:sz w:val="20"/>
                <w:szCs w:val="20"/>
                <w:lang w:eastAsia="en-AU"/>
              </w:rPr>
            </w:pPr>
            <w:r w:rsidRPr="006732A5">
              <w:rPr>
                <w:rFonts w:eastAsiaTheme="majorEastAsia" w:cs="Segoe UI"/>
                <w:color w:val="0E213F" w:themeColor="accent1" w:themeShade="80"/>
                <w:sz w:val="20"/>
                <w:szCs w:val="20"/>
                <w:lang w:eastAsia="en-AU"/>
              </w:rPr>
              <w:t>Horizon Scanning to help operational and capacity planning for HTA and health systems</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6856AB13" w14:textId="0D9B0A31" w:rsidR="008A5286" w:rsidRPr="006732A5" w:rsidRDefault="008A5286" w:rsidP="008505D7">
            <w:pPr>
              <w:pStyle w:val="ListParagraph"/>
              <w:numPr>
                <w:ilvl w:val="0"/>
                <w:numId w:val="122"/>
              </w:numPr>
              <w:rPr>
                <w:rFonts w:eastAsia="Times New Roman" w:cs="Segoe UI"/>
                <w:sz w:val="20"/>
                <w:szCs w:val="20"/>
                <w:lang w:eastAsia="en-AU"/>
              </w:rPr>
            </w:pPr>
            <w:r w:rsidRPr="006732A5">
              <w:rPr>
                <w:rFonts w:eastAsia="Times New Roman" w:cs="Segoe UI"/>
                <w:sz w:val="20"/>
                <w:szCs w:val="20"/>
                <w:lang w:eastAsia="en-AU"/>
              </w:rPr>
              <w:t>Develop a method to measure and evaluate the success of the horizon scanning</w:t>
            </w:r>
            <w:r w:rsidR="00CF3213" w:rsidRPr="006732A5">
              <w:rPr>
                <w:rFonts w:eastAsia="Times New Roman" w:cs="Segoe UI"/>
                <w:sz w:val="20"/>
                <w:szCs w:val="20"/>
                <w:lang w:eastAsia="en-AU"/>
              </w:rPr>
              <w:fldChar w:fldCharType="begin"/>
            </w:r>
            <w:r w:rsidR="00CF3213" w:rsidRPr="006732A5">
              <w:rPr>
                <w:rFonts w:eastAsia="Times New Roman" w:cs="Segoe UI"/>
                <w:sz w:val="20"/>
                <w:szCs w:val="20"/>
                <w:lang w:eastAsia="en-AU"/>
              </w:rPr>
              <w:instrText xml:space="preserve"> XE "</w:instrText>
            </w:r>
            <w:r w:rsidR="00CF3213" w:rsidRPr="0034374C">
              <w:rPr>
                <w:rFonts w:eastAsia="Times New Roman" w:cs="Segoe UI"/>
                <w:sz w:val="20"/>
                <w:szCs w:val="20"/>
                <w:lang w:eastAsia="en-AU"/>
              </w:rPr>
              <w:instrText>horizon scanning</w:instrText>
            </w:r>
            <w:r w:rsidR="00CF3213" w:rsidRPr="006732A5">
              <w:rPr>
                <w:rFonts w:eastAsia="Times New Roman" w:cs="Segoe UI"/>
                <w:sz w:val="20"/>
                <w:szCs w:val="20"/>
                <w:lang w:eastAsia="en-AU"/>
              </w:rPr>
              <w:instrText xml:space="preserve">" \b </w:instrText>
            </w:r>
            <w:r w:rsidR="00CF3213" w:rsidRPr="006732A5">
              <w:rPr>
                <w:rFonts w:eastAsia="Times New Roman" w:cs="Segoe UI"/>
                <w:sz w:val="20"/>
                <w:szCs w:val="20"/>
                <w:lang w:eastAsia="en-AU"/>
              </w:rPr>
              <w:fldChar w:fldCharType="end"/>
            </w:r>
            <w:r w:rsidRPr="006732A5">
              <w:rPr>
                <w:rFonts w:eastAsia="Times New Roman" w:cs="Segoe UI"/>
                <w:sz w:val="20"/>
                <w:szCs w:val="20"/>
                <w:lang w:eastAsia="en-AU"/>
              </w:rPr>
              <w:t xml:space="preserve"> mechanism outlined in section 6 of the Strategic Agreement in meeting its objectives as agreed in the Strategic Agreement: </w:t>
            </w:r>
          </w:p>
          <w:p w14:paraId="5FEDEE36" w14:textId="445EBDCB" w:rsidR="008A5286" w:rsidRPr="000F6D22" w:rsidRDefault="008A5286" w:rsidP="008505D7">
            <w:pPr>
              <w:pStyle w:val="ListParagraph"/>
              <w:numPr>
                <w:ilvl w:val="0"/>
                <w:numId w:val="123"/>
              </w:numPr>
              <w:spacing w:after="0"/>
              <w:ind w:left="782" w:hanging="425"/>
              <w:rPr>
                <w:rFonts w:eastAsia="Times New Roman" w:cs="Segoe UI"/>
                <w:color w:val="222A35"/>
                <w:kern w:val="24"/>
                <w:sz w:val="20"/>
                <w:szCs w:val="20"/>
                <w:lang w:eastAsia="en-AU"/>
              </w:rPr>
            </w:pPr>
            <w:r w:rsidRPr="000F6D22">
              <w:rPr>
                <w:rFonts w:eastAsia="Times New Roman" w:cs="Segoe UI"/>
                <w:color w:val="222A35"/>
                <w:kern w:val="24"/>
                <w:sz w:val="20"/>
                <w:szCs w:val="20"/>
                <w:lang w:eastAsia="en-AU"/>
              </w:rPr>
              <w:t>identify major therapeutic advances which may enter the regulatory or reimbursement systems (or both) over the following 18-24 months</w:t>
            </w:r>
            <w:r w:rsidR="004E1EC3">
              <w:rPr>
                <w:rFonts w:eastAsia="Times New Roman" w:cs="Segoe UI"/>
                <w:color w:val="222A35"/>
                <w:kern w:val="24"/>
                <w:sz w:val="20"/>
                <w:szCs w:val="20"/>
                <w:lang w:eastAsia="en-AU"/>
              </w:rPr>
              <w:t xml:space="preserve"> and other trends</w:t>
            </w:r>
            <w:r w:rsidRPr="000F6D22">
              <w:rPr>
                <w:rFonts w:eastAsia="Times New Roman" w:cs="Segoe UI"/>
                <w:color w:val="222A35"/>
                <w:kern w:val="24"/>
                <w:sz w:val="20"/>
                <w:szCs w:val="20"/>
                <w:lang w:eastAsia="en-AU"/>
              </w:rPr>
              <w:t xml:space="preserve"> and which may represent a significant disruption in the treatment paradigm and/</w:t>
            </w:r>
            <w:r w:rsidRPr="006732A5">
              <w:rPr>
                <w:rFonts w:eastAsia="Times New Roman" w:cs="Segoe UI"/>
                <w:color w:val="222A35"/>
                <w:kern w:val="24"/>
                <w:sz w:val="20"/>
                <w:szCs w:val="20"/>
                <w:lang w:eastAsia="en-AU"/>
              </w:rPr>
              <w:t>or require innovation in health care system planning; and</w:t>
            </w:r>
          </w:p>
          <w:p w14:paraId="45D8868D" w14:textId="77777777" w:rsidR="008A5286" w:rsidRPr="000F6D22" w:rsidRDefault="008A5286" w:rsidP="008505D7">
            <w:pPr>
              <w:pStyle w:val="ListParagraph"/>
              <w:numPr>
                <w:ilvl w:val="0"/>
                <w:numId w:val="123"/>
              </w:numPr>
              <w:spacing w:after="0"/>
              <w:ind w:left="782" w:hanging="425"/>
              <w:rPr>
                <w:rFonts w:eastAsia="Times New Roman" w:cs="Segoe UI"/>
                <w:color w:val="222A35"/>
                <w:kern w:val="24"/>
                <w:sz w:val="20"/>
                <w:szCs w:val="20"/>
                <w:lang w:eastAsia="en-AU"/>
              </w:rPr>
            </w:pPr>
            <w:r w:rsidRPr="000F6D22">
              <w:rPr>
                <w:rFonts w:eastAsia="Times New Roman" w:cs="Segoe UI"/>
                <w:color w:val="222A35"/>
                <w:kern w:val="24"/>
                <w:sz w:val="20"/>
                <w:szCs w:val="20"/>
                <w:lang w:eastAsia="en-AU"/>
              </w:rPr>
              <w:t xml:space="preserve">understand the potential implications for the Commonwealth from the introduction of these advances in terms of resources, </w:t>
            </w:r>
            <w:proofErr w:type="gramStart"/>
            <w:r w:rsidRPr="000F6D22">
              <w:rPr>
                <w:rFonts w:eastAsia="Times New Roman" w:cs="Segoe UI"/>
                <w:color w:val="222A35"/>
                <w:kern w:val="24"/>
                <w:sz w:val="20"/>
                <w:szCs w:val="20"/>
                <w:lang w:eastAsia="en-AU"/>
              </w:rPr>
              <w:t>systems</w:t>
            </w:r>
            <w:proofErr w:type="gramEnd"/>
            <w:r w:rsidRPr="000F6D22">
              <w:rPr>
                <w:rFonts w:eastAsia="Times New Roman" w:cs="Segoe UI"/>
                <w:color w:val="222A35"/>
                <w:kern w:val="24"/>
                <w:sz w:val="20"/>
                <w:szCs w:val="20"/>
                <w:lang w:eastAsia="en-AU"/>
              </w:rPr>
              <w:t xml:space="preserve"> </w:t>
            </w:r>
            <w:r w:rsidRPr="0004489C">
              <w:rPr>
                <w:rFonts w:eastAsia="Times New Roman" w:cs="Segoe UI"/>
                <w:color w:val="222A35"/>
                <w:kern w:val="24"/>
                <w:sz w:val="20"/>
                <w:szCs w:val="20"/>
                <w:lang w:eastAsia="en-AU"/>
              </w:rPr>
              <w:t>and</w:t>
            </w:r>
            <w:r w:rsidRPr="000F6D22">
              <w:rPr>
                <w:rFonts w:eastAsia="Times New Roman" w:cs="Segoe UI"/>
                <w:color w:val="222A35"/>
                <w:kern w:val="24"/>
                <w:sz w:val="20"/>
                <w:szCs w:val="20"/>
                <w:lang w:eastAsia="en-AU"/>
              </w:rPr>
              <w:t xml:space="preserve"> processes. </w:t>
            </w:r>
          </w:p>
          <w:p w14:paraId="0C2BAC94" w14:textId="6E68F312" w:rsidR="008A5286" w:rsidRPr="00BF4575" w:rsidRDefault="008A5286" w:rsidP="008505D7">
            <w:pPr>
              <w:pStyle w:val="ListParagraph"/>
              <w:numPr>
                <w:ilvl w:val="0"/>
                <w:numId w:val="122"/>
              </w:numPr>
              <w:rPr>
                <w:rFonts w:eastAsia="Times New Roman" w:cs="Segoe UI"/>
                <w:color w:val="222A35"/>
                <w:kern w:val="24"/>
                <w:sz w:val="20"/>
                <w:szCs w:val="20"/>
                <w:lang w:eastAsia="en-AU"/>
              </w:rPr>
            </w:pPr>
            <w:r w:rsidRPr="006732A5">
              <w:rPr>
                <w:rFonts w:eastAsia="Times New Roman" w:cs="Segoe UI"/>
                <w:sz w:val="20"/>
                <w:szCs w:val="20"/>
                <w:lang w:eastAsia="en-AU"/>
              </w:rPr>
              <w:t>If this mechanism is not meeting its objectives, investigate alternative mechanisms to achieve these objectives in collaboration</w:t>
            </w:r>
            <w:r w:rsidR="00306661">
              <w:rPr>
                <w:rFonts w:eastAsia="Times New Roman" w:cs="Segoe UI"/>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sz w:val="20"/>
                <w:szCs w:val="20"/>
                <w:lang w:eastAsia="en-AU"/>
              </w:rPr>
              <w:fldChar w:fldCharType="end"/>
            </w:r>
            <w:r w:rsidRPr="006732A5">
              <w:rPr>
                <w:rFonts w:eastAsia="Times New Roman" w:cs="Segoe UI"/>
                <w:sz w:val="20"/>
                <w:szCs w:val="20"/>
                <w:lang w:eastAsia="en-AU"/>
              </w:rPr>
              <w:t xml:space="preserve"> with industry (</w:t>
            </w:r>
            <w:r w:rsidR="00FF321D" w:rsidRPr="00FF321D">
              <w:rPr>
                <w:rFonts w:eastAsia="Times New Roman" w:cs="Segoe UI"/>
                <w:sz w:val="20"/>
                <w:szCs w:val="20"/>
                <w:lang w:eastAsia="en-AU"/>
              </w:rPr>
              <w:t>e.g. industry could provide advanced notice to the Department and relevant stakeholders and how that information will be tied to action, or if it would be more effective to participate in an international collaboration for horizon scanning</w:t>
            </w:r>
            <w:r w:rsidR="00953783">
              <w:rPr>
                <w:rFonts w:eastAsia="Times New Roman" w:cs="Segoe UI"/>
                <w:sz w:val="20"/>
                <w:szCs w:val="20"/>
                <w:lang w:eastAsia="en-AU"/>
              </w:rPr>
              <w:fldChar w:fldCharType="begin"/>
            </w:r>
            <w:r w:rsidR="00953783">
              <w:instrText xml:space="preserve"> XE "</w:instrText>
            </w:r>
            <w:r w:rsidR="00953783" w:rsidRPr="00E51D8C">
              <w:instrText>horizon scanning</w:instrText>
            </w:r>
            <w:r w:rsidR="00953783">
              <w:instrText xml:space="preserve">" </w:instrText>
            </w:r>
            <w:r w:rsidR="00953783">
              <w:rPr>
                <w:rFonts w:eastAsia="Times New Roman" w:cs="Segoe UI"/>
                <w:sz w:val="20"/>
                <w:szCs w:val="20"/>
                <w:lang w:eastAsia="en-AU"/>
              </w:rPr>
              <w:fldChar w:fldCharType="end"/>
            </w:r>
            <w:r w:rsidR="00FF321D" w:rsidRPr="00FF321D">
              <w:rPr>
                <w:rFonts w:eastAsia="Times New Roman" w:cs="Segoe UI"/>
                <w:sz w:val="20"/>
                <w:szCs w:val="20"/>
                <w:lang w:eastAsia="en-AU"/>
              </w:rPr>
              <w:t xml:space="preserve"> such as </w:t>
            </w:r>
            <w:proofErr w:type="spellStart"/>
            <w:r w:rsidR="00FF321D" w:rsidRPr="00FF321D">
              <w:rPr>
                <w:rFonts w:eastAsia="Times New Roman" w:cs="Segoe UI"/>
                <w:sz w:val="20"/>
                <w:szCs w:val="20"/>
                <w:lang w:eastAsia="en-AU"/>
              </w:rPr>
              <w:t>PharmScan</w:t>
            </w:r>
            <w:proofErr w:type="spellEnd"/>
            <w:r w:rsidR="00FF321D" w:rsidRPr="00FF321D">
              <w:rPr>
                <w:rFonts w:eastAsia="Times New Roman" w:cs="Segoe UI"/>
                <w:sz w:val="20"/>
                <w:szCs w:val="20"/>
                <w:lang w:eastAsia="en-AU"/>
              </w:rPr>
              <w:t xml:space="preserve"> used by NICE and how this may be cost recovered).</w:t>
            </w:r>
          </w:p>
        </w:tc>
      </w:tr>
      <w:tr w:rsidR="008A5286" w:rsidRPr="006647C5" w14:paraId="54B1E2BD" w14:textId="77777777" w:rsidTr="00E54402">
        <w:trPr>
          <w:trHeight w:val="412"/>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31884AFF" w14:textId="2FA62795" w:rsidR="008A5286" w:rsidRPr="000F6D22" w:rsidRDefault="008A5286" w:rsidP="008505D7">
            <w:pPr>
              <w:pStyle w:val="Heading6"/>
              <w:numPr>
                <w:ilvl w:val="1"/>
                <w:numId w:val="35"/>
              </w:numPr>
              <w:rPr>
                <w:rFonts w:eastAsia="Times New Roman" w:cs="Segoe UI"/>
                <w:color w:val="222A35"/>
                <w:kern w:val="24"/>
              </w:rPr>
            </w:pPr>
            <w:r w:rsidRPr="009D14F6">
              <w:rPr>
                <w:color w:val="1D437F" w:themeColor="accent1"/>
              </w:rPr>
              <w:t>Consideration of environmental impacts</w:t>
            </w:r>
            <w:r w:rsidR="007F4B9A">
              <w:rPr>
                <w:color w:val="1D437F" w:themeColor="accent1"/>
              </w:rPr>
              <w:fldChar w:fldCharType="begin"/>
            </w:r>
            <w:r w:rsidR="007F4B9A">
              <w:instrText xml:space="preserve"> XE "</w:instrText>
            </w:r>
            <w:r w:rsidR="007F4B9A" w:rsidRPr="00F02CA7">
              <w:instrText>environmental impacts</w:instrText>
            </w:r>
            <w:r w:rsidR="007F4B9A">
              <w:instrText xml:space="preserve">" \b </w:instrText>
            </w:r>
            <w:r w:rsidR="007F4B9A">
              <w:rPr>
                <w:color w:val="1D437F" w:themeColor="accent1"/>
              </w:rPr>
              <w:fldChar w:fldCharType="end"/>
            </w:r>
            <w:r w:rsidRPr="009D14F6">
              <w:rPr>
                <w:color w:val="1D437F" w:themeColor="accent1"/>
              </w:rPr>
              <w:t xml:space="preserve"> in the HTA</w:t>
            </w:r>
            <w:r w:rsidRPr="00FB31E2">
              <w:t xml:space="preserve"> </w:t>
            </w:r>
          </w:p>
        </w:tc>
      </w:tr>
      <w:tr w:rsidR="00A901F2" w:rsidRPr="006647C5" w14:paraId="395963E6" w14:textId="77777777" w:rsidTr="00E54402">
        <w:trPr>
          <w:trHeight w:val="479"/>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0A15B2D8" w14:textId="08AEF344" w:rsidR="00A901F2" w:rsidRPr="00FB31E2" w:rsidRDefault="00A901F2" w:rsidP="008A5286">
            <w:pPr>
              <w:pStyle w:val="Heading6"/>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7D7AC096" w14:textId="75AEACE1" w:rsidR="00A901F2" w:rsidRPr="002E688D" w:rsidRDefault="006A7C47" w:rsidP="008A5286">
            <w:pPr>
              <w:pStyle w:val="Heading7"/>
              <w:keepNext w:val="0"/>
              <w:keepLines w:val="0"/>
            </w:pPr>
            <w:r w:rsidRPr="002E688D">
              <w:t>Environmental impact reporting</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1AC763E4" w14:textId="2DD22683" w:rsidR="00D63425" w:rsidRPr="00FB31E2" w:rsidRDefault="00D63425" w:rsidP="008C10BB">
            <w:pPr>
              <w:spacing w:after="120"/>
              <w:rPr>
                <w:rFonts w:eastAsia="Times New Roman" w:cs="Segoe UI"/>
                <w:kern w:val="24"/>
                <w:sz w:val="20"/>
                <w:szCs w:val="20"/>
                <w:lang w:eastAsia="en-AU"/>
              </w:rPr>
            </w:pPr>
            <w:r w:rsidRPr="00FB31E2">
              <w:rPr>
                <w:rFonts w:eastAsia="Times New Roman" w:cs="Segoe UI"/>
                <w:kern w:val="24"/>
                <w:sz w:val="20"/>
                <w:szCs w:val="20"/>
                <w:lang w:eastAsia="en-AU"/>
              </w:rPr>
              <w:t xml:space="preserve">Investigate of the following </w:t>
            </w:r>
            <w:r w:rsidR="006A7C47" w:rsidRPr="00FB31E2">
              <w:rPr>
                <w:rFonts w:eastAsia="Times New Roman" w:cs="Segoe UI"/>
                <w:kern w:val="24"/>
                <w:sz w:val="20"/>
                <w:szCs w:val="20"/>
                <w:lang w:eastAsia="en-AU"/>
              </w:rPr>
              <w:t xml:space="preserve">options </w:t>
            </w:r>
            <w:r w:rsidRPr="00FB31E2">
              <w:rPr>
                <w:rFonts w:eastAsia="Times New Roman" w:cs="Segoe UI"/>
                <w:kern w:val="24"/>
                <w:sz w:val="20"/>
                <w:szCs w:val="20"/>
                <w:lang w:eastAsia="en-AU"/>
              </w:rPr>
              <w:t>in consultation with industry</w:t>
            </w:r>
            <w:r w:rsidR="008A29F9">
              <w:rPr>
                <w:rFonts w:eastAsia="Times New Roman" w:cs="Segoe UI"/>
                <w:kern w:val="24"/>
                <w:sz w:val="20"/>
                <w:szCs w:val="20"/>
                <w:lang w:eastAsia="en-AU"/>
              </w:rPr>
              <w:t xml:space="preserve"> and other stakeholders</w:t>
            </w:r>
            <w:r w:rsidRPr="00FB31E2">
              <w:rPr>
                <w:rFonts w:eastAsia="Times New Roman" w:cs="Segoe UI"/>
                <w:kern w:val="24"/>
                <w:sz w:val="20"/>
                <w:szCs w:val="20"/>
                <w:lang w:eastAsia="en-AU"/>
              </w:rPr>
              <w:t>:</w:t>
            </w:r>
          </w:p>
          <w:p w14:paraId="6E4FF179" w14:textId="70C2082F" w:rsidR="00D63425" w:rsidRPr="00F876B2" w:rsidRDefault="00D63425" w:rsidP="008505D7">
            <w:pPr>
              <w:pStyle w:val="ListParagraph"/>
              <w:numPr>
                <w:ilvl w:val="0"/>
                <w:numId w:val="126"/>
              </w:numPr>
              <w:rPr>
                <w:rFonts w:eastAsia="Times New Roman" w:cs="Segoe UI"/>
                <w:sz w:val="20"/>
                <w:szCs w:val="20"/>
                <w:lang w:eastAsia="en-AU"/>
              </w:rPr>
            </w:pPr>
            <w:r w:rsidRPr="00F876B2">
              <w:rPr>
                <w:rFonts w:eastAsia="Times New Roman" w:cs="Segoe UI"/>
                <w:sz w:val="20"/>
                <w:szCs w:val="20"/>
                <w:lang w:eastAsia="en-AU"/>
              </w:rPr>
              <w:t>Reporting of environmental impacts</w:t>
            </w:r>
            <w:r w:rsidR="007F4B9A" w:rsidRPr="00F876B2">
              <w:rPr>
                <w:rFonts w:eastAsia="Times New Roman" w:cs="Segoe UI"/>
                <w:sz w:val="20"/>
                <w:szCs w:val="20"/>
                <w:lang w:eastAsia="en-AU"/>
              </w:rPr>
              <w:fldChar w:fldCharType="begin"/>
            </w:r>
            <w:r w:rsidR="007F4B9A" w:rsidRPr="00F876B2">
              <w:rPr>
                <w:rFonts w:eastAsia="Times New Roman" w:cs="Segoe UI"/>
                <w:sz w:val="20"/>
                <w:szCs w:val="20"/>
                <w:lang w:eastAsia="en-AU"/>
              </w:rPr>
              <w:instrText xml:space="preserve"> XE "environmental impacts" \b </w:instrText>
            </w:r>
            <w:r w:rsidR="007F4B9A" w:rsidRPr="00F876B2">
              <w:rPr>
                <w:rFonts w:eastAsia="Times New Roman" w:cs="Segoe UI"/>
                <w:sz w:val="20"/>
                <w:szCs w:val="20"/>
                <w:lang w:eastAsia="en-AU"/>
              </w:rPr>
              <w:fldChar w:fldCharType="end"/>
            </w:r>
            <w:r w:rsidRPr="00F876B2">
              <w:rPr>
                <w:rFonts w:eastAsia="Times New Roman" w:cs="Segoe UI"/>
                <w:sz w:val="20"/>
                <w:szCs w:val="20"/>
                <w:lang w:eastAsia="en-AU"/>
              </w:rPr>
              <w:t xml:space="preserve">, starting with embodied greenhouse gas emissions, in the assessment of cost-effectiveness by Australian </w:t>
            </w:r>
            <w:r w:rsidR="5642E00F" w:rsidRPr="00F876B2">
              <w:rPr>
                <w:rFonts w:eastAsia="Times New Roman" w:cs="Segoe UI"/>
                <w:sz w:val="20"/>
                <w:szCs w:val="20"/>
                <w:lang w:eastAsia="en-AU"/>
              </w:rPr>
              <w:t>HTA</w:t>
            </w:r>
            <w:r w:rsidRPr="00F876B2">
              <w:rPr>
                <w:rFonts w:eastAsia="Times New Roman" w:cs="Segoe UI"/>
                <w:sz w:val="20"/>
                <w:szCs w:val="20"/>
                <w:lang w:eastAsia="en-AU"/>
              </w:rPr>
              <w:t xml:space="preserve"> bodies.</w:t>
            </w:r>
          </w:p>
          <w:p w14:paraId="0BEFB263" w14:textId="063F6C44" w:rsidR="00D63425" w:rsidRPr="00F876B2" w:rsidRDefault="00D63425" w:rsidP="008505D7">
            <w:pPr>
              <w:pStyle w:val="ListParagraph"/>
              <w:numPr>
                <w:ilvl w:val="0"/>
                <w:numId w:val="126"/>
              </w:numPr>
              <w:rPr>
                <w:rFonts w:eastAsia="Times New Roman" w:cs="Segoe UI"/>
                <w:sz w:val="20"/>
                <w:szCs w:val="20"/>
                <w:lang w:eastAsia="en-AU"/>
              </w:rPr>
            </w:pPr>
            <w:r w:rsidRPr="00F876B2">
              <w:rPr>
                <w:rFonts w:eastAsia="Times New Roman" w:cs="Segoe UI"/>
                <w:sz w:val="20"/>
                <w:szCs w:val="20"/>
                <w:lang w:eastAsia="en-AU"/>
              </w:rPr>
              <w:t>Potential for use of these data in approval and reimbursement decisions.</w:t>
            </w:r>
          </w:p>
          <w:p w14:paraId="059B2429" w14:textId="1E574D77" w:rsidR="00D63425" w:rsidRPr="00F876B2" w:rsidRDefault="00D63425" w:rsidP="008505D7">
            <w:pPr>
              <w:pStyle w:val="ListParagraph"/>
              <w:numPr>
                <w:ilvl w:val="0"/>
                <w:numId w:val="126"/>
              </w:numPr>
              <w:rPr>
                <w:rFonts w:eastAsia="Times New Roman" w:cs="Segoe UI"/>
                <w:sz w:val="20"/>
                <w:szCs w:val="20"/>
                <w:lang w:eastAsia="en-AU"/>
              </w:rPr>
            </w:pPr>
            <w:r w:rsidRPr="00F876B2">
              <w:rPr>
                <w:rFonts w:eastAsia="Times New Roman" w:cs="Segoe UI"/>
                <w:sz w:val="20"/>
                <w:szCs w:val="20"/>
                <w:lang w:eastAsia="en-AU"/>
              </w:rPr>
              <w:t>Potential for public reporting of these data, to inform clinical decision-making.</w:t>
            </w:r>
          </w:p>
          <w:p w14:paraId="2BC6E21B" w14:textId="42F4FD15" w:rsidR="00D63425" w:rsidRPr="00F876B2" w:rsidRDefault="00D63425" w:rsidP="008505D7">
            <w:pPr>
              <w:pStyle w:val="ListParagraph"/>
              <w:numPr>
                <w:ilvl w:val="0"/>
                <w:numId w:val="126"/>
              </w:numPr>
              <w:rPr>
                <w:rFonts w:eastAsia="Times New Roman" w:cs="Segoe UI"/>
                <w:sz w:val="20"/>
                <w:szCs w:val="20"/>
                <w:lang w:eastAsia="en-AU"/>
              </w:rPr>
            </w:pPr>
            <w:r w:rsidRPr="00F876B2">
              <w:rPr>
                <w:rFonts w:eastAsia="Times New Roman" w:cs="Segoe UI"/>
                <w:sz w:val="20"/>
                <w:szCs w:val="20"/>
                <w:lang w:eastAsia="en-AU"/>
              </w:rPr>
              <w:t>Development of guidance documents and examples to facilitate environmental impacts</w:t>
            </w:r>
            <w:r w:rsidR="007F4B9A" w:rsidRPr="00F876B2">
              <w:rPr>
                <w:rFonts w:eastAsia="Times New Roman" w:cs="Segoe UI"/>
                <w:sz w:val="20"/>
                <w:szCs w:val="20"/>
                <w:lang w:eastAsia="en-AU"/>
              </w:rPr>
              <w:fldChar w:fldCharType="begin"/>
            </w:r>
            <w:r w:rsidR="007F4B9A" w:rsidRPr="00F876B2">
              <w:rPr>
                <w:rFonts w:eastAsia="Times New Roman" w:cs="Segoe UI"/>
                <w:sz w:val="20"/>
                <w:szCs w:val="20"/>
                <w:lang w:eastAsia="en-AU"/>
              </w:rPr>
              <w:instrText xml:space="preserve"> XE "environmental impacts" \b </w:instrText>
            </w:r>
            <w:r w:rsidR="007F4B9A" w:rsidRPr="00F876B2">
              <w:rPr>
                <w:rFonts w:eastAsia="Times New Roman" w:cs="Segoe UI"/>
                <w:sz w:val="20"/>
                <w:szCs w:val="20"/>
                <w:lang w:eastAsia="en-AU"/>
              </w:rPr>
              <w:fldChar w:fldCharType="end"/>
            </w:r>
            <w:r w:rsidRPr="00F876B2">
              <w:rPr>
                <w:rFonts w:eastAsia="Times New Roman" w:cs="Segoe UI"/>
                <w:sz w:val="20"/>
                <w:szCs w:val="20"/>
                <w:lang w:eastAsia="en-AU"/>
              </w:rPr>
              <w:t xml:space="preserve"> reporting</w:t>
            </w:r>
            <w:r w:rsidR="00EC6FE5" w:rsidRPr="00F876B2">
              <w:rPr>
                <w:rFonts w:eastAsia="Times New Roman" w:cs="Segoe UI"/>
                <w:sz w:val="20"/>
                <w:szCs w:val="20"/>
                <w:lang w:eastAsia="en-AU"/>
              </w:rPr>
              <w:t>.</w:t>
            </w:r>
          </w:p>
          <w:p w14:paraId="34572A6D" w14:textId="77777777" w:rsidR="00D63425" w:rsidRPr="00F876B2" w:rsidRDefault="00D63425" w:rsidP="008505D7">
            <w:pPr>
              <w:pStyle w:val="ListParagraph"/>
              <w:numPr>
                <w:ilvl w:val="0"/>
                <w:numId w:val="126"/>
              </w:numPr>
              <w:rPr>
                <w:rFonts w:eastAsia="Times New Roman" w:cs="Segoe UI"/>
                <w:sz w:val="20"/>
                <w:szCs w:val="20"/>
                <w:lang w:eastAsia="en-AU"/>
              </w:rPr>
            </w:pPr>
            <w:r w:rsidRPr="00F876B2">
              <w:rPr>
                <w:rFonts w:eastAsia="Times New Roman" w:cs="Segoe UI"/>
                <w:sz w:val="20"/>
                <w:szCs w:val="20"/>
                <w:lang w:eastAsia="en-AU"/>
              </w:rPr>
              <w:t>Alignment with international best practice in comparable jurisdictions.</w:t>
            </w:r>
          </w:p>
          <w:p w14:paraId="693B3C91" w14:textId="1BCDD9BA" w:rsidR="00A901F2" w:rsidRPr="00FB31E2" w:rsidRDefault="00D63425" w:rsidP="008505D7">
            <w:pPr>
              <w:pStyle w:val="ListParagraph"/>
              <w:numPr>
                <w:ilvl w:val="0"/>
                <w:numId w:val="126"/>
              </w:numPr>
              <w:rPr>
                <w:rFonts w:eastAsia="Times New Roman" w:cs="Segoe UI"/>
                <w:kern w:val="24"/>
                <w:sz w:val="20"/>
                <w:szCs w:val="20"/>
                <w:lang w:eastAsia="en-AU"/>
              </w:rPr>
            </w:pPr>
            <w:r w:rsidRPr="00F876B2">
              <w:rPr>
                <w:rFonts w:eastAsia="Times New Roman" w:cs="Segoe UI"/>
                <w:sz w:val="20"/>
                <w:szCs w:val="20"/>
                <w:lang w:eastAsia="en-AU"/>
              </w:rPr>
              <w:t xml:space="preserve">The role of international standards for carbon </w:t>
            </w:r>
            <w:r w:rsidR="00F85771" w:rsidRPr="00F876B2">
              <w:rPr>
                <w:rFonts w:eastAsia="Times New Roman" w:cs="Segoe UI"/>
                <w:sz w:val="20"/>
                <w:szCs w:val="20"/>
                <w:lang w:eastAsia="en-AU"/>
              </w:rPr>
              <w:t>foot printing</w:t>
            </w:r>
            <w:r w:rsidRPr="00F876B2">
              <w:rPr>
                <w:rFonts w:eastAsia="Times New Roman" w:cs="Segoe UI"/>
                <w:sz w:val="20"/>
                <w:szCs w:val="20"/>
                <w:lang w:eastAsia="en-AU"/>
              </w:rPr>
              <w:t xml:space="preserve"> of health technology products.</w:t>
            </w:r>
          </w:p>
        </w:tc>
      </w:tr>
      <w:tr w:rsidR="008A5286" w:rsidRPr="006647C5" w14:paraId="19FE6614" w14:textId="77777777" w:rsidTr="00E54402">
        <w:trPr>
          <w:trHeight w:val="479"/>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39234AEE" w14:textId="6D2F7201" w:rsidR="008A5286" w:rsidRPr="00FB31E2" w:rsidRDefault="008A5286" w:rsidP="008505D7">
            <w:pPr>
              <w:pStyle w:val="Heading6"/>
              <w:numPr>
                <w:ilvl w:val="1"/>
                <w:numId w:val="35"/>
              </w:numPr>
              <w:rPr>
                <w:rFonts w:eastAsia="Times New Roman" w:cs="Segoe UI"/>
                <w:kern w:val="24"/>
              </w:rPr>
            </w:pPr>
            <w:r w:rsidRPr="009D14F6">
              <w:rPr>
                <w:color w:val="1D437F" w:themeColor="accent1"/>
              </w:rPr>
              <w:lastRenderedPageBreak/>
              <w:t>Mechanisms for continuous review and improvement</w:t>
            </w:r>
          </w:p>
        </w:tc>
      </w:tr>
      <w:tr w:rsidR="00A901F2" w:rsidRPr="006647C5" w14:paraId="7F1ED532" w14:textId="77777777" w:rsidTr="00B35B54">
        <w:trPr>
          <w:trHeight w:val="722"/>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78FE12E4" w14:textId="5EC0F35A" w:rsidR="00A901F2" w:rsidRPr="006647C5" w:rsidRDefault="00A901F2" w:rsidP="008A5286">
            <w:pPr>
              <w:pStyle w:val="Heading6"/>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46279B8E" w14:textId="48C350DF" w:rsidR="00A901F2" w:rsidRDefault="008A5286" w:rsidP="008C10BB">
            <w:pPr>
              <w:spacing w:after="120"/>
              <w:rPr>
                <w:rFonts w:eastAsia="Times New Roman" w:cs="Segoe UI"/>
                <w:color w:val="222A35"/>
                <w:kern w:val="24"/>
                <w:sz w:val="20"/>
                <w:szCs w:val="20"/>
                <w:lang w:eastAsia="en-AU"/>
              </w:rPr>
            </w:pPr>
            <w:r w:rsidRPr="00D55B65">
              <w:rPr>
                <w:rFonts w:eastAsia="Times New Roman" w:cs="Segoe UI"/>
                <w:color w:val="222A35"/>
                <w:kern w:val="24"/>
                <w:sz w:val="20"/>
                <w:szCs w:val="20"/>
                <w:lang w:eastAsia="en-AU"/>
              </w:rPr>
              <w:t>A program of continuous review and improvement for current HTA policies and methods</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15BE70B4" w14:textId="724DABA4" w:rsidR="00A02BCF" w:rsidRPr="00A02BCF" w:rsidRDefault="00A02BCF" w:rsidP="008C10BB">
            <w:pPr>
              <w:spacing w:after="120"/>
              <w:rPr>
                <w:rFonts w:eastAsia="Times New Roman" w:cs="Segoe UI"/>
                <w:color w:val="222A35"/>
                <w:kern w:val="24"/>
                <w:sz w:val="20"/>
                <w:szCs w:val="20"/>
                <w:lang w:eastAsia="en-AU"/>
              </w:rPr>
            </w:pPr>
            <w:r w:rsidRPr="00A02BCF">
              <w:rPr>
                <w:rFonts w:eastAsia="Times New Roman" w:cs="Segoe UI"/>
                <w:color w:val="222A35"/>
                <w:kern w:val="24"/>
                <w:sz w:val="20"/>
                <w:szCs w:val="20"/>
                <w:lang w:eastAsia="en-AU"/>
              </w:rPr>
              <w:t xml:space="preserve">This program should: </w:t>
            </w:r>
          </w:p>
          <w:p w14:paraId="45F661D0" w14:textId="3958E6CB" w:rsidR="00A02BCF" w:rsidRDefault="00A02BCF" w:rsidP="008505D7">
            <w:pPr>
              <w:pStyle w:val="ListParagraph"/>
              <w:numPr>
                <w:ilvl w:val="0"/>
                <w:numId w:val="128"/>
              </w:numPr>
              <w:rPr>
                <w:rFonts w:eastAsia="Times New Roman" w:cs="Segoe UI"/>
                <w:sz w:val="20"/>
                <w:szCs w:val="20"/>
                <w:lang w:eastAsia="en-AU"/>
              </w:rPr>
            </w:pPr>
            <w:r w:rsidRPr="00F876B2">
              <w:rPr>
                <w:rFonts w:eastAsia="Times New Roman" w:cs="Segoe UI"/>
                <w:sz w:val="20"/>
                <w:szCs w:val="20"/>
                <w:lang w:eastAsia="en-AU"/>
              </w:rPr>
              <w:t>Be</w:t>
            </w:r>
            <w:r w:rsidR="00A901F2" w:rsidRPr="00F876B2">
              <w:rPr>
                <w:rFonts w:eastAsia="Times New Roman" w:cs="Segoe UI"/>
                <w:sz w:val="20"/>
                <w:szCs w:val="20"/>
                <w:lang w:eastAsia="en-AU"/>
              </w:rPr>
              <w:t xml:space="preserve"> informed by consultation of internal and external stakeholders as well as research of international and interjurisdictional best practise to pick topics for review</w:t>
            </w:r>
            <w:r w:rsidR="00F74A88">
              <w:rPr>
                <w:rFonts w:eastAsia="Times New Roman" w:cs="Segoe UI"/>
                <w:sz w:val="20"/>
                <w:szCs w:val="20"/>
                <w:lang w:eastAsia="en-AU"/>
              </w:rPr>
              <w:t>.</w:t>
            </w:r>
          </w:p>
          <w:p w14:paraId="2A44E7DD" w14:textId="77777777" w:rsidR="00835AD9" w:rsidRPr="00835AD9" w:rsidRDefault="00835AD9" w:rsidP="00835AD9">
            <w:pPr>
              <w:pStyle w:val="ListParagraph"/>
              <w:numPr>
                <w:ilvl w:val="0"/>
                <w:numId w:val="128"/>
              </w:numPr>
              <w:rPr>
                <w:rFonts w:eastAsia="Times New Roman" w:cs="Segoe UI"/>
                <w:sz w:val="20"/>
                <w:szCs w:val="20"/>
                <w:lang w:eastAsia="en-AU"/>
              </w:rPr>
            </w:pPr>
            <w:r w:rsidRPr="00835AD9">
              <w:rPr>
                <w:rFonts w:eastAsia="Times New Roman" w:cs="Segoe UI"/>
                <w:sz w:val="20"/>
                <w:szCs w:val="20"/>
                <w:lang w:eastAsia="en-AU"/>
              </w:rPr>
              <w:t>Have a transparent forward schedule of the consultation and planned elements and features for review.</w:t>
            </w:r>
          </w:p>
          <w:p w14:paraId="32FC8680" w14:textId="458ECEF1" w:rsidR="00835AD9" w:rsidRPr="00F876B2" w:rsidRDefault="0092001B" w:rsidP="008505D7">
            <w:pPr>
              <w:pStyle w:val="ListParagraph"/>
              <w:numPr>
                <w:ilvl w:val="0"/>
                <w:numId w:val="128"/>
              </w:numPr>
              <w:rPr>
                <w:rFonts w:eastAsia="Times New Roman" w:cs="Segoe UI"/>
                <w:sz w:val="20"/>
                <w:szCs w:val="20"/>
                <w:lang w:eastAsia="en-AU"/>
              </w:rPr>
            </w:pPr>
            <w:r>
              <w:rPr>
                <w:rFonts w:eastAsia="Times New Roman" w:cs="Segoe UI"/>
                <w:sz w:val="20"/>
                <w:szCs w:val="20"/>
                <w:lang w:eastAsia="en-AU"/>
              </w:rPr>
              <w:t xml:space="preserve">Have </w:t>
            </w:r>
            <w:r w:rsidRPr="0092001B">
              <w:rPr>
                <w:rFonts w:eastAsia="Times New Roman" w:cs="Segoe UI"/>
                <w:sz w:val="20"/>
                <w:szCs w:val="20"/>
                <w:lang w:eastAsia="en-AU"/>
              </w:rPr>
              <w:t>a set time period for the reviews to be carried out (</w:t>
            </w:r>
            <w:proofErr w:type="gramStart"/>
            <w:r w:rsidRPr="0092001B">
              <w:rPr>
                <w:rFonts w:eastAsia="Times New Roman" w:cs="Segoe UI"/>
                <w:sz w:val="20"/>
                <w:szCs w:val="20"/>
                <w:lang w:eastAsia="en-AU"/>
              </w:rPr>
              <w:t>e.g.</w:t>
            </w:r>
            <w:proofErr w:type="gramEnd"/>
            <w:r w:rsidRPr="0092001B">
              <w:rPr>
                <w:rFonts w:eastAsia="Times New Roman" w:cs="Segoe UI"/>
                <w:sz w:val="20"/>
                <w:szCs w:val="20"/>
                <w:lang w:eastAsia="en-AU"/>
              </w:rPr>
              <w:t xml:space="preserve"> 12 months for the review of each topic or set of topics)</w:t>
            </w:r>
            <w:r>
              <w:rPr>
                <w:rFonts w:eastAsia="Times New Roman" w:cs="Segoe UI"/>
                <w:sz w:val="20"/>
                <w:szCs w:val="20"/>
                <w:lang w:eastAsia="en-AU"/>
              </w:rPr>
              <w:t>.</w:t>
            </w:r>
          </w:p>
          <w:p w14:paraId="7887719F" w14:textId="6C01FAD7" w:rsidR="00A901F2" w:rsidRDefault="00A02BCF" w:rsidP="008505D7">
            <w:pPr>
              <w:pStyle w:val="ListParagraph"/>
              <w:numPr>
                <w:ilvl w:val="0"/>
                <w:numId w:val="128"/>
              </w:numPr>
              <w:rPr>
                <w:rFonts w:eastAsia="Times New Roman" w:cs="Segoe UI"/>
                <w:color w:val="222A35"/>
                <w:kern w:val="24"/>
                <w:sz w:val="20"/>
                <w:szCs w:val="20"/>
                <w:lang w:eastAsia="en-AU"/>
              </w:rPr>
            </w:pPr>
            <w:r w:rsidRPr="00F876B2">
              <w:rPr>
                <w:rFonts w:eastAsia="Times New Roman" w:cs="Segoe UI"/>
                <w:sz w:val="20"/>
                <w:szCs w:val="20"/>
                <w:lang w:eastAsia="en-AU"/>
              </w:rPr>
              <w:t>Include</w:t>
            </w:r>
            <w:r w:rsidR="00A901F2" w:rsidRPr="00F876B2">
              <w:rPr>
                <w:rFonts w:eastAsia="Times New Roman" w:cs="Segoe UI"/>
                <w:sz w:val="20"/>
                <w:szCs w:val="20"/>
                <w:lang w:eastAsia="en-AU"/>
              </w:rPr>
              <w:t xml:space="preserve"> guidance such as the PBAC guidelines. </w:t>
            </w:r>
            <w:r w:rsidRPr="00F876B2">
              <w:rPr>
                <w:rFonts w:eastAsia="Times New Roman" w:cs="Segoe UI"/>
                <w:sz w:val="20"/>
                <w:szCs w:val="20"/>
                <w:lang w:eastAsia="en-AU"/>
              </w:rPr>
              <w:t>Consideration should be given to the development of the guidance as ‘living guidelines’</w:t>
            </w:r>
            <w:r w:rsidRPr="00A02BCF">
              <w:rPr>
                <w:rFonts w:eastAsia="Times New Roman" w:cs="Segoe UI"/>
                <w:color w:val="222A35"/>
                <w:kern w:val="24"/>
                <w:sz w:val="20"/>
                <w:szCs w:val="20"/>
                <w:lang w:eastAsia="en-AU"/>
              </w:rPr>
              <w:t>, which may be continuously updated with the evolution of new technologies and methodologies.</w:t>
            </w:r>
          </w:p>
        </w:tc>
      </w:tr>
      <w:tr w:rsidR="00A901F2" w:rsidRPr="006647C5" w14:paraId="3AEA49A9" w14:textId="77777777" w:rsidTr="00B35B54">
        <w:trPr>
          <w:trHeight w:val="239"/>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3755B51C" w14:textId="581A5279" w:rsidR="001A0B69" w:rsidRPr="008A6231" w:rsidRDefault="008A5286" w:rsidP="008505D7">
            <w:pPr>
              <w:pStyle w:val="Heading6"/>
              <w:numPr>
                <w:ilvl w:val="1"/>
                <w:numId w:val="35"/>
              </w:numPr>
              <w:rPr>
                <w:rFonts w:eastAsia="Times New Roman" w:cs="Segoe UI"/>
                <w:color w:val="222A35"/>
                <w:kern w:val="24"/>
              </w:rPr>
            </w:pPr>
            <w:r w:rsidRPr="009D14F6">
              <w:rPr>
                <w:color w:val="1D437F" w:themeColor="accent1"/>
              </w:rPr>
              <w:t>Capacity and capability of the HTA system</w:t>
            </w:r>
          </w:p>
        </w:tc>
      </w:tr>
      <w:tr w:rsidR="005C4E85" w:rsidRPr="006647C5" w14:paraId="0031670C" w14:textId="77777777" w:rsidTr="00E54402">
        <w:trPr>
          <w:trHeight w:val="996"/>
        </w:trPr>
        <w:tc>
          <w:tcPr>
            <w:tcW w:w="1055" w:type="dxa"/>
            <w:tcBorders>
              <w:bottom w:val="single" w:sz="2" w:space="0" w:color="1D437F" w:themeColor="accent1"/>
            </w:tcBorders>
            <w:shd w:val="clear" w:color="auto" w:fill="FFFFFF" w:themeFill="background1"/>
            <w:tcMar>
              <w:top w:w="72" w:type="dxa"/>
              <w:left w:w="144" w:type="dxa"/>
              <w:bottom w:w="72" w:type="dxa"/>
              <w:right w:w="144" w:type="dxa"/>
            </w:tcMar>
          </w:tcPr>
          <w:p w14:paraId="6ED36759" w14:textId="77777777" w:rsidR="008A5286" w:rsidRDefault="008A5286" w:rsidP="008A5286">
            <w:pPr>
              <w:pStyle w:val="Heading6"/>
            </w:pPr>
          </w:p>
        </w:tc>
        <w:tc>
          <w:tcPr>
            <w:tcW w:w="1901" w:type="dxa"/>
            <w:gridSpan w:val="2"/>
            <w:tcBorders>
              <w:top w:val="single" w:sz="4" w:space="0" w:color="E7E6E6" w:themeColor="background2"/>
              <w:bottom w:val="single" w:sz="2" w:space="0" w:color="1D437F" w:themeColor="accent1"/>
            </w:tcBorders>
            <w:shd w:val="clear" w:color="auto" w:fill="FFFFFF" w:themeFill="background1"/>
          </w:tcPr>
          <w:p w14:paraId="3F30B1CD" w14:textId="2FFF0DBF" w:rsidR="008A5286" w:rsidRDefault="008A5286" w:rsidP="008A5286">
            <w:pPr>
              <w:pStyle w:val="Heading7"/>
              <w:keepNext w:val="0"/>
              <w:keepLines w:val="0"/>
              <w:rPr>
                <w:lang w:eastAsia="en-AU"/>
              </w:rPr>
            </w:pPr>
            <w:r>
              <w:rPr>
                <w:lang w:eastAsia="en-AU"/>
              </w:rPr>
              <w:t>Improve HTA capacity and workforce in Australia</w:t>
            </w:r>
          </w:p>
        </w:tc>
        <w:tc>
          <w:tcPr>
            <w:tcW w:w="12779" w:type="dxa"/>
            <w:gridSpan w:val="2"/>
            <w:tcBorders>
              <w:top w:val="single" w:sz="4" w:space="0" w:color="E7E6E6" w:themeColor="background2"/>
              <w:bottom w:val="single" w:sz="2" w:space="0" w:color="1D437F" w:themeColor="accent1"/>
            </w:tcBorders>
            <w:shd w:val="clear" w:color="auto" w:fill="FFFFFF" w:themeFill="background1"/>
            <w:tcMar>
              <w:top w:w="72" w:type="dxa"/>
              <w:left w:w="144" w:type="dxa"/>
              <w:bottom w:w="72" w:type="dxa"/>
              <w:right w:w="144" w:type="dxa"/>
            </w:tcMar>
          </w:tcPr>
          <w:p w14:paraId="4A21D1AD" w14:textId="4D2CA437" w:rsidR="008A5286" w:rsidRPr="008A6231" w:rsidRDefault="008A5286" w:rsidP="008C10BB">
            <w:pPr>
              <w:spacing w:after="120"/>
              <w:rPr>
                <w:rFonts w:eastAsia="Times New Roman" w:cs="Segoe UI"/>
                <w:color w:val="222A35"/>
                <w:kern w:val="24"/>
                <w:sz w:val="20"/>
                <w:szCs w:val="20"/>
                <w:lang w:eastAsia="en-AU"/>
              </w:rPr>
            </w:pPr>
            <w:r w:rsidRPr="008A6231">
              <w:rPr>
                <w:rFonts w:eastAsia="Times New Roman" w:cs="Segoe UI"/>
                <w:color w:val="222A35"/>
                <w:kern w:val="24"/>
                <w:sz w:val="20"/>
                <w:szCs w:val="20"/>
                <w:lang w:eastAsia="en-AU"/>
              </w:rPr>
              <w:t xml:space="preserve">Develop a sponsored internship program where universities offering HTA courses and with HTA Evaluation Groups identify students for formal training in coursework. Students then undertake paid internships with the Evaluation Group to conduct evaluations, with Governments (Commonwealth and/or </w:t>
            </w:r>
            <w:r w:rsidR="00F57C8A">
              <w:rPr>
                <w:rFonts w:eastAsia="Times New Roman" w:cs="Segoe UI"/>
                <w:color w:val="222A35"/>
                <w:kern w:val="24"/>
                <w:sz w:val="20"/>
                <w:szCs w:val="20"/>
                <w:lang w:eastAsia="en-AU"/>
              </w:rPr>
              <w:t>state</w:t>
            </w:r>
            <w:r w:rsidRPr="008A6231">
              <w:rPr>
                <w:rFonts w:eastAsia="Times New Roman" w:cs="Segoe UI"/>
                <w:color w:val="222A35"/>
                <w:kern w:val="24"/>
                <w:sz w:val="20"/>
                <w:szCs w:val="20"/>
                <w:lang w:eastAsia="en-AU"/>
              </w:rPr>
              <w:t>/</w:t>
            </w:r>
            <w:r w:rsidR="00F57C8A">
              <w:rPr>
                <w:rFonts w:eastAsia="Times New Roman" w:cs="Segoe UI"/>
                <w:color w:val="222A35"/>
                <w:kern w:val="24"/>
                <w:sz w:val="20"/>
                <w:szCs w:val="20"/>
                <w:lang w:eastAsia="en-AU"/>
              </w:rPr>
              <w:t>territory</w:t>
            </w:r>
            <w:r w:rsidRPr="008A6231">
              <w:rPr>
                <w:rFonts w:eastAsia="Times New Roman" w:cs="Segoe UI"/>
                <w:color w:val="222A35"/>
                <w:kern w:val="24"/>
                <w:sz w:val="20"/>
                <w:szCs w:val="20"/>
                <w:lang w:eastAsia="en-AU"/>
              </w:rPr>
              <w:t>) to understand technology appraisal by the HTA Committee/s and policy areas</w:t>
            </w:r>
            <w:r>
              <w:rPr>
                <w:rFonts w:eastAsia="Times New Roman" w:cs="Segoe UI"/>
                <w:color w:val="222A35"/>
                <w:kern w:val="24"/>
                <w:sz w:val="20"/>
                <w:szCs w:val="20"/>
                <w:lang w:eastAsia="en-AU"/>
              </w:rPr>
              <w:t>, and industry (where secondment positions available)</w:t>
            </w:r>
            <w:r w:rsidRPr="008A6231">
              <w:rPr>
                <w:rFonts w:eastAsia="Times New Roman" w:cs="Segoe UI"/>
                <w:color w:val="222A35"/>
                <w:kern w:val="24"/>
                <w:sz w:val="20"/>
                <w:szCs w:val="20"/>
                <w:lang w:eastAsia="en-AU"/>
              </w:rPr>
              <w:t xml:space="preserve">. Development would be based and tracked on the HTA competencies previously developed for </w:t>
            </w:r>
            <w:r w:rsidR="00EC7653">
              <w:rPr>
                <w:rFonts w:eastAsia="Times New Roman" w:cs="Segoe UI"/>
                <w:color w:val="222A35"/>
                <w:kern w:val="24"/>
                <w:sz w:val="20"/>
                <w:szCs w:val="20"/>
                <w:lang w:eastAsia="en-AU"/>
              </w:rPr>
              <w:t>G</w:t>
            </w:r>
            <w:r w:rsidRPr="008A6231">
              <w:rPr>
                <w:rFonts w:eastAsia="Times New Roman" w:cs="Segoe UI"/>
                <w:color w:val="222A35"/>
                <w:kern w:val="24"/>
                <w:sz w:val="20"/>
                <w:szCs w:val="20"/>
                <w:lang w:eastAsia="en-AU"/>
              </w:rPr>
              <w:t xml:space="preserve">overnment. </w:t>
            </w:r>
          </w:p>
        </w:tc>
      </w:tr>
      <w:tr w:rsidR="007528C7" w:rsidRPr="006647C5" w14:paraId="4D7180C5" w14:textId="77777777" w:rsidTr="00E54402">
        <w:trPr>
          <w:trHeight w:val="232"/>
        </w:trPr>
        <w:tc>
          <w:tcPr>
            <w:tcW w:w="15735" w:type="dxa"/>
            <w:gridSpan w:val="5"/>
            <w:tcBorders>
              <w:top w:val="single" w:sz="2" w:space="0" w:color="1D437F" w:themeColor="accent1"/>
            </w:tcBorders>
            <w:shd w:val="clear" w:color="auto" w:fill="FFFFFF" w:themeFill="background1"/>
            <w:tcMar>
              <w:top w:w="72" w:type="dxa"/>
              <w:left w:w="144" w:type="dxa"/>
              <w:bottom w:w="72" w:type="dxa"/>
              <w:right w:w="144" w:type="dxa"/>
            </w:tcMar>
          </w:tcPr>
          <w:p w14:paraId="59A5EC92" w14:textId="33E988A3" w:rsidR="007528C7" w:rsidRPr="002C6F9C" w:rsidRDefault="007528C7" w:rsidP="008505D7">
            <w:pPr>
              <w:pStyle w:val="Heading6"/>
              <w:numPr>
                <w:ilvl w:val="1"/>
                <w:numId w:val="35"/>
              </w:numPr>
              <w:rPr>
                <w:color w:val="1D437F" w:themeColor="accent1"/>
              </w:rPr>
            </w:pPr>
            <w:r w:rsidRPr="009D14F6">
              <w:rPr>
                <w:color w:val="1D437F" w:themeColor="accent1"/>
              </w:rPr>
              <w:t>Strengthen international partnerships and work-sharing</w:t>
            </w:r>
            <w:r>
              <w:rPr>
                <w:color w:val="1D437F" w:themeColor="accent1"/>
              </w:rPr>
              <w:fldChar w:fldCharType="begin"/>
            </w:r>
            <w:r w:rsidRPr="002C6F9C">
              <w:rPr>
                <w:color w:val="1D437F" w:themeColor="accent1"/>
              </w:rPr>
              <w:instrText xml:space="preserve"> XE "work-sharing" \b </w:instrText>
            </w:r>
            <w:r>
              <w:rPr>
                <w:color w:val="1D437F" w:themeColor="accent1"/>
              </w:rPr>
              <w:fldChar w:fldCharType="end"/>
            </w:r>
          </w:p>
        </w:tc>
      </w:tr>
      <w:tr w:rsidR="00036BEC" w:rsidRPr="006647C5" w14:paraId="6F03F1AA" w14:textId="77777777" w:rsidTr="00534579">
        <w:trPr>
          <w:trHeight w:val="996"/>
        </w:trPr>
        <w:tc>
          <w:tcPr>
            <w:tcW w:w="1055" w:type="dxa"/>
            <w:shd w:val="clear" w:color="auto" w:fill="FFFFFF" w:themeFill="background1"/>
            <w:tcMar>
              <w:top w:w="72" w:type="dxa"/>
              <w:left w:w="144" w:type="dxa"/>
              <w:bottom w:w="72" w:type="dxa"/>
              <w:right w:w="144" w:type="dxa"/>
            </w:tcMar>
          </w:tcPr>
          <w:p w14:paraId="02300B78" w14:textId="4A16C647" w:rsidR="00036BEC" w:rsidRPr="00F24658" w:rsidRDefault="00036BEC" w:rsidP="008C10BB">
            <w:pPr>
              <w:spacing w:after="120"/>
              <w:rPr>
                <w:rFonts w:eastAsia="Times New Roman" w:cs="Segoe UI"/>
                <w:color w:val="222A35"/>
                <w:kern w:val="24"/>
                <w:sz w:val="20"/>
                <w:szCs w:val="20"/>
                <w:lang w:eastAsia="en-AU"/>
              </w:rPr>
            </w:pPr>
            <w:r w:rsidRPr="009D14F6">
              <w:rPr>
                <w:rFonts w:eastAsia="Times New Roman" w:cs="Segoe UI"/>
                <w:i/>
                <w:color w:val="222A35"/>
                <w:kern w:val="24"/>
                <w:sz w:val="20"/>
                <w:szCs w:val="20"/>
                <w:lang w:eastAsia="en-AU"/>
              </w:rPr>
              <w:t xml:space="preserve">. </w:t>
            </w:r>
          </w:p>
        </w:tc>
        <w:tc>
          <w:tcPr>
            <w:tcW w:w="14680" w:type="dxa"/>
            <w:gridSpan w:val="4"/>
            <w:shd w:val="clear" w:color="auto" w:fill="FFFFFF" w:themeFill="background1"/>
          </w:tcPr>
          <w:p w14:paraId="390150AE" w14:textId="77777777" w:rsidR="00036BEC" w:rsidRPr="007116D1" w:rsidRDefault="00036BEC" w:rsidP="00036BEC">
            <w:pPr>
              <w:pStyle w:val="Heading7"/>
              <w:keepNext w:val="0"/>
              <w:keepLines w:val="0"/>
              <w:rPr>
                <w:rFonts w:eastAsia="Times New Roman"/>
                <w:color w:val="222A35"/>
                <w:kern w:val="24"/>
                <w:lang w:eastAsia="en-AU"/>
              </w:rPr>
            </w:pPr>
            <w:r>
              <w:rPr>
                <w:rFonts w:eastAsia="Times New Roman"/>
                <w:color w:val="222A35"/>
                <w:kern w:val="24"/>
                <w:lang w:eastAsia="en-AU"/>
              </w:rPr>
              <w:t>A note on i</w:t>
            </w:r>
            <w:r w:rsidRPr="009D14F6">
              <w:rPr>
                <w:rFonts w:eastAsia="Times New Roman"/>
                <w:color w:val="222A35"/>
                <w:kern w:val="24"/>
                <w:lang w:eastAsia="en-AU"/>
              </w:rPr>
              <w:t>nternational</w:t>
            </w:r>
            <w:r w:rsidRPr="007116D1">
              <w:rPr>
                <w:rFonts w:eastAsia="Times New Roman"/>
                <w:color w:val="222A35"/>
                <w:kern w:val="24"/>
                <w:lang w:eastAsia="en-AU"/>
              </w:rPr>
              <w:t xml:space="preserve"> Harmonisation and Work-sharing</w:t>
            </w:r>
            <w:r>
              <w:rPr>
                <w:rFonts w:eastAsia="Times New Roman"/>
                <w:color w:val="222A35"/>
                <w:kern w:val="24"/>
                <w:lang w:eastAsia="en-AU"/>
              </w:rPr>
              <w:t xml:space="preserve"> options:</w:t>
            </w:r>
          </w:p>
          <w:p w14:paraId="09752B1F" w14:textId="04DADE27" w:rsidR="00036BEC" w:rsidRPr="00633816" w:rsidRDefault="00036BEC" w:rsidP="008C10BB">
            <w:pPr>
              <w:spacing w:after="120"/>
              <w:rPr>
                <w:rFonts w:eastAsia="Times New Roman" w:cs="Segoe UI"/>
                <w:color w:val="222A35"/>
                <w:kern w:val="24"/>
                <w:sz w:val="20"/>
                <w:szCs w:val="20"/>
                <w:lang w:eastAsia="en-AU"/>
              </w:rPr>
            </w:pPr>
            <w:r w:rsidRPr="009D14F6">
              <w:rPr>
                <w:rFonts w:eastAsia="Times New Roman" w:cs="Segoe UI"/>
                <w:i/>
                <w:color w:val="222A35"/>
                <w:kern w:val="24"/>
                <w:sz w:val="20"/>
                <w:szCs w:val="20"/>
                <w:lang w:eastAsia="en-AU"/>
              </w:rPr>
              <w:t xml:space="preserve">The following options are designed to improve international consistency, time to listing, and HTA capacity. </w:t>
            </w:r>
            <w:proofErr w:type="gramStart"/>
            <w:r w:rsidRPr="009D14F6">
              <w:rPr>
                <w:rFonts w:eastAsia="Times New Roman" w:cs="Segoe UI"/>
                <w:i/>
                <w:color w:val="222A35"/>
                <w:kern w:val="24"/>
                <w:sz w:val="20"/>
                <w:szCs w:val="20"/>
                <w:lang w:eastAsia="en-AU"/>
              </w:rPr>
              <w:t>However</w:t>
            </w:r>
            <w:proofErr w:type="gramEnd"/>
            <w:r w:rsidRPr="009D14F6">
              <w:rPr>
                <w:rFonts w:eastAsia="Times New Roman" w:cs="Segoe UI"/>
                <w:i/>
                <w:color w:val="222A35"/>
                <w:kern w:val="24"/>
                <w:sz w:val="20"/>
                <w:szCs w:val="20"/>
                <w:lang w:eastAsia="en-AU"/>
              </w:rPr>
              <w:t xml:space="preserve"> it should be noted that resource will be required for the establishment of and operation of international work-sharing pathways, and in some cases the coordination requirements for joint submissions may not result in lower resourcing requirements at the local level</w:t>
            </w:r>
          </w:p>
        </w:tc>
      </w:tr>
      <w:tr w:rsidR="006708DF" w:rsidRPr="006647C5" w14:paraId="51DE7E84" w14:textId="77777777" w:rsidTr="00534579">
        <w:trPr>
          <w:trHeight w:val="996"/>
        </w:trPr>
        <w:tc>
          <w:tcPr>
            <w:tcW w:w="1055" w:type="dxa"/>
            <w:shd w:val="clear" w:color="auto" w:fill="FFFFFF" w:themeFill="background1"/>
            <w:tcMar>
              <w:top w:w="72" w:type="dxa"/>
              <w:left w:w="144" w:type="dxa"/>
              <w:bottom w:w="72" w:type="dxa"/>
              <w:right w:w="144" w:type="dxa"/>
            </w:tcMar>
          </w:tcPr>
          <w:p w14:paraId="2B594856" w14:textId="77777777" w:rsidR="006708DF" w:rsidRDefault="006708DF"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07D0C5C8" w14:textId="77777777" w:rsidR="006708DF" w:rsidRPr="00324CC4" w:rsidRDefault="006708DF" w:rsidP="008C10BB">
            <w:pPr>
              <w:spacing w:after="120"/>
              <w:rPr>
                <w:rFonts w:eastAsia="Times New Roman" w:cs="Segoe UI"/>
                <w:bCs/>
                <w:color w:val="222A35"/>
                <w:kern w:val="24"/>
                <w:sz w:val="20"/>
                <w:szCs w:val="20"/>
                <w:lang w:eastAsia="en-AU"/>
              </w:rPr>
            </w:pPr>
            <w:r w:rsidRPr="00324CC4">
              <w:rPr>
                <w:rFonts w:eastAsia="Times New Roman" w:cs="Segoe UI"/>
                <w:bCs/>
                <w:color w:val="222A35"/>
                <w:kern w:val="24"/>
                <w:sz w:val="20"/>
                <w:szCs w:val="20"/>
                <w:lang w:eastAsia="en-AU"/>
              </w:rPr>
              <w:t xml:space="preserve">Harmonisation of HTA evaluations </w:t>
            </w:r>
          </w:p>
          <w:p w14:paraId="1B38E742" w14:textId="77777777" w:rsidR="006708DF" w:rsidDel="002B3DC5" w:rsidRDefault="006708DF" w:rsidP="006708DF">
            <w:pPr>
              <w:pStyle w:val="Heading7"/>
              <w:keepNext w:val="0"/>
              <w:keepLines w:val="0"/>
              <w:rPr>
                <w:lang w:eastAsia="en-AU"/>
              </w:rPr>
            </w:pP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0703302" w14:textId="113F797F" w:rsidR="006708DF" w:rsidRPr="00F876B2" w:rsidRDefault="006708DF" w:rsidP="008505D7">
            <w:pPr>
              <w:pStyle w:val="ListParagraph"/>
              <w:numPr>
                <w:ilvl w:val="0"/>
                <w:numId w:val="130"/>
              </w:numPr>
              <w:rPr>
                <w:rFonts w:eastAsia="Times New Roman" w:cs="Segoe UI"/>
                <w:sz w:val="20"/>
                <w:szCs w:val="20"/>
                <w:lang w:eastAsia="en-AU"/>
              </w:rPr>
            </w:pPr>
            <w:r w:rsidRPr="00F876B2">
              <w:rPr>
                <w:rFonts w:eastAsia="Times New Roman" w:cs="Segoe UI"/>
                <w:sz w:val="20"/>
                <w:szCs w:val="20"/>
                <w:lang w:eastAsia="en-AU"/>
              </w:rPr>
              <w:t>Methodology - The Commonwealth progress inter-agency collaboration</w:t>
            </w:r>
            <w:r w:rsidR="00306661">
              <w:rPr>
                <w:rFonts w:eastAsia="Times New Roman" w:cs="Segoe UI"/>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sz w:val="20"/>
                <w:szCs w:val="20"/>
                <w:lang w:eastAsia="en-AU"/>
              </w:rPr>
              <w:fldChar w:fldCharType="end"/>
            </w:r>
            <w:r w:rsidRPr="00F876B2">
              <w:rPr>
                <w:rFonts w:eastAsia="Times New Roman" w:cs="Segoe UI"/>
                <w:sz w:val="20"/>
                <w:szCs w:val="20"/>
                <w:lang w:eastAsia="en-AU"/>
              </w:rPr>
              <w:t xml:space="preserve"> and design relating to common HTA evaluation methodology, to facilitate testing and (prospective) formal introduction of HTA evaluation work sharing pathways across participating jurisdictions. </w:t>
            </w:r>
          </w:p>
          <w:p w14:paraId="710C848C" w14:textId="5EDEBB54" w:rsidR="006708DF" w:rsidRDefault="006708DF" w:rsidP="008505D7">
            <w:pPr>
              <w:pStyle w:val="ListParagraph"/>
              <w:numPr>
                <w:ilvl w:val="0"/>
                <w:numId w:val="130"/>
              </w:numPr>
              <w:rPr>
                <w:rFonts w:eastAsia="Times New Roman" w:cs="Segoe UI"/>
                <w:color w:val="222A35"/>
                <w:kern w:val="24"/>
                <w:sz w:val="20"/>
                <w:szCs w:val="20"/>
                <w:lang w:eastAsia="en-AU"/>
              </w:rPr>
            </w:pPr>
            <w:r w:rsidRPr="00F876B2">
              <w:rPr>
                <w:rFonts w:eastAsia="Times New Roman" w:cs="Segoe UI"/>
                <w:sz w:val="20"/>
                <w:szCs w:val="20"/>
                <w:lang w:eastAsia="en-AU"/>
              </w:rPr>
              <w:t xml:space="preserve">Timing of discussions - The Commonwealth </w:t>
            </w:r>
            <w:r w:rsidR="004322D8">
              <w:rPr>
                <w:rFonts w:eastAsia="Times New Roman" w:cs="Segoe UI"/>
                <w:sz w:val="20"/>
                <w:szCs w:val="20"/>
                <w:lang w:eastAsia="en-AU"/>
              </w:rPr>
              <w:t xml:space="preserve">to </w:t>
            </w:r>
            <w:r w:rsidRPr="00F876B2">
              <w:rPr>
                <w:rFonts w:eastAsia="Times New Roman" w:cs="Segoe UI"/>
                <w:sz w:val="20"/>
                <w:szCs w:val="20"/>
                <w:lang w:eastAsia="en-AU"/>
              </w:rPr>
              <w:t xml:space="preserve">update its parallel scientific advice/early dialogue policies to facilitate discussions with industry sponsors, health technology users (principally clinicians and patients) and HTA and regulatory entities earlier than current arrangements (both locally </w:t>
            </w:r>
            <w:proofErr w:type="gramStart"/>
            <w:r w:rsidRPr="00F876B2">
              <w:rPr>
                <w:rFonts w:eastAsia="Times New Roman" w:cs="Segoe UI"/>
                <w:sz w:val="20"/>
                <w:szCs w:val="20"/>
                <w:lang w:eastAsia="en-AU"/>
              </w:rPr>
              <w:t>or</w:t>
            </w:r>
            <w:proofErr w:type="gramEnd"/>
            <w:r w:rsidRPr="00F876B2">
              <w:rPr>
                <w:rFonts w:eastAsia="Times New Roman" w:cs="Segoe UI"/>
                <w:sz w:val="20"/>
                <w:szCs w:val="20"/>
                <w:lang w:eastAsia="en-AU"/>
              </w:rPr>
              <w:t xml:space="preserve"> regionally where a joint evaluation is under consideration).</w:t>
            </w:r>
          </w:p>
        </w:tc>
      </w:tr>
      <w:tr w:rsidR="006708DF" w:rsidRPr="006647C5" w14:paraId="2354773A" w14:textId="77777777" w:rsidTr="00534579">
        <w:trPr>
          <w:trHeight w:val="996"/>
        </w:trPr>
        <w:tc>
          <w:tcPr>
            <w:tcW w:w="1055" w:type="dxa"/>
            <w:shd w:val="clear" w:color="auto" w:fill="FFFFFF" w:themeFill="background1"/>
            <w:tcMar>
              <w:top w:w="72" w:type="dxa"/>
              <w:left w:w="144" w:type="dxa"/>
              <w:bottom w:w="72" w:type="dxa"/>
              <w:right w:w="144" w:type="dxa"/>
            </w:tcMar>
          </w:tcPr>
          <w:p w14:paraId="0DBA3810" w14:textId="77777777" w:rsidR="006708DF" w:rsidRDefault="006708DF"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37DCB3B8" w14:textId="77777777" w:rsidR="006708DF" w:rsidRPr="007D40BB" w:rsidRDefault="006708DF" w:rsidP="008C10BB">
            <w:pPr>
              <w:spacing w:after="120"/>
              <w:rPr>
                <w:rFonts w:eastAsia="Times New Roman" w:cs="Segoe UI"/>
                <w:color w:val="222A35"/>
                <w:kern w:val="24"/>
                <w:sz w:val="20"/>
                <w:szCs w:val="20"/>
                <w:lang w:eastAsia="en-AU"/>
              </w:rPr>
            </w:pPr>
            <w:r w:rsidRPr="007D40BB">
              <w:rPr>
                <w:rFonts w:eastAsia="Times New Roman" w:cs="Segoe UI"/>
                <w:color w:val="222A35"/>
                <w:kern w:val="24"/>
                <w:sz w:val="20"/>
                <w:szCs w:val="20"/>
                <w:lang w:eastAsia="en-AU"/>
              </w:rPr>
              <w:t xml:space="preserve">Work sharing for individual </w:t>
            </w:r>
            <w:proofErr w:type="gramStart"/>
            <w:r w:rsidRPr="007D40BB">
              <w:rPr>
                <w:rFonts w:eastAsia="Times New Roman" w:cs="Segoe UI"/>
                <w:color w:val="222A35"/>
                <w:kern w:val="24"/>
                <w:sz w:val="20"/>
                <w:szCs w:val="20"/>
                <w:lang w:eastAsia="en-AU"/>
              </w:rPr>
              <w:t>submissions</w:t>
            </w:r>
            <w:proofErr w:type="gramEnd"/>
            <w:r w:rsidRPr="007D40BB">
              <w:rPr>
                <w:rFonts w:eastAsia="Times New Roman" w:cs="Segoe UI"/>
                <w:color w:val="222A35"/>
                <w:kern w:val="24"/>
                <w:sz w:val="20"/>
                <w:szCs w:val="20"/>
                <w:lang w:eastAsia="en-AU"/>
              </w:rPr>
              <w:t xml:space="preserve"> </w:t>
            </w:r>
          </w:p>
          <w:p w14:paraId="3C058692" w14:textId="77777777" w:rsidR="006708DF" w:rsidRPr="00324CC4" w:rsidRDefault="006708DF" w:rsidP="008C10BB">
            <w:pPr>
              <w:spacing w:after="120"/>
              <w:rPr>
                <w:rFonts w:eastAsia="Times New Roman" w:cs="Segoe UI"/>
                <w:bCs/>
                <w:color w:val="222A35"/>
                <w:kern w:val="24"/>
                <w:sz w:val="20"/>
                <w:szCs w:val="20"/>
                <w:lang w:eastAsia="en-AU"/>
              </w:rPr>
            </w:pP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9C223D5" w14:textId="72FD71E4" w:rsidR="006708DF" w:rsidRPr="00F24658" w:rsidRDefault="006708DF" w:rsidP="008C10BB">
            <w:pPr>
              <w:spacing w:after="120"/>
              <w:rPr>
                <w:rFonts w:eastAsia="Times New Roman" w:cs="Segoe UI"/>
                <w:color w:val="222A35"/>
                <w:kern w:val="24"/>
                <w:sz w:val="20"/>
                <w:szCs w:val="20"/>
                <w:lang w:eastAsia="en-AU"/>
              </w:rPr>
            </w:pPr>
            <w:r w:rsidRPr="00F24658">
              <w:rPr>
                <w:rFonts w:eastAsia="Times New Roman" w:cs="Segoe UI"/>
                <w:color w:val="222A35"/>
                <w:kern w:val="24"/>
                <w:sz w:val="20"/>
                <w:szCs w:val="20"/>
                <w:lang w:eastAsia="en-AU"/>
              </w:rPr>
              <w:t xml:space="preserve">The Commonwealth </w:t>
            </w:r>
            <w:r w:rsidR="00A83A8B">
              <w:rPr>
                <w:rFonts w:eastAsia="Times New Roman" w:cs="Segoe UI"/>
                <w:color w:val="222A35"/>
                <w:kern w:val="24"/>
                <w:sz w:val="20"/>
                <w:szCs w:val="20"/>
                <w:lang w:eastAsia="en-AU"/>
              </w:rPr>
              <w:t xml:space="preserve">to </w:t>
            </w:r>
            <w:r w:rsidRPr="00F24658">
              <w:rPr>
                <w:rFonts w:eastAsia="Times New Roman" w:cs="Segoe UI"/>
                <w:color w:val="222A35"/>
                <w:kern w:val="24"/>
                <w:sz w:val="20"/>
                <w:szCs w:val="20"/>
                <w:lang w:eastAsia="en-AU"/>
              </w:rPr>
              <w:t xml:space="preserve">progress reforms to pilot work sharing pathways for individual (medicines and </w:t>
            </w:r>
            <w:r w:rsidR="00E60179">
              <w:rPr>
                <w:rFonts w:eastAsia="Times New Roman" w:cs="Segoe UI"/>
                <w:color w:val="222A35"/>
                <w:kern w:val="24"/>
                <w:sz w:val="20"/>
                <w:szCs w:val="20"/>
                <w:lang w:eastAsia="en-AU"/>
              </w:rPr>
              <w:t>advanced therapies</w:t>
            </w:r>
            <w:r w:rsidR="00700B73">
              <w:rPr>
                <w:rFonts w:eastAsia="Times New Roman" w:cs="Segoe UI"/>
                <w:color w:val="222A35"/>
                <w:kern w:val="24"/>
                <w:sz w:val="20"/>
                <w:szCs w:val="20"/>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sz w:val="20"/>
                <w:szCs w:val="20"/>
                <w:lang w:eastAsia="en-AU"/>
              </w:rPr>
              <w:fldChar w:fldCharType="end"/>
            </w:r>
            <w:r w:rsidRPr="00F24658">
              <w:rPr>
                <w:rFonts w:eastAsia="Times New Roman" w:cs="Segoe UI"/>
                <w:color w:val="222A35"/>
                <w:kern w:val="24"/>
                <w:sz w:val="20"/>
                <w:szCs w:val="20"/>
                <w:lang w:eastAsia="en-AU"/>
              </w:rPr>
              <w:t xml:space="preserve"> reimbursement submissions submitted across jurisdictions with comparable approaches to HTA evaluation, with a view to evaluating the merits of collaborative evaluation for reimbursement-related purposes and (if positive) embedding into the HTA framework. Available pathways should include at least one of the following options:</w:t>
            </w:r>
          </w:p>
          <w:p w14:paraId="37E5764D" w14:textId="3AFF71E7" w:rsidR="006708DF" w:rsidRPr="00F24658" w:rsidRDefault="006708DF" w:rsidP="008505D7">
            <w:pPr>
              <w:pStyle w:val="ListParagraph"/>
              <w:numPr>
                <w:ilvl w:val="0"/>
                <w:numId w:val="132"/>
              </w:numPr>
              <w:rPr>
                <w:rFonts w:eastAsia="Times New Roman" w:cs="Segoe UI"/>
                <w:color w:val="222A35"/>
                <w:kern w:val="24"/>
                <w:sz w:val="20"/>
                <w:szCs w:val="20"/>
                <w:lang w:eastAsia="en-AU"/>
              </w:rPr>
            </w:pPr>
            <w:r w:rsidRPr="00F24658">
              <w:rPr>
                <w:rFonts w:eastAsia="Times New Roman" w:cs="Segoe UI"/>
                <w:color w:val="222A35"/>
                <w:kern w:val="24"/>
                <w:sz w:val="20"/>
                <w:szCs w:val="20"/>
                <w:u w:val="single"/>
                <w:lang w:eastAsia="en-AU"/>
              </w:rPr>
              <w:lastRenderedPageBreak/>
              <w:t>“Work Sharing Initiative” pathway</w:t>
            </w:r>
            <w:r w:rsidRPr="00F24658">
              <w:rPr>
                <w:rFonts w:eastAsia="Times New Roman" w:cs="Segoe UI"/>
                <w:color w:val="222A35"/>
                <w:kern w:val="24"/>
                <w:sz w:val="20"/>
                <w:szCs w:val="20"/>
                <w:lang w:eastAsia="en-AU"/>
              </w:rPr>
              <w:t xml:space="preserve">, where concurrent reimbursement submissions are lodged in multiple jurisdictions and dossier modules are work-split amongst participating </w:t>
            </w:r>
            <w:proofErr w:type="gramStart"/>
            <w:r w:rsidRPr="00F24658">
              <w:rPr>
                <w:rFonts w:eastAsia="Times New Roman" w:cs="Segoe UI"/>
                <w:color w:val="222A35"/>
                <w:kern w:val="24"/>
                <w:sz w:val="20"/>
                <w:szCs w:val="20"/>
                <w:lang w:eastAsia="en-AU"/>
              </w:rPr>
              <w:t>agencies</w:t>
            </w:r>
            <w:proofErr w:type="gramEnd"/>
          </w:p>
          <w:p w14:paraId="78F82C3B" w14:textId="3B7141CB" w:rsidR="006708DF" w:rsidRPr="00F24658" w:rsidRDefault="006708DF" w:rsidP="008505D7">
            <w:pPr>
              <w:pStyle w:val="ListParagraph"/>
              <w:numPr>
                <w:ilvl w:val="0"/>
                <w:numId w:val="132"/>
              </w:numPr>
              <w:rPr>
                <w:rFonts w:eastAsia="Times New Roman" w:cs="Segoe UI"/>
                <w:color w:val="222A35"/>
                <w:kern w:val="24"/>
                <w:sz w:val="20"/>
                <w:szCs w:val="20"/>
                <w:lang w:eastAsia="en-AU"/>
              </w:rPr>
            </w:pPr>
            <w:r w:rsidRPr="00F24658">
              <w:rPr>
                <w:rFonts w:eastAsia="Times New Roman" w:cs="Segoe UI"/>
                <w:color w:val="222A35"/>
                <w:kern w:val="24"/>
                <w:sz w:val="20"/>
                <w:szCs w:val="20"/>
                <w:u w:val="single"/>
                <w:lang w:eastAsia="en-AU"/>
              </w:rPr>
              <w:t>“Comparable Overseas Agency” (COA) pathway</w:t>
            </w:r>
            <w:r w:rsidRPr="00F24658">
              <w:rPr>
                <w:rFonts w:eastAsia="Times New Roman" w:cs="Segoe UI"/>
                <w:color w:val="222A35"/>
                <w:kern w:val="24"/>
                <w:sz w:val="20"/>
                <w:szCs w:val="20"/>
                <w:lang w:eastAsia="en-AU"/>
              </w:rPr>
              <w:t>, where finalised HTA evaluations from comparable agencies are provided for review (with redactions for localised pricing information as strictly necessary)</w:t>
            </w:r>
          </w:p>
          <w:p w14:paraId="2A53A010" w14:textId="293AF375" w:rsidR="006708DF" w:rsidRDefault="002852F3" w:rsidP="008505D7">
            <w:pPr>
              <w:pStyle w:val="ListParagraph"/>
              <w:numPr>
                <w:ilvl w:val="0"/>
                <w:numId w:val="132"/>
              </w:numPr>
              <w:rPr>
                <w:rFonts w:eastAsia="Times New Roman" w:cs="Segoe UI"/>
                <w:color w:val="222A35"/>
                <w:kern w:val="24"/>
                <w:sz w:val="20"/>
                <w:szCs w:val="20"/>
                <w:lang w:eastAsia="en-AU"/>
              </w:rPr>
            </w:pPr>
            <w:r>
              <w:rPr>
                <w:rFonts w:eastAsia="Times New Roman" w:cs="Segoe UI"/>
                <w:color w:val="222A35"/>
                <w:kern w:val="24"/>
                <w:sz w:val="20"/>
                <w:szCs w:val="20"/>
                <w:u w:val="single"/>
                <w:lang w:eastAsia="en-AU"/>
              </w:rPr>
              <w:t>J</w:t>
            </w:r>
            <w:r w:rsidR="006708DF" w:rsidRPr="00F24658">
              <w:rPr>
                <w:rFonts w:eastAsia="Times New Roman" w:cs="Segoe UI"/>
                <w:color w:val="222A35"/>
                <w:kern w:val="24"/>
                <w:sz w:val="20"/>
                <w:szCs w:val="20"/>
                <w:u w:val="single"/>
                <w:lang w:eastAsia="en-AU"/>
              </w:rPr>
              <w:t>oint “Expression of Interest” (EOI) HTA pathway</w:t>
            </w:r>
            <w:r w:rsidR="006708DF" w:rsidRPr="00F24658">
              <w:rPr>
                <w:rFonts w:eastAsia="Times New Roman" w:cs="Segoe UI"/>
                <w:color w:val="222A35"/>
                <w:kern w:val="24"/>
                <w:sz w:val="20"/>
                <w:szCs w:val="20"/>
                <w:lang w:eastAsia="en-AU"/>
              </w:rPr>
              <w:t>, where sponsors are invited by HTA agencies to bring forward priority submissions for joint reimbursement evaluation (</w:t>
            </w:r>
            <w:proofErr w:type="gramStart"/>
            <w:r w:rsidR="006708DF" w:rsidRPr="00F24658">
              <w:rPr>
                <w:rFonts w:eastAsia="Times New Roman" w:cs="Segoe UI"/>
                <w:color w:val="222A35"/>
                <w:kern w:val="24"/>
                <w:sz w:val="20"/>
                <w:szCs w:val="20"/>
                <w:lang w:eastAsia="en-AU"/>
              </w:rPr>
              <w:t>e.g.</w:t>
            </w:r>
            <w:proofErr w:type="gramEnd"/>
            <w:r w:rsidR="006708DF" w:rsidRPr="00F24658">
              <w:rPr>
                <w:rFonts w:eastAsia="Times New Roman" w:cs="Segoe UI"/>
                <w:color w:val="222A35"/>
                <w:kern w:val="24"/>
                <w:sz w:val="20"/>
                <w:szCs w:val="20"/>
                <w:lang w:eastAsia="en-AU"/>
              </w:rPr>
              <w:t xml:space="preserve"> specific rare disease treatments or</w:t>
            </w:r>
            <w:r w:rsidR="004D100F">
              <w:rPr>
                <w:rFonts w:eastAsia="Times New Roman" w:cs="Segoe UI"/>
                <w:color w:val="222A35"/>
                <w:kern w:val="24"/>
                <w:sz w:val="20"/>
                <w:szCs w:val="20"/>
                <w:lang w:eastAsia="en-AU"/>
              </w:rPr>
              <w:t xml:space="preserve"> treatments for</w:t>
            </w:r>
            <w:r w:rsidR="006708DF" w:rsidRPr="00F24658">
              <w:rPr>
                <w:rFonts w:eastAsia="Times New Roman" w:cs="Segoe UI"/>
                <w:color w:val="222A35"/>
                <w:kern w:val="24"/>
                <w:sz w:val="20"/>
                <w:szCs w:val="20"/>
                <w:lang w:eastAsia="en-AU"/>
              </w:rPr>
              <w:t xml:space="preserve"> narrow indications of relevance)</w:t>
            </w:r>
          </w:p>
          <w:p w14:paraId="3B0850D4" w14:textId="0AF41906" w:rsidR="006708DF" w:rsidRPr="005D1A3D" w:rsidRDefault="006708DF" w:rsidP="008505D7">
            <w:pPr>
              <w:pStyle w:val="ListParagraph"/>
              <w:numPr>
                <w:ilvl w:val="0"/>
                <w:numId w:val="132"/>
              </w:numPr>
              <w:rPr>
                <w:rFonts w:eastAsia="Times New Roman" w:cs="Segoe UI"/>
                <w:color w:val="222A35"/>
                <w:kern w:val="24"/>
                <w:sz w:val="20"/>
                <w:szCs w:val="20"/>
                <w:lang w:eastAsia="en-AU"/>
              </w:rPr>
            </w:pPr>
            <w:r w:rsidRPr="005D1A3D">
              <w:rPr>
                <w:rFonts w:eastAsia="Times New Roman" w:cs="Segoe UI"/>
                <w:color w:val="222A35"/>
                <w:kern w:val="24"/>
                <w:sz w:val="20"/>
                <w:szCs w:val="20"/>
                <w:u w:val="single"/>
                <w:lang w:eastAsia="en-AU"/>
              </w:rPr>
              <w:t>hybrid “sequential lodgement pathway</w:t>
            </w:r>
            <w:r w:rsidRPr="00F876B2">
              <w:rPr>
                <w:rFonts w:eastAsia="Times New Roman" w:cs="Segoe UI"/>
                <w:color w:val="222A35"/>
                <w:kern w:val="24"/>
                <w:sz w:val="20"/>
                <w:szCs w:val="20"/>
                <w:u w:val="single"/>
                <w:lang w:eastAsia="en-AU"/>
              </w:rPr>
              <w:t>”</w:t>
            </w:r>
            <w:r w:rsidRPr="005D1A3D">
              <w:rPr>
                <w:rFonts w:eastAsia="Times New Roman" w:cs="Segoe UI"/>
                <w:color w:val="222A35"/>
                <w:kern w:val="24"/>
                <w:sz w:val="20"/>
                <w:szCs w:val="20"/>
                <w:lang w:eastAsia="en-AU"/>
              </w:rPr>
              <w:t>, where dossiers may not be lodged concurrently, but access to interim evaluations from HTA agencies that are further along in HTA considerations are shared with the agreement of the sponsor to facilitate expedited local evaluation.</w:t>
            </w:r>
          </w:p>
        </w:tc>
      </w:tr>
      <w:tr w:rsidR="003C4C18" w:rsidRPr="006647C5" w14:paraId="24A30AB1" w14:textId="77777777" w:rsidTr="00534579">
        <w:trPr>
          <w:trHeight w:val="996"/>
        </w:trPr>
        <w:tc>
          <w:tcPr>
            <w:tcW w:w="1055" w:type="dxa"/>
            <w:shd w:val="clear" w:color="auto" w:fill="FFFFFF" w:themeFill="background1"/>
            <w:tcMar>
              <w:top w:w="72" w:type="dxa"/>
              <w:left w:w="144" w:type="dxa"/>
              <w:bottom w:w="72" w:type="dxa"/>
              <w:right w:w="144" w:type="dxa"/>
            </w:tcMar>
          </w:tcPr>
          <w:p w14:paraId="31DE3BB5" w14:textId="77777777" w:rsidR="003C4C18" w:rsidRDefault="003C4C18" w:rsidP="008C10BB">
            <w:pPr>
              <w:spacing w:after="120"/>
              <w:rPr>
                <w:rFonts w:eastAsia="Times New Roman" w:cs="Segoe UI"/>
                <w:color w:val="222A35"/>
                <w:kern w:val="24"/>
                <w:sz w:val="20"/>
                <w:szCs w:val="20"/>
                <w:lang w:eastAsia="en-AU"/>
              </w:rPr>
            </w:pPr>
          </w:p>
        </w:tc>
        <w:tc>
          <w:tcPr>
            <w:tcW w:w="1901" w:type="dxa"/>
            <w:gridSpan w:val="2"/>
            <w:tcBorders>
              <w:top w:val="single" w:sz="4" w:space="0" w:color="E7E6E6" w:themeColor="background2"/>
              <w:bottom w:val="single" w:sz="4" w:space="0" w:color="E7E6E6" w:themeColor="background2"/>
            </w:tcBorders>
            <w:shd w:val="clear" w:color="auto" w:fill="FFFFFF" w:themeFill="background1"/>
          </w:tcPr>
          <w:p w14:paraId="35A55257" w14:textId="125D0D91" w:rsidR="003C4C18" w:rsidRDefault="006608F6" w:rsidP="008A5286">
            <w:pPr>
              <w:pStyle w:val="Heading7"/>
              <w:keepNext w:val="0"/>
              <w:keepLines w:val="0"/>
              <w:rPr>
                <w:lang w:eastAsia="en-AU"/>
              </w:rPr>
            </w:pPr>
            <w:r w:rsidRPr="003C4C18">
              <w:rPr>
                <w:lang w:eastAsia="en-AU"/>
              </w:rPr>
              <w:t>Collaboration with international jurisdictions to deliver sustainable access to health technologies</w:t>
            </w:r>
          </w:p>
        </w:tc>
        <w:tc>
          <w:tcPr>
            <w:tcW w:w="12779" w:type="dxa"/>
            <w:gridSpan w:val="2"/>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254A74D" w14:textId="2BF34BF1" w:rsidR="003C4C18" w:rsidRPr="00633816" w:rsidRDefault="003C4C18" w:rsidP="008C10BB">
            <w:pPr>
              <w:spacing w:after="120"/>
              <w:rPr>
                <w:rFonts w:eastAsia="Times New Roman" w:cs="Segoe UI"/>
                <w:color w:val="222A35"/>
                <w:kern w:val="24"/>
                <w:sz w:val="20"/>
                <w:szCs w:val="20"/>
                <w:lang w:eastAsia="en-AU"/>
              </w:rPr>
            </w:pPr>
            <w:r w:rsidRPr="003C4C18">
              <w:rPr>
                <w:rFonts w:eastAsia="Times New Roman" w:cs="Segoe UI"/>
                <w:color w:val="222A35"/>
                <w:kern w:val="24"/>
                <w:sz w:val="20"/>
                <w:szCs w:val="20"/>
                <w:lang w:eastAsia="en-AU"/>
              </w:rPr>
              <w:t>Investigate opportunities for collaboration</w:t>
            </w:r>
            <w:r w:rsidR="00306661">
              <w:rPr>
                <w:rFonts w:eastAsia="Times New Roman" w:cs="Segoe UI"/>
                <w:color w:val="222A35"/>
                <w:kern w:val="24"/>
                <w:sz w:val="20"/>
                <w:szCs w:val="20"/>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sz w:val="20"/>
                <w:szCs w:val="20"/>
                <w:lang w:eastAsia="en-AU"/>
              </w:rPr>
              <w:fldChar w:fldCharType="end"/>
            </w:r>
            <w:r w:rsidRPr="003C4C18">
              <w:rPr>
                <w:rFonts w:eastAsia="Times New Roman" w:cs="Segoe UI"/>
                <w:color w:val="222A35"/>
                <w:kern w:val="24"/>
                <w:sz w:val="20"/>
                <w:szCs w:val="20"/>
                <w:lang w:eastAsia="en-AU"/>
              </w:rPr>
              <w:t xml:space="preserve"> with international jurisdictions to </w:t>
            </w:r>
            <w:r w:rsidR="00747F15" w:rsidRPr="009D14F6">
              <w:rPr>
                <w:rFonts w:eastAsia="Times New Roman" w:cs="Segoe UI"/>
                <w:color w:val="222A35"/>
                <w:kern w:val="24"/>
                <w:sz w:val="20"/>
                <w:szCs w:val="20"/>
                <w:lang w:eastAsia="en-AU"/>
              </w:rPr>
              <w:t xml:space="preserve">increase market share </w:t>
            </w:r>
            <w:r w:rsidR="006708DF" w:rsidRPr="006708DF">
              <w:rPr>
                <w:rFonts w:eastAsia="Times New Roman" w:cs="Segoe UI"/>
                <w:color w:val="222A35"/>
                <w:kern w:val="24"/>
                <w:sz w:val="20"/>
                <w:szCs w:val="20"/>
                <w:lang w:eastAsia="en-AU"/>
              </w:rPr>
              <w:t>and purchasing power for</w:t>
            </w:r>
            <w:r w:rsidR="00747F15">
              <w:rPr>
                <w:rFonts w:eastAsia="Times New Roman" w:cs="Segoe UI"/>
                <w:color w:val="222A35"/>
                <w:kern w:val="24"/>
                <w:sz w:val="20"/>
                <w:szCs w:val="20"/>
                <w:lang w:eastAsia="en-AU"/>
              </w:rPr>
              <w:t xml:space="preserve"> </w:t>
            </w:r>
            <w:r w:rsidRPr="003C4C18">
              <w:rPr>
                <w:rFonts w:eastAsia="Times New Roman" w:cs="Segoe UI"/>
                <w:color w:val="222A35"/>
                <w:kern w:val="24"/>
                <w:sz w:val="20"/>
                <w:szCs w:val="20"/>
                <w:lang w:eastAsia="en-AU"/>
              </w:rPr>
              <w:t xml:space="preserve">innovative health technologies which address areas of </w:t>
            </w:r>
            <w:r w:rsidR="00156D57">
              <w:rPr>
                <w:rFonts w:eastAsia="Times New Roman" w:cs="Segoe UI"/>
                <w:color w:val="222A35"/>
                <w:kern w:val="24"/>
                <w:sz w:val="20"/>
                <w:szCs w:val="20"/>
                <w:lang w:eastAsia="en-AU"/>
              </w:rPr>
              <w:t>HUCN</w:t>
            </w:r>
            <w:r w:rsidR="00D027D9">
              <w:rPr>
                <w:rFonts w:eastAsia="Times New Roman" w:cs="Segoe UI"/>
                <w:color w:val="222A35"/>
                <w:kern w:val="24"/>
                <w:sz w:val="20"/>
                <w:szCs w:val="20"/>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color w:val="222A35"/>
                <w:kern w:val="24"/>
                <w:sz w:val="20"/>
                <w:szCs w:val="20"/>
                <w:lang w:eastAsia="en-AU"/>
              </w:rPr>
              <w:fldChar w:fldCharType="end"/>
            </w:r>
            <w:r w:rsidRPr="003C4C18">
              <w:rPr>
                <w:rFonts w:eastAsia="Times New Roman" w:cs="Segoe UI"/>
                <w:color w:val="222A35"/>
                <w:kern w:val="24"/>
                <w:sz w:val="20"/>
                <w:szCs w:val="20"/>
                <w:lang w:eastAsia="en-AU"/>
              </w:rPr>
              <w:t>.</w:t>
            </w:r>
          </w:p>
        </w:tc>
      </w:tr>
      <w:bookmarkEnd w:id="32"/>
    </w:tbl>
    <w:p w14:paraId="56DAF646" w14:textId="77777777" w:rsidR="00676C85" w:rsidRPr="006647C5" w:rsidRDefault="00676C85" w:rsidP="001C5DDA">
      <w:pPr>
        <w:pStyle w:val="Heading3"/>
        <w:sectPr w:rsidR="00676C85" w:rsidRPr="006647C5" w:rsidSect="00687095">
          <w:headerReference w:type="default" r:id="rId90"/>
          <w:pgSz w:w="16838" w:h="11906" w:orient="landscape"/>
          <w:pgMar w:top="-454" w:right="536" w:bottom="851" w:left="1440" w:header="708" w:footer="162" w:gutter="0"/>
          <w:cols w:space="708"/>
          <w:docGrid w:linePitch="360"/>
        </w:sectPr>
      </w:pPr>
    </w:p>
    <w:p w14:paraId="62C711B0" w14:textId="10F2D108" w:rsidR="00032D63" w:rsidRPr="009D14F6" w:rsidRDefault="00032D63" w:rsidP="008C10BB">
      <w:pPr>
        <w:pStyle w:val="Caption"/>
        <w:keepNext/>
        <w:spacing w:line="259" w:lineRule="auto"/>
        <w:ind w:left="-709"/>
        <w:rPr>
          <w:sz w:val="24"/>
          <w:szCs w:val="24"/>
        </w:rPr>
      </w:pPr>
      <w:bookmarkStart w:id="51" w:name="_Toc545264350"/>
      <w:r w:rsidRPr="009D14F6">
        <w:rPr>
          <w:sz w:val="24"/>
          <w:szCs w:val="24"/>
        </w:rPr>
        <w:lastRenderedPageBreak/>
        <w:t xml:space="preserve">Figure </w:t>
      </w:r>
      <w:r w:rsidR="007649A3">
        <w:rPr>
          <w:sz w:val="24"/>
          <w:szCs w:val="24"/>
        </w:rPr>
        <w:fldChar w:fldCharType="begin"/>
      </w:r>
      <w:r w:rsidR="007649A3">
        <w:rPr>
          <w:sz w:val="24"/>
          <w:szCs w:val="24"/>
        </w:rPr>
        <w:instrText xml:space="preserve"> SEQ Figure \* ARABIC </w:instrText>
      </w:r>
      <w:r w:rsidR="007649A3">
        <w:rPr>
          <w:sz w:val="24"/>
          <w:szCs w:val="24"/>
        </w:rPr>
        <w:fldChar w:fldCharType="separate"/>
      </w:r>
      <w:r w:rsidR="00474ED6">
        <w:rPr>
          <w:noProof/>
          <w:sz w:val="24"/>
          <w:szCs w:val="24"/>
        </w:rPr>
        <w:t>1</w:t>
      </w:r>
      <w:r w:rsidR="007649A3">
        <w:rPr>
          <w:sz w:val="24"/>
          <w:szCs w:val="24"/>
        </w:rPr>
        <w:fldChar w:fldCharType="end"/>
      </w:r>
      <w:r w:rsidRPr="009D14F6">
        <w:rPr>
          <w:sz w:val="24"/>
          <w:szCs w:val="24"/>
        </w:rPr>
        <w:t xml:space="preserve"> </w:t>
      </w:r>
      <w:r w:rsidR="008B1584" w:rsidRPr="008B1584">
        <w:rPr>
          <w:sz w:val="24"/>
          <w:szCs w:val="24"/>
        </w:rPr>
        <w:t>Schematic</w:t>
      </w:r>
      <w:r w:rsidRPr="009D14F6">
        <w:rPr>
          <w:sz w:val="24"/>
          <w:szCs w:val="24"/>
        </w:rPr>
        <w:t xml:space="preserve"> highlighting interlinking of </w:t>
      </w:r>
      <w:r w:rsidR="00A80CEF">
        <w:rPr>
          <w:sz w:val="24"/>
          <w:szCs w:val="24"/>
        </w:rPr>
        <w:t xml:space="preserve">selected </w:t>
      </w:r>
      <w:r w:rsidRPr="009D14F6">
        <w:rPr>
          <w:sz w:val="24"/>
          <w:szCs w:val="24"/>
        </w:rPr>
        <w:t xml:space="preserve">potential options </w:t>
      </w:r>
    </w:p>
    <w:p w14:paraId="77D08644" w14:textId="77777777" w:rsidR="004C1EF8" w:rsidRDefault="004C1EF8" w:rsidP="00B10A8C">
      <w:pPr>
        <w:ind w:left="-567"/>
        <w:rPr>
          <w:color w:val="11427A"/>
        </w:rPr>
        <w:sectPr w:rsidR="004C1EF8" w:rsidSect="00AF354B">
          <w:headerReference w:type="default" r:id="rId91"/>
          <w:type w:val="continuous"/>
          <w:pgSz w:w="11906" w:h="16838"/>
          <w:pgMar w:top="709" w:right="1440" w:bottom="1440" w:left="1440" w:header="284" w:footer="708" w:gutter="0"/>
          <w:cols w:space="708"/>
          <w:docGrid w:linePitch="360"/>
        </w:sectPr>
      </w:pPr>
    </w:p>
    <w:p w14:paraId="2B69BB4B" w14:textId="3D0109BF" w:rsidR="00CE2E6F" w:rsidRPr="003D107F" w:rsidRDefault="00A62183" w:rsidP="00B10A8C">
      <w:pPr>
        <w:ind w:left="-567"/>
        <w:rPr>
          <w:noProof/>
          <w:color w:val="11427A"/>
        </w:rPr>
      </w:pPr>
      <w:r>
        <w:rPr>
          <w:noProof/>
          <w:color w:val="11427A"/>
        </w:rPr>
        <w:drawing>
          <wp:inline distT="0" distB="0" distL="0" distR="0" wp14:anchorId="521C6A9F" wp14:editId="22CAA628">
            <wp:extent cx="6725912" cy="83711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43026" cy="8392415"/>
                    </a:xfrm>
                    <a:prstGeom prst="rect">
                      <a:avLst/>
                    </a:prstGeom>
                    <a:noFill/>
                  </pic:spPr>
                </pic:pic>
              </a:graphicData>
            </a:graphic>
          </wp:inline>
        </w:drawing>
      </w:r>
      <w:r w:rsidR="00CE2E6F">
        <w:rPr>
          <w:color w:val="11427A"/>
        </w:rPr>
        <w:br w:type="page"/>
      </w:r>
    </w:p>
    <w:p w14:paraId="6D4BA2AB" w14:textId="7BBD621C" w:rsidR="00A05178" w:rsidRPr="001C5DDA" w:rsidRDefault="00A05178" w:rsidP="008C10BB">
      <w:pPr>
        <w:pStyle w:val="Heading1"/>
        <w:numPr>
          <w:ilvl w:val="0"/>
          <w:numId w:val="0"/>
        </w:numPr>
        <w:spacing w:line="259" w:lineRule="auto"/>
        <w:rPr>
          <w:color w:val="11427A"/>
        </w:rPr>
      </w:pPr>
      <w:bookmarkStart w:id="52" w:name="_Toc157029030"/>
      <w:bookmarkStart w:id="53" w:name="_Toc157029476"/>
      <w:bookmarkStart w:id="54" w:name="_Toc157030168"/>
      <w:r w:rsidRPr="001C5DDA">
        <w:rPr>
          <w:color w:val="11427A"/>
        </w:rPr>
        <w:lastRenderedPageBreak/>
        <w:t>Introduction</w:t>
      </w:r>
      <w:bookmarkEnd w:id="51"/>
      <w:bookmarkEnd w:id="52"/>
      <w:bookmarkEnd w:id="53"/>
      <w:bookmarkEnd w:id="54"/>
    </w:p>
    <w:p w14:paraId="14067C5D" w14:textId="03B8558A" w:rsidR="0062538B" w:rsidRPr="001C5DDA" w:rsidRDefault="0062538B" w:rsidP="008C10BB">
      <w:pPr>
        <w:pStyle w:val="Heading2"/>
        <w:numPr>
          <w:ilvl w:val="1"/>
          <w:numId w:val="0"/>
        </w:numPr>
        <w:spacing w:line="259" w:lineRule="auto"/>
      </w:pPr>
      <w:bookmarkStart w:id="55" w:name="_Toc157029031"/>
      <w:bookmarkStart w:id="56" w:name="_Toc157029477"/>
      <w:bookmarkStart w:id="57" w:name="_Toc157030169"/>
      <w:bookmarkStart w:id="58" w:name="_Toc149998316"/>
      <w:r w:rsidRPr="001C5DDA">
        <w:t xml:space="preserve">Background to </w:t>
      </w:r>
      <w:r w:rsidR="3F06329B">
        <w:t>HTAs</w:t>
      </w:r>
      <w:bookmarkEnd w:id="55"/>
      <w:bookmarkEnd w:id="56"/>
      <w:bookmarkEnd w:id="57"/>
    </w:p>
    <w:p w14:paraId="486E30B4" w14:textId="1539BD23" w:rsidR="0062538B" w:rsidRPr="006647C5" w:rsidRDefault="0062538B" w:rsidP="00B11460">
      <w:r w:rsidRPr="006647C5">
        <w:t xml:space="preserve">Australia’s </w:t>
      </w:r>
      <w:r w:rsidR="00A6081C">
        <w:t>NMP</w:t>
      </w:r>
      <w:r w:rsidRPr="006647C5">
        <w:t xml:space="preserve"> aims to create the world’s best health, social and economic outcomes for all Australians through a highly supportive medicines policy environment.</w:t>
      </w:r>
    </w:p>
    <w:p w14:paraId="686310A8" w14:textId="24B6BA29" w:rsidR="0062538B" w:rsidRPr="006647C5" w:rsidRDefault="0062538B" w:rsidP="00B11460">
      <w:r w:rsidRPr="006647C5">
        <w:t xml:space="preserve">This policy is supported by a range of Commonwealth subsidy schemes and funding programs, including the </w:t>
      </w:r>
      <w:hyperlink r:id="rId93" w:history="1">
        <w:r w:rsidRPr="007C5869">
          <w:rPr>
            <w:rStyle w:val="Hyperlink"/>
            <w:rFonts w:cs="Segoe UI"/>
          </w:rPr>
          <w:t>PBS</w:t>
        </w:r>
      </w:hyperlink>
      <w:r w:rsidRPr="006647C5">
        <w:t xml:space="preserve"> and the </w:t>
      </w:r>
      <w:hyperlink r:id="rId94" w:history="1">
        <w:r w:rsidRPr="003430D3">
          <w:rPr>
            <w:rStyle w:val="Hyperlink"/>
            <w:rFonts w:cs="Segoe UI"/>
          </w:rPr>
          <w:t>MBS</w:t>
        </w:r>
      </w:hyperlink>
      <w:r w:rsidRPr="006647C5">
        <w:t xml:space="preserve"> – and through the </w:t>
      </w:r>
      <w:hyperlink r:id="rId95" w:history="1">
        <w:r w:rsidR="5D954908" w:rsidRPr="00C76312">
          <w:rPr>
            <w:rStyle w:val="Hyperlink"/>
            <w:rFonts w:cs="Segoe UI"/>
          </w:rPr>
          <w:t>NHRA</w:t>
        </w:r>
      </w:hyperlink>
      <w:r w:rsidRPr="006647C5">
        <w:t xml:space="preserve"> between the Commonwealth, state and territor</w:t>
      </w:r>
      <w:r w:rsidR="005401C2">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Pr="006647C5">
        <w:t>.</w:t>
      </w:r>
    </w:p>
    <w:p w14:paraId="29B889CD" w14:textId="47548600" w:rsidR="0062538B" w:rsidRPr="006647C5" w:rsidRDefault="0062538B" w:rsidP="00B11460">
      <w:r w:rsidRPr="006647C5">
        <w:t xml:space="preserve">These initiatives have, for many years, enabled Australians to gain subsidised access to the most effective health technologies to </w:t>
      </w:r>
      <w:r w:rsidR="006A76A4">
        <w:t xml:space="preserve">diagnose, </w:t>
      </w:r>
      <w:r w:rsidR="00047618">
        <w:t xml:space="preserve">monitor, </w:t>
      </w:r>
      <w:r w:rsidRPr="006647C5">
        <w:t>prevent, manage, and treat medical conditions.</w:t>
      </w:r>
    </w:p>
    <w:p w14:paraId="2415129A" w14:textId="542AF792" w:rsidR="0062538B" w:rsidRPr="006647C5" w:rsidRDefault="0062538B" w:rsidP="00B11460">
      <w:r w:rsidRPr="006647C5">
        <w:t xml:space="preserve">Before such health technologies can be marketed in Australia and receive a subsidy, a manufacturer or supplier usually </w:t>
      </w:r>
      <w:r w:rsidR="00F76A32">
        <w:t>requires</w:t>
      </w:r>
      <w:r w:rsidRPr="006647C5">
        <w:t xml:space="preserve"> </w:t>
      </w:r>
      <w:r w:rsidR="00DF063C">
        <w:t xml:space="preserve">marketing </w:t>
      </w:r>
      <w:r w:rsidRPr="006647C5">
        <w:t xml:space="preserve">authorisation from the </w:t>
      </w:r>
      <w:r w:rsidR="005F104C" w:rsidRPr="00E35D87">
        <w:t>Therapeutic Goods Administration (</w:t>
      </w:r>
      <w:r w:rsidRPr="006647C5">
        <w:t>T</w:t>
      </w:r>
      <w:r w:rsidR="068C88E8" w:rsidRPr="6222944C">
        <w:t>GA</w:t>
      </w:r>
      <w:r w:rsidR="005F104C">
        <w:t>)</w:t>
      </w:r>
      <w:r w:rsidRPr="006647C5">
        <w:t xml:space="preserve"> and </w:t>
      </w:r>
      <w:r w:rsidR="00161306">
        <w:t xml:space="preserve">funding </w:t>
      </w:r>
      <w:r w:rsidRPr="006647C5">
        <w:t>approval through one of the Commonwealth’s programs or schemes, or via state or territory funding arrangements.</w:t>
      </w:r>
    </w:p>
    <w:p w14:paraId="1CD97017" w14:textId="23F9CEF6" w:rsidR="0062538B" w:rsidRPr="006647C5" w:rsidRDefault="0062538B" w:rsidP="00B11460">
      <w:r w:rsidRPr="006647C5">
        <w:t xml:space="preserve">To ensure value for money when deciding whether to subsidise a new health technology, the Government </w:t>
      </w:r>
      <w:r w:rsidR="006941CE">
        <w:t>considers</w:t>
      </w:r>
      <w:r w:rsidR="006941CE" w:rsidRPr="006647C5">
        <w:t xml:space="preserve"> </w:t>
      </w:r>
      <w:r w:rsidRPr="006647C5">
        <w:t>advice from independent expert committees comprising</w:t>
      </w:r>
      <w:r>
        <w:t xml:space="preserve"> </w:t>
      </w:r>
      <w:r w:rsidR="00EF46D1">
        <w:t>medical practitioners</w:t>
      </w:r>
      <w:r w:rsidRPr="006647C5">
        <w:t>, health professionals, health economists and consumer representatives.</w:t>
      </w:r>
    </w:p>
    <w:p w14:paraId="179FF3A2" w14:textId="78610616" w:rsidR="0062538B" w:rsidRPr="006647C5" w:rsidRDefault="0062538B" w:rsidP="00B11460">
      <w:r w:rsidRPr="006647C5">
        <w:t xml:space="preserve">When determining their advice, these expert committees consider evaluations that summarise relevant information, including clinical safety, effectiveness and the cost </w:t>
      </w:r>
      <w:r w:rsidR="00EC4773">
        <w:t xml:space="preserve">and cost </w:t>
      </w:r>
      <w:r w:rsidR="001069C1">
        <w:t xml:space="preserve">effectiveness </w:t>
      </w:r>
      <w:r w:rsidRPr="006647C5">
        <w:t xml:space="preserve">of the health technologies compared to alternatives. </w:t>
      </w:r>
    </w:p>
    <w:p w14:paraId="70A1B79A" w14:textId="41856F16" w:rsidR="0062538B" w:rsidRPr="006647C5" w:rsidRDefault="3B5237EE" w:rsidP="00B11460">
      <w:r w:rsidRPr="4F61B2F6">
        <w:t>HTAs</w:t>
      </w:r>
      <w:r w:rsidR="0062538B" w:rsidRPr="006647C5">
        <w:t xml:space="preserve"> ensure the recommendations provided to the Government (for its consideration) synthesise these elements, enabling decisions on subsidy to be based on the most robust estimates of the health gains produced if a given health technology is purchased at the price offered by the manufacturer or supplier.</w:t>
      </w:r>
    </w:p>
    <w:p w14:paraId="2F3CBE71" w14:textId="37036FEA" w:rsidR="00A72C7D" w:rsidRPr="006647C5" w:rsidRDefault="00A72C7D" w:rsidP="008C10BB">
      <w:pPr>
        <w:pStyle w:val="Heading2"/>
        <w:numPr>
          <w:ilvl w:val="1"/>
          <w:numId w:val="0"/>
        </w:numPr>
        <w:spacing w:line="259" w:lineRule="auto"/>
      </w:pPr>
      <w:bookmarkStart w:id="59" w:name="_Toc157029032"/>
      <w:bookmarkStart w:id="60" w:name="_Toc157029478"/>
      <w:bookmarkStart w:id="61" w:name="_Toc157030170"/>
      <w:r w:rsidRPr="006647C5">
        <w:t xml:space="preserve">What is </w:t>
      </w:r>
      <w:r w:rsidR="4D873C25">
        <w:t>HTA</w:t>
      </w:r>
      <w:r w:rsidRPr="006647C5">
        <w:t>?</w:t>
      </w:r>
      <w:bookmarkEnd w:id="58"/>
      <w:bookmarkEnd w:id="59"/>
      <w:bookmarkEnd w:id="60"/>
      <w:bookmarkEnd w:id="61"/>
    </w:p>
    <w:p w14:paraId="53F35FB7" w14:textId="34841C41" w:rsidR="0062538B" w:rsidRPr="006647C5" w:rsidRDefault="41FA8AB8" w:rsidP="00B11460">
      <w:r w:rsidRPr="249B8F77">
        <w:t>HTA</w:t>
      </w:r>
      <w:r w:rsidR="0062538B" w:rsidRPr="006647C5">
        <w:t xml:space="preserve"> </w:t>
      </w:r>
      <w:r w:rsidR="007F6906">
        <w:t>reviews</w:t>
      </w:r>
      <w:r w:rsidR="0062538B" w:rsidRPr="006647C5">
        <w:t xml:space="preserve"> scientific evidence to assess the quality, safety, efficacy, cost-effectiveness and total costs of health-related goods and services. </w:t>
      </w:r>
    </w:p>
    <w:p w14:paraId="2B5CC2F1" w14:textId="68183C15" w:rsidR="0062538B" w:rsidRPr="006647C5" w:rsidRDefault="0062538B" w:rsidP="00B11460">
      <w:r w:rsidRPr="006647C5">
        <w:t>These assessments provide policymakers, health funders, health professionals and health consumers with the necessary information to understand the benefits and harms and comparative value of health technologies.</w:t>
      </w:r>
    </w:p>
    <w:p w14:paraId="04C364D5" w14:textId="3D337FAA" w:rsidR="0062538B" w:rsidRPr="006647C5" w:rsidRDefault="0062538B" w:rsidP="00B11460">
      <w:r w:rsidRPr="006647C5">
        <w:lastRenderedPageBreak/>
        <w:t xml:space="preserve">The Government uses HTAs to inform its decisions about which health technologies can be marketed in Australia, and which ones should be subsidised. </w:t>
      </w:r>
    </w:p>
    <w:p w14:paraId="34F4C325" w14:textId="0B81BD2C" w:rsidR="0062538B" w:rsidRPr="006647C5" w:rsidRDefault="0062538B" w:rsidP="00B11460">
      <w:r w:rsidRPr="006647C5">
        <w:t>Such assessments are commonly undertaken to assess pharmaceuticals (including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rsidRPr="006647C5">
        <w:t xml:space="preserve">, biologicals, </w:t>
      </w:r>
      <w:r w:rsidR="001661C9">
        <w:t xml:space="preserve">and </w:t>
      </w:r>
      <w:r w:rsidRPr="006647C5">
        <w:t>cell and gene therapies</w:t>
      </w:r>
      <w:r w:rsidR="004766A3">
        <w:fldChar w:fldCharType="begin"/>
      </w:r>
      <w:r w:rsidR="004766A3">
        <w:instrText xml:space="preserve"> XE "</w:instrText>
      </w:r>
      <w:r w:rsidR="004766A3" w:rsidRPr="007C61D0">
        <w:rPr>
          <w:rFonts w:eastAsia="Arial" w:cs="Arial"/>
        </w:rPr>
        <w:instrText>cell and gene therapies</w:instrText>
      </w:r>
      <w:r w:rsidR="004766A3">
        <w:instrText xml:space="preserve">" \b </w:instrText>
      </w:r>
      <w:r w:rsidR="004766A3">
        <w:fldChar w:fldCharType="end"/>
      </w:r>
      <w:r w:rsidRPr="006647C5">
        <w:t xml:space="preserve">), diagnostic tests, medical devices, surgically implanted prostheses, medical </w:t>
      </w:r>
      <w:proofErr w:type="gramStart"/>
      <w:r w:rsidRPr="006647C5">
        <w:t>procedures</w:t>
      </w:r>
      <w:proofErr w:type="gramEnd"/>
      <w:r w:rsidRPr="006647C5">
        <w:t xml:space="preserve"> and public health interventions.</w:t>
      </w:r>
    </w:p>
    <w:p w14:paraId="6EA981B1" w14:textId="03B7CEF8" w:rsidR="0062538B" w:rsidRPr="006647C5" w:rsidRDefault="0062538B" w:rsidP="00B11460">
      <w:r w:rsidRPr="006647C5">
        <w:t xml:space="preserve">The </w:t>
      </w:r>
      <w:r w:rsidR="009830FD">
        <w:t>2</w:t>
      </w:r>
      <w:r w:rsidR="009830FD" w:rsidRPr="006647C5">
        <w:t xml:space="preserve"> </w:t>
      </w:r>
      <w:r w:rsidRPr="006647C5">
        <w:t xml:space="preserve">main </w:t>
      </w:r>
      <w:r w:rsidR="61D993B5" w:rsidRPr="3E02FB39">
        <w:t>HTA</w:t>
      </w:r>
      <w:r w:rsidRPr="006647C5">
        <w:t xml:space="preserve"> processes are: </w:t>
      </w:r>
    </w:p>
    <w:p w14:paraId="77E14F45" w14:textId="34CD3939" w:rsidR="0062538B" w:rsidRPr="006647C5" w:rsidRDefault="0062538B" w:rsidP="008505D7">
      <w:pPr>
        <w:pStyle w:val="ListParagraph"/>
        <w:numPr>
          <w:ilvl w:val="0"/>
          <w:numId w:val="138"/>
        </w:numPr>
      </w:pPr>
      <w:r w:rsidRPr="006647C5">
        <w:t xml:space="preserve">HTA for market authorisation (undertaken by </w:t>
      </w:r>
      <w:r w:rsidR="4B872ED0" w:rsidRPr="3EB4251D">
        <w:t>TGA</w:t>
      </w:r>
      <w:r w:rsidRPr="006647C5">
        <w:t>)</w:t>
      </w:r>
    </w:p>
    <w:p w14:paraId="19AB0088" w14:textId="77777777" w:rsidR="0062538B" w:rsidRPr="006647C5" w:rsidRDefault="0062538B" w:rsidP="008505D7">
      <w:pPr>
        <w:pStyle w:val="ListParagraph"/>
        <w:numPr>
          <w:ilvl w:val="0"/>
          <w:numId w:val="138"/>
        </w:numPr>
      </w:pPr>
      <w:r w:rsidRPr="006647C5">
        <w:t>HTA for government subsidy. </w:t>
      </w:r>
    </w:p>
    <w:p w14:paraId="4670A822" w14:textId="6E0CE860" w:rsidR="0062538B" w:rsidRPr="006647C5" w:rsidRDefault="0062538B" w:rsidP="00B11460">
      <w:r w:rsidRPr="006647C5">
        <w:t xml:space="preserve">TGA assesses the safety, quality and efficacy of new health technologies entering the Australian market and grants market authorisation. TGA authorisation is required before a therapeutic good can be supplied in Australia. </w:t>
      </w:r>
    </w:p>
    <w:p w14:paraId="6ED86643" w14:textId="746EF1F8" w:rsidR="0062538B" w:rsidRPr="006647C5" w:rsidRDefault="0062538B" w:rsidP="00B11460">
      <w:r w:rsidRPr="006647C5">
        <w:t>HTAs for government subsidy consider the clinical effectiveness and cost-effectiveness of the new health technology. These HTAs assess the magnitude of the incremental cost benefit and safety of the technology when compared with alternatives, and if this justifies the cost. </w:t>
      </w:r>
    </w:p>
    <w:p w14:paraId="7ED80090" w14:textId="77777777" w:rsidR="0062538B" w:rsidRPr="006647C5" w:rsidRDefault="0062538B" w:rsidP="00B11460">
      <w:r w:rsidRPr="006647C5">
        <w:t>Health technologies marketed by the pharmaceutical industry are assessed and subsidised through different pathways and funding arrangements depending on technology type, treatment setting and cost.</w:t>
      </w:r>
    </w:p>
    <w:p w14:paraId="6D39DD16" w14:textId="7BD89A26" w:rsidR="00F95037" w:rsidRDefault="005D45A4" w:rsidP="008C10BB">
      <w:pPr>
        <w:pStyle w:val="Heading2"/>
        <w:numPr>
          <w:ilvl w:val="0"/>
          <w:numId w:val="0"/>
        </w:numPr>
        <w:spacing w:line="259" w:lineRule="auto"/>
      </w:pPr>
      <w:bookmarkStart w:id="62" w:name="_Toc157029033"/>
      <w:bookmarkStart w:id="63" w:name="_Toc157029479"/>
      <w:bookmarkStart w:id="64" w:name="_Toc157030171"/>
      <w:r>
        <w:t>HTAs in A</w:t>
      </w:r>
      <w:r w:rsidR="002F2391">
        <w:t>u</w:t>
      </w:r>
      <w:r>
        <w:t>stralia</w:t>
      </w:r>
      <w:bookmarkEnd w:id="62"/>
      <w:bookmarkEnd w:id="63"/>
      <w:bookmarkEnd w:id="64"/>
    </w:p>
    <w:p w14:paraId="33797620" w14:textId="77777777" w:rsidR="00F6686C" w:rsidRDefault="00F6686C" w:rsidP="00F6686C">
      <w:r>
        <w:t>When deciding whether a health technology should be funded or subsidised, the fundamental questions that need to be asked are:</w:t>
      </w:r>
    </w:p>
    <w:p w14:paraId="55B56AE3" w14:textId="77777777" w:rsidR="00F6686C" w:rsidRDefault="00F6686C" w:rsidP="008D2A3F">
      <w:pPr>
        <w:pStyle w:val="ListParagraph"/>
        <w:numPr>
          <w:ilvl w:val="0"/>
          <w:numId w:val="14"/>
        </w:numPr>
      </w:pPr>
      <w:r>
        <w:t>Does it work?</w:t>
      </w:r>
    </w:p>
    <w:p w14:paraId="2BD26853" w14:textId="77777777" w:rsidR="00F6686C" w:rsidRDefault="00F6686C" w:rsidP="008D2A3F">
      <w:pPr>
        <w:pStyle w:val="ListParagraph"/>
        <w:numPr>
          <w:ilvl w:val="0"/>
          <w:numId w:val="14"/>
        </w:numPr>
      </w:pPr>
      <w:r>
        <w:t>Will it work as well as, or better than, what Australians already have access to?</w:t>
      </w:r>
    </w:p>
    <w:p w14:paraId="41F8F42C" w14:textId="77777777" w:rsidR="00F6686C" w:rsidRDefault="00F6686C" w:rsidP="008D2A3F">
      <w:pPr>
        <w:pStyle w:val="ListParagraph"/>
        <w:numPr>
          <w:ilvl w:val="0"/>
          <w:numId w:val="14"/>
        </w:numPr>
      </w:pPr>
      <w:r>
        <w:t>Will Australians be better off overall if it is funded?</w:t>
      </w:r>
    </w:p>
    <w:p w14:paraId="5A96BCD2" w14:textId="77777777" w:rsidR="00F95037" w:rsidRDefault="00F95037" w:rsidP="00F95037">
      <w:r>
        <w:t>To answer these questions, HTAs consider scientific evidence to assess the quality, safety, efficacy, cost-effectiveness and total costs of health-related goods and services. HTAs allow estimation of the changes in health outcomes arising from the introduction of a new product into the Australian system relative to the costs to the health system if it is funded.</w:t>
      </w:r>
    </w:p>
    <w:p w14:paraId="63D6BB59" w14:textId="77777777" w:rsidR="00F95037" w:rsidRDefault="00F95037" w:rsidP="00F95037">
      <w:r>
        <w:t xml:space="preserve">These assessments provide patients and health consumers, policymakers, health funders, health professionals, and health technology companies, with the necessary information to understand the benefits and harms and comparative value of health technologies. </w:t>
      </w:r>
    </w:p>
    <w:p w14:paraId="3FDE3739" w14:textId="77777777" w:rsidR="00F95037" w:rsidRDefault="00F95037" w:rsidP="00F95037">
      <w:r>
        <w:lastRenderedPageBreak/>
        <w:t>The Australian Government (Government) firstly uses HTAs focused on benefits (efficacy) and harms (safety) to inform its decisions about which health technologies can be marketed in Australia. To then determine which health technologies should be funded, it relies heavily, but not exclusively, on HTAs that focus on the comparative value of health technologies.</w:t>
      </w:r>
    </w:p>
    <w:p w14:paraId="4AF96324" w14:textId="4B6BAAF8" w:rsidR="00F95037" w:rsidRDefault="00F95037" w:rsidP="00F95037">
      <w:r>
        <w:t xml:space="preserve">Over the past 75 years, the number of health technologies funded in Australia has grown significantly. The first subsidy program, the PBS, was formed in the late 1940s but there are now multiple different Commonwealth, state and territory </w:t>
      </w:r>
      <w:r w:rsidR="00901DD6">
        <w:t xml:space="preserve">government </w:t>
      </w:r>
      <w:r>
        <w:t xml:space="preserve">programs providing public subsidy for health technologies. </w:t>
      </w:r>
    </w:p>
    <w:p w14:paraId="5C5D4952" w14:textId="77777777" w:rsidR="00F95037" w:rsidRDefault="00F95037" w:rsidP="00F95037">
      <w:r>
        <w:t xml:space="preserve">Health technologies have been a major contributor to improved healthy life expectancy over the past century. There has always been a strong case to fund them because the value they deliver for individuals and the community has, for the most part, greatly exceeded the impost on public funds. </w:t>
      </w:r>
    </w:p>
    <w:p w14:paraId="01D2C88D" w14:textId="77777777" w:rsidR="00F95037" w:rsidRPr="00810A9D" w:rsidRDefault="00F95037" w:rsidP="00F95037">
      <w:r>
        <w:t xml:space="preserve">Some of the latest technologies have significant promise. They may greatly improve and extend the lives of individuals living with otherwise debilitating and life-shortening conditions. They treat lethal and severely disabling conditions where previously there was no effective treatment available. Some have the potential to do this with a single dose. </w:t>
      </w:r>
    </w:p>
    <w:p w14:paraId="0E648312" w14:textId="77777777" w:rsidR="00F95037" w:rsidRDefault="00F95037" w:rsidP="00F95037">
      <w:r>
        <w:t>They are also becoming increasingly expensive. At the beginning of 2010, the most expensive medicine subsidised through the PBS cost the taxpayer a little over $24,000 each time a patient filled a prescription for the maximum PBS-allowed quantity. In 2015, the most expensive was over $57,000. By 2020, the most expensive was $110,000 whereas, today, the most expensive medicine on the PBS costs a little over $2.5 million upfront.</w:t>
      </w:r>
    </w:p>
    <w:p w14:paraId="28DE9E24" w14:textId="6DD1B24A" w:rsidR="00F95037" w:rsidRDefault="00F95037" w:rsidP="00577CA7">
      <w:r>
        <w:t xml:space="preserve">The decisions to publicly subsidise access to these health technologies are supported by an assessment that: they are likely to work (are safe and effective), likely to work as well as or better than what </w:t>
      </w:r>
      <w:r w:rsidR="00AF451B">
        <w:t>Australians already</w:t>
      </w:r>
      <w:r>
        <w:t xml:space="preserve"> have </w:t>
      </w:r>
      <w:r w:rsidR="00AF451B">
        <w:t>access to</w:t>
      </w:r>
      <w:r>
        <w:t xml:space="preserve"> (comparatively safe and effective), and the recipient and Australian community as a whole are likely to be better off if it is funded (they represent value for money, and are a better use of taxpayer funds than potential alternative investments). </w:t>
      </w:r>
    </w:p>
    <w:bookmarkStart w:id="65" w:name="_Toc157029034"/>
    <w:bookmarkStart w:id="66" w:name="_Toc157029480"/>
    <w:bookmarkStart w:id="67" w:name="_Toc157030172"/>
    <w:p w14:paraId="0ADBAB22" w14:textId="20B1C103" w:rsidR="00A05178" w:rsidRPr="006647C5" w:rsidRDefault="002141DC" w:rsidP="008C10BB">
      <w:pPr>
        <w:pStyle w:val="Heading2"/>
        <w:numPr>
          <w:ilvl w:val="0"/>
          <w:numId w:val="0"/>
        </w:numPr>
        <w:spacing w:line="259" w:lineRule="auto"/>
      </w:pPr>
      <w:r>
        <w:rPr>
          <w:noProof/>
        </w:rPr>
        <mc:AlternateContent>
          <mc:Choice Requires="wps">
            <w:drawing>
              <wp:anchor distT="0" distB="0" distL="114300" distR="114300" simplePos="0" relativeHeight="251713024" behindDoc="0" locked="0" layoutInCell="1" allowOverlap="1" wp14:anchorId="1B5805B7" wp14:editId="03A962A3">
                <wp:simplePos x="0" y="0"/>
                <wp:positionH relativeFrom="column">
                  <wp:posOffset>0</wp:posOffset>
                </wp:positionH>
                <wp:positionV relativeFrom="paragraph">
                  <wp:posOffset>458944</wp:posOffset>
                </wp:positionV>
                <wp:extent cx="0" cy="600501"/>
                <wp:effectExtent l="0" t="0" r="38100" b="28575"/>
                <wp:wrapNone/>
                <wp:docPr id="53" name="Straight Connector 53"/>
                <wp:cNvGraphicFramePr/>
                <a:graphic xmlns:a="http://schemas.openxmlformats.org/drawingml/2006/main">
                  <a:graphicData uri="http://schemas.microsoft.com/office/word/2010/wordprocessingShape">
                    <wps:wsp>
                      <wps:cNvCnPr/>
                      <wps:spPr>
                        <a:xfrm>
                          <a:off x="0" y="0"/>
                          <a:ext cx="0" cy="60050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3318AF15" id="Straight Connector 53" o:spid="_x0000_s1026" style="position:absolute;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6.15pt" to="0,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" strokecolor="#1d437f [3204]" strokeweight="1.5pt">
                <v:stroke joinstyle="miter"/>
              </v:line>
            </w:pict>
          </mc:Fallback>
        </mc:AlternateContent>
      </w:r>
      <w:r w:rsidR="00251A41">
        <w:t>Performance of</w:t>
      </w:r>
      <w:r w:rsidR="000E1DBD" w:rsidRPr="006647C5">
        <w:t xml:space="preserve"> HTA </w:t>
      </w:r>
      <w:r w:rsidR="00E813E8">
        <w:t>p</w:t>
      </w:r>
      <w:r w:rsidR="000E1DBD" w:rsidRPr="006647C5">
        <w:t>rocesses in Australia</w:t>
      </w:r>
      <w:bookmarkEnd w:id="65"/>
      <w:bookmarkEnd w:id="66"/>
      <w:bookmarkEnd w:id="67"/>
    </w:p>
    <w:p w14:paraId="191FB38F" w14:textId="38B57CB1" w:rsidR="002141DC" w:rsidRPr="002141DC" w:rsidRDefault="002141DC" w:rsidP="002141DC">
      <w:pPr>
        <w:ind w:left="284"/>
        <w:rPr>
          <w:iCs/>
        </w:rPr>
      </w:pPr>
      <w:r w:rsidRPr="009D14F6">
        <w:rPr>
          <w:iCs/>
        </w:rPr>
        <w:t>This section</w:t>
      </w:r>
      <w:r>
        <w:rPr>
          <w:iCs/>
        </w:rPr>
        <w:t xml:space="preserve"> on the performance of HTA processes in Australia</w:t>
      </w:r>
      <w:r w:rsidRPr="009D14F6">
        <w:rPr>
          <w:iCs/>
        </w:rPr>
        <w:t xml:space="preserve"> should be read in conjunction with </w:t>
      </w:r>
      <w:hyperlink r:id="rId96" w:history="1">
        <w:r w:rsidRPr="009378B6">
          <w:rPr>
            <w:rStyle w:val="Hyperlink"/>
          </w:rPr>
          <w:t>Australian market authorisation, funding and assessment pathways and timelines (Paper 8)</w:t>
        </w:r>
        <w:r w:rsidRPr="009378B6">
          <w:rPr>
            <w:rStyle w:val="Hyperlink"/>
            <w:iCs/>
          </w:rPr>
          <w:t>.</w:t>
        </w:r>
      </w:hyperlink>
      <w:r w:rsidRPr="009D14F6">
        <w:rPr>
          <w:iCs/>
        </w:rPr>
        <w:t xml:space="preserve"> </w:t>
      </w:r>
    </w:p>
    <w:p w14:paraId="0C1D3E9A" w14:textId="4C1BBAFF" w:rsidR="00CB6BC2" w:rsidRPr="00CB6BC2" w:rsidRDefault="0026736B" w:rsidP="00462821">
      <w:pPr>
        <w:pStyle w:val="Heading3"/>
      </w:pPr>
      <w:bookmarkStart w:id="68" w:name="_Toc157029035"/>
      <w:r>
        <w:t>How Australia compares to other OECD countries</w:t>
      </w:r>
      <w:bookmarkEnd w:id="68"/>
    </w:p>
    <w:p w14:paraId="2CFA6D70" w14:textId="653D156B" w:rsidR="00E81ED2" w:rsidRDefault="00E81ED2" w:rsidP="00E81ED2">
      <w:r>
        <w:lastRenderedPageBreak/>
        <w:t xml:space="preserve">There are several different entities </w:t>
      </w:r>
      <w:r w:rsidR="008B1C3F">
        <w:t xml:space="preserve">that </w:t>
      </w:r>
      <w:r>
        <w:t xml:space="preserve">report on </w:t>
      </w:r>
      <w:r w:rsidR="00684AC6">
        <w:t xml:space="preserve">how long it takes for </w:t>
      </w:r>
      <w:r>
        <w:t xml:space="preserve">a medicine </w:t>
      </w:r>
      <w:r w:rsidR="00660AF3">
        <w:t xml:space="preserve">to be listed in Australia </w:t>
      </w:r>
      <w:r>
        <w:t>on the PBS. These include:</w:t>
      </w:r>
    </w:p>
    <w:p w14:paraId="1E453888" w14:textId="5540320A" w:rsidR="00E81ED2" w:rsidRDefault="00E81ED2" w:rsidP="008D2A3F">
      <w:pPr>
        <w:pStyle w:val="ListParagraph"/>
        <w:numPr>
          <w:ilvl w:val="0"/>
          <w:numId w:val="13"/>
        </w:numPr>
        <w:spacing w:before="120" w:after="0"/>
      </w:pPr>
      <w:r>
        <w:t xml:space="preserve">the Centre for Innovation and Regulatory Science (CIRS) – HTA </w:t>
      </w:r>
      <w:r w:rsidR="002C065E">
        <w:t>D</w:t>
      </w:r>
      <w:r>
        <w:t>ock</w:t>
      </w:r>
      <w:r>
        <w:rPr>
          <w:rStyle w:val="FootnoteReference"/>
        </w:rPr>
        <w:footnoteReference w:id="2"/>
      </w:r>
    </w:p>
    <w:p w14:paraId="609680E3" w14:textId="77777777" w:rsidR="00E81ED2" w:rsidRDefault="00E81ED2" w:rsidP="008D2A3F">
      <w:pPr>
        <w:pStyle w:val="ListParagraph"/>
        <w:numPr>
          <w:ilvl w:val="0"/>
          <w:numId w:val="13"/>
        </w:numPr>
        <w:spacing w:before="120" w:after="0"/>
      </w:pPr>
      <w:r>
        <w:t>Medicines Australia – Medicines Matter report</w:t>
      </w:r>
      <w:r>
        <w:rPr>
          <w:rStyle w:val="FootnoteReference"/>
        </w:rPr>
        <w:footnoteReference w:id="3"/>
      </w:r>
    </w:p>
    <w:p w14:paraId="08DB693F" w14:textId="77777777" w:rsidR="00E81ED2" w:rsidRDefault="00E81ED2" w:rsidP="008D2A3F">
      <w:pPr>
        <w:pStyle w:val="ListParagraph"/>
        <w:numPr>
          <w:ilvl w:val="0"/>
          <w:numId w:val="13"/>
        </w:numPr>
        <w:spacing w:before="120" w:after="0"/>
      </w:pPr>
      <w:r>
        <w:t>Pharmaceutical Research and Manufacturers of America (PhRMA) Global Access to New Medicines Report</w:t>
      </w:r>
      <w:r>
        <w:rPr>
          <w:rStyle w:val="FootnoteReference"/>
        </w:rPr>
        <w:footnoteReference w:id="4"/>
      </w:r>
    </w:p>
    <w:p w14:paraId="5A91A949" w14:textId="55F30A2A" w:rsidR="008761E5" w:rsidRDefault="00E81ED2" w:rsidP="008D2A3F">
      <w:pPr>
        <w:pStyle w:val="ListParagraph"/>
        <w:numPr>
          <w:ilvl w:val="0"/>
          <w:numId w:val="13"/>
        </w:numPr>
        <w:spacing w:before="120"/>
      </w:pPr>
      <w:r>
        <w:t>Metrics for PBS process improvements.</w:t>
      </w:r>
      <w:r>
        <w:rPr>
          <w:rStyle w:val="FootnoteReference"/>
        </w:rPr>
        <w:footnoteReference w:id="5"/>
      </w:r>
    </w:p>
    <w:p w14:paraId="27F2C0BB" w14:textId="14DE6221" w:rsidR="00E81ED2" w:rsidRDefault="00E81ED2" w:rsidP="00E81ED2">
      <w:r>
        <w:t xml:space="preserve">The CIRS HTA Dock, Medicines Australia Medicines Matter, and PhRMA Global Access to New Medicines reports compare timeframes for subsidy through the PBS with other </w:t>
      </w:r>
      <w:r w:rsidR="002264E4">
        <w:t>countries</w:t>
      </w:r>
      <w:r>
        <w:t xml:space="preserve">. </w:t>
      </w:r>
    </w:p>
    <w:p w14:paraId="6381A91F" w14:textId="3AC0D611" w:rsidR="00C510A5" w:rsidRDefault="008761E5" w:rsidP="00F02DFB">
      <w:r>
        <w:t xml:space="preserve">The </w:t>
      </w:r>
      <w:r w:rsidR="00987CDB">
        <w:t xml:space="preserve">most recent </w:t>
      </w:r>
      <w:r>
        <w:t xml:space="preserve">findings of these studies are reported in the paper on Australian market approval, funding and assessment pathways and timeframes. </w:t>
      </w:r>
      <w:r w:rsidR="009D7231">
        <w:t>Depending on the timeliness measure, t</w:t>
      </w:r>
      <w:r w:rsidR="00ED147F">
        <w:t>hese studies show Australia</w:t>
      </w:r>
      <w:r w:rsidR="00552B66">
        <w:t>’s processes</w:t>
      </w:r>
      <w:r w:rsidR="009D7231">
        <w:t xml:space="preserve"> rank </w:t>
      </w:r>
      <w:r w:rsidR="00C803F4">
        <w:t>between</w:t>
      </w:r>
      <w:r w:rsidR="009D7231">
        <w:t xml:space="preserve"> the top </w:t>
      </w:r>
      <w:r w:rsidR="008C3EA0">
        <w:t>and</w:t>
      </w:r>
      <w:r w:rsidR="009D7231">
        <w:t xml:space="preserve"> the middle </w:t>
      </w:r>
      <w:r w:rsidR="00B64685">
        <w:t xml:space="preserve">of comparable OECD countries. </w:t>
      </w:r>
    </w:p>
    <w:p w14:paraId="403899D0" w14:textId="3207778A" w:rsidR="00F02DFB" w:rsidRDefault="00F02DFB" w:rsidP="00F02DFB">
      <w:r>
        <w:t xml:space="preserve">The methods for analysing and reporting on regulatory and reimbursement approval timelines vary between different </w:t>
      </w:r>
      <w:r w:rsidR="004C711C">
        <w:t xml:space="preserve">entities and </w:t>
      </w:r>
      <w:r>
        <w:t xml:space="preserve">studies. This can lead to differences in findings for similar metrics. </w:t>
      </w:r>
    </w:p>
    <w:p w14:paraId="56719814" w14:textId="35122055" w:rsidR="00F02DFB" w:rsidRDefault="00F02DFB" w:rsidP="00F02DFB">
      <w:r>
        <w:t>Reports on new molecular entities and new active substances authorised and reimbursed are based on the first registered indication in respective jurisdictions. The first registered and funded indication can vary between jurisdictions. Inclusion of repurposed medicines in statistics can significantly skew averages – where for example</w:t>
      </w:r>
      <w:r w:rsidR="00414A83">
        <w:t>,</w:t>
      </w:r>
      <w:r>
        <w:t xml:space="preserve"> the repurposed medicine gained market authorisation many years ago for an indication that was not reimbursed or was later withdrawn and then gained market authorisation for a new indication that was reimbursed. It is unclear to what extent such outliers have been included or excluded in the different reports. The raw data that supports the </w:t>
      </w:r>
      <w:r w:rsidR="00597EB1">
        <w:t>f</w:t>
      </w:r>
      <w:r>
        <w:t xml:space="preserve">igures in the CIRS, Medicines Australia and PhRMA reports is not publicly available. </w:t>
      </w:r>
    </w:p>
    <w:p w14:paraId="5EE42E1A" w14:textId="77777777" w:rsidR="00F02DFB" w:rsidRDefault="00F02DFB" w:rsidP="00F02DFB">
      <w:r>
        <w:t xml:space="preserve">Comparison of the numbers of new medicines reimbursed in different countries can also be misleading as a measure of access as it may not reflect differences between national and local schemes for funding or the availability and performance of alternative health technologies in various countries. </w:t>
      </w:r>
    </w:p>
    <w:p w14:paraId="0339171E" w14:textId="434F135E" w:rsidR="00F02DFB" w:rsidRPr="00CB6BC2" w:rsidRDefault="00F02DFB" w:rsidP="00CB6BC2">
      <w:r>
        <w:lastRenderedPageBreak/>
        <w:t>Medicines funded for inpatients in public hospitals in Australia, for example, are unlikely to be captured in international comparisons. In other countries, medicines may be funded but for a smaller population than</w:t>
      </w:r>
      <w:r w:rsidR="00B27623">
        <w:t xml:space="preserve"> the approved</w:t>
      </w:r>
      <w:r>
        <w:t xml:space="preserve"> indicat</w:t>
      </w:r>
      <w:r w:rsidR="00B27623">
        <w:t>ion</w:t>
      </w:r>
      <w:r>
        <w:t xml:space="preserve"> or a subset of the overall population based on level of insurance.</w:t>
      </w:r>
    </w:p>
    <w:p w14:paraId="72DAB83F" w14:textId="5152EA9D" w:rsidR="002C7DAC" w:rsidRDefault="00991232" w:rsidP="004550C0">
      <w:pPr>
        <w:pStyle w:val="Heading3"/>
        <w:keepNext/>
        <w:keepLines/>
      </w:pPr>
      <w:bookmarkStart w:id="69" w:name="_Toc157029036"/>
      <w:r>
        <w:t>Actual HTA process timeframes in Australia</w:t>
      </w:r>
      <w:bookmarkEnd w:id="69"/>
    </w:p>
    <w:p w14:paraId="6E4EE337" w14:textId="66A28B4A" w:rsidR="007B68BE" w:rsidRDefault="007B68BE" w:rsidP="007B68BE">
      <w:pPr>
        <w:pStyle w:val="Heading4"/>
      </w:pPr>
      <w:r>
        <w:t>Timeframes</w:t>
      </w:r>
    </w:p>
    <w:p w14:paraId="077530E3" w14:textId="54E2F641" w:rsidR="000D171A" w:rsidRPr="006A6302" w:rsidRDefault="000D171A" w:rsidP="000D171A">
      <w:r>
        <w:t xml:space="preserve">The timelines for funding a health technology through the PBS, MBS, NHRA, NIP, and under </w:t>
      </w:r>
      <w:r w:rsidR="00E94CBB">
        <w:t xml:space="preserve">NBA </w:t>
      </w:r>
      <w:r>
        <w:t xml:space="preserve">are set out in the paper on Australian market approval, funding and assessment pathways and timeframes. Statistics on actual timeframes for health technologies to be subsidised through the PBS </w:t>
      </w:r>
      <w:r w:rsidR="00BE4B36">
        <w:t xml:space="preserve">in </w:t>
      </w:r>
      <w:r w:rsidR="008055A7">
        <w:t xml:space="preserve">2021 and 2022 </w:t>
      </w:r>
      <w:r>
        <w:t>are also presented in that paper as there ha</w:t>
      </w:r>
      <w:r w:rsidR="00FF6984">
        <w:t>s</w:t>
      </w:r>
      <w:r>
        <w:t xml:space="preserve"> been </w:t>
      </w:r>
      <w:proofErr w:type="gramStart"/>
      <w:r>
        <w:t xml:space="preserve">a sufficient </w:t>
      </w:r>
      <w:r w:rsidR="00BE4B36">
        <w:t>number</w:t>
      </w:r>
      <w:proofErr w:type="gramEnd"/>
      <w:r w:rsidR="00BE4B36">
        <w:t xml:space="preserve"> </w:t>
      </w:r>
      <w:r>
        <w:t xml:space="preserve">funded through that pathway to generate meaningful statistics. </w:t>
      </w:r>
    </w:p>
    <w:p w14:paraId="4BDB3BAD" w14:textId="37A10F1A" w:rsidR="002C7DAC" w:rsidRDefault="002C7DAC" w:rsidP="002C7DAC">
      <w:r>
        <w:t xml:space="preserve">There are </w:t>
      </w:r>
      <w:r w:rsidR="00FF6984">
        <w:t>several</w:t>
      </w:r>
      <w:r>
        <w:t xml:space="preserve"> decisions and steps that need to be undertaken by different entities between first submission for regulatory approval globally and government subsidy that determine how long it takes for a medicine to be subsidised. The timeframe to</w:t>
      </w:r>
      <w:r w:rsidR="00FF6984">
        <w:t xml:space="preserve"> a</w:t>
      </w:r>
      <w:r>
        <w:t xml:space="preserve"> </w:t>
      </w:r>
      <w:r w:rsidR="004C0C21">
        <w:t xml:space="preserve">PBS </w:t>
      </w:r>
      <w:r>
        <w:t>listing from the launch of a new medicine can be broken down into the following broad stages:</w:t>
      </w:r>
    </w:p>
    <w:p w14:paraId="348D402D" w14:textId="7B22EAF7" w:rsidR="002C7DAC" w:rsidRDefault="002C7DAC" w:rsidP="008C10BB">
      <w:pPr>
        <w:pStyle w:val="ListParagraph"/>
        <w:numPr>
          <w:ilvl w:val="0"/>
          <w:numId w:val="15"/>
        </w:numPr>
        <w:spacing w:before="120" w:after="0"/>
      </w:pPr>
      <w:r>
        <w:t xml:space="preserve">The time it takes a </w:t>
      </w:r>
      <w:r w:rsidR="000B15BD">
        <w:t>sponsor</w:t>
      </w:r>
      <w:r>
        <w:t xml:space="preserve"> to apply for TGA registration after first applying for market authorisation internationally</w:t>
      </w:r>
      <w:r w:rsidR="00582AD1">
        <w:t>.</w:t>
      </w:r>
    </w:p>
    <w:p w14:paraId="29E3E081" w14:textId="14B8C996" w:rsidR="002C7DAC" w:rsidRDefault="002C7DAC" w:rsidP="008C10BB">
      <w:pPr>
        <w:pStyle w:val="ListParagraph"/>
        <w:numPr>
          <w:ilvl w:val="0"/>
          <w:numId w:val="15"/>
        </w:numPr>
        <w:spacing w:before="120" w:after="0"/>
      </w:pPr>
      <w:r>
        <w:t xml:space="preserve">The time it takes a </w:t>
      </w:r>
      <w:r w:rsidR="00C21E68">
        <w:t>sponsor</w:t>
      </w:r>
      <w:r>
        <w:t xml:space="preserve"> to make a submission</w:t>
      </w:r>
      <w:r w:rsidR="00FF7309">
        <w:t xml:space="preserve"> to the</w:t>
      </w:r>
      <w:r w:rsidR="006B485B">
        <w:t xml:space="preserve"> </w:t>
      </w:r>
      <w:r w:rsidR="00355267" w:rsidRPr="00355267">
        <w:t>Pharmaceutical Benefits Advisory Committee</w:t>
      </w:r>
      <w:r w:rsidR="000F2191">
        <w:t xml:space="preserve"> (PBAC) </w:t>
      </w:r>
      <w:r>
        <w:t>after it has applied for TGA registration</w:t>
      </w:r>
      <w:r w:rsidR="00582AD1">
        <w:t>.</w:t>
      </w:r>
    </w:p>
    <w:p w14:paraId="26288CC2" w14:textId="26926144" w:rsidR="002C7DAC" w:rsidRDefault="002C7DAC" w:rsidP="008C10BB">
      <w:pPr>
        <w:pStyle w:val="ListParagraph"/>
        <w:numPr>
          <w:ilvl w:val="0"/>
          <w:numId w:val="15"/>
        </w:numPr>
        <w:spacing w:before="120" w:after="0"/>
      </w:pPr>
      <w:r>
        <w:t>The time between PBAC submission and the earliest date a pricing offer (PO) can be made after a positive recommendation</w:t>
      </w:r>
      <w:r w:rsidR="00296F2F">
        <w:t xml:space="preserve"> (this includes</w:t>
      </w:r>
      <w:r w:rsidR="008C09EA">
        <w:t xml:space="preserve"> the additional time </w:t>
      </w:r>
      <w:r w:rsidR="00046BE5">
        <w:t>resulting from</w:t>
      </w:r>
      <w:r w:rsidR="008C09EA">
        <w:t xml:space="preserve"> resubmissions</w:t>
      </w:r>
      <w:r w:rsidR="00E44E9A">
        <w:t xml:space="preserve"> but does not differentiate the number of resubmissions</w:t>
      </w:r>
      <w:r w:rsidR="002E40E2">
        <w:t xml:space="preserve"> taken</w:t>
      </w:r>
      <w:r w:rsidR="00046BE5">
        <w:t>)</w:t>
      </w:r>
    </w:p>
    <w:p w14:paraId="7CACA46C" w14:textId="0B03350B" w:rsidR="002C7DAC" w:rsidRDefault="002C7DAC" w:rsidP="008C10BB">
      <w:pPr>
        <w:pStyle w:val="ListParagraph"/>
        <w:numPr>
          <w:ilvl w:val="0"/>
          <w:numId w:val="15"/>
        </w:numPr>
        <w:spacing w:before="120" w:after="0"/>
      </w:pPr>
      <w:r>
        <w:t xml:space="preserve">The time it takes a </w:t>
      </w:r>
      <w:r w:rsidR="006079E0">
        <w:t>sponsor</w:t>
      </w:r>
      <w:r>
        <w:t xml:space="preserve"> to make a </w:t>
      </w:r>
      <w:r w:rsidR="00772B38">
        <w:t>price offer</w:t>
      </w:r>
      <w:r>
        <w:t xml:space="preserve"> after the earliest date a </w:t>
      </w:r>
      <w:r w:rsidR="00772B38">
        <w:t>price offer</w:t>
      </w:r>
      <w:r>
        <w:t xml:space="preserve"> can be made</w:t>
      </w:r>
      <w:r w:rsidR="006D2DDB">
        <w:t>.</w:t>
      </w:r>
    </w:p>
    <w:p w14:paraId="062CBB0C" w14:textId="32438233" w:rsidR="002C7DAC" w:rsidRDefault="002C7DAC" w:rsidP="008D2A3F">
      <w:pPr>
        <w:pStyle w:val="ListParagraph"/>
        <w:numPr>
          <w:ilvl w:val="0"/>
          <w:numId w:val="15"/>
        </w:numPr>
        <w:spacing w:before="120" w:after="0"/>
      </w:pPr>
      <w:r>
        <w:t xml:space="preserve">The time it takes for the Government and the </w:t>
      </w:r>
      <w:r w:rsidR="00C21E68">
        <w:t>sponsor</w:t>
      </w:r>
      <w:r>
        <w:t xml:space="preserve"> to agree the price and other terms of implementation such as special pricing arrangements, access criteria and sharing of risk</w:t>
      </w:r>
      <w:r w:rsidR="006D2DDB">
        <w:t>.</w:t>
      </w:r>
    </w:p>
    <w:p w14:paraId="7D107FEA" w14:textId="12F49025" w:rsidR="002C7DAC" w:rsidRDefault="002C7DAC" w:rsidP="008D2A3F">
      <w:pPr>
        <w:pStyle w:val="ListParagraph"/>
        <w:numPr>
          <w:ilvl w:val="0"/>
          <w:numId w:val="15"/>
        </w:numPr>
        <w:spacing w:before="120"/>
      </w:pPr>
      <w:r>
        <w:t xml:space="preserve">The time it takes for the Government to implement the PBS listing after terms of implementation have been agreed. </w:t>
      </w:r>
    </w:p>
    <w:p w14:paraId="6BCC3B30" w14:textId="7D3BA13A" w:rsidR="00A72278" w:rsidRDefault="002C7DAC" w:rsidP="002C7DAC">
      <w:r>
        <w:t xml:space="preserve">Progression between stages requires either a decision from a </w:t>
      </w:r>
      <w:r w:rsidR="00C21E68">
        <w:t>sponsor</w:t>
      </w:r>
      <w:r>
        <w:t>, PBAC</w:t>
      </w:r>
      <w:r w:rsidR="00372235">
        <w:t>,</w:t>
      </w:r>
      <w:r>
        <w:t xml:space="preserve"> </w:t>
      </w:r>
      <w:r w:rsidR="00131882">
        <w:t xml:space="preserve">the </w:t>
      </w:r>
      <w:r w:rsidR="00131882" w:rsidRPr="00691879">
        <w:t>Medical Services Advisory Committee (</w:t>
      </w:r>
      <w:r w:rsidR="00F70CAD">
        <w:t>MSAC</w:t>
      </w:r>
      <w:r w:rsidR="00131882">
        <w:t>)</w:t>
      </w:r>
      <w:r w:rsidR="005C3151">
        <w:t xml:space="preserve"> </w:t>
      </w:r>
      <w:r>
        <w:t xml:space="preserve">or the </w:t>
      </w:r>
      <w:r w:rsidR="008A0C6B">
        <w:t>Commonwealth</w:t>
      </w:r>
      <w:r>
        <w:t xml:space="preserve"> Government, or for different entities in the listing process to come to agreement about aspects of the listing. </w:t>
      </w:r>
    </w:p>
    <w:p w14:paraId="7D083BED" w14:textId="2F46666E" w:rsidR="002C7DAC" w:rsidRDefault="002C7DAC" w:rsidP="002C7DAC">
      <w:r>
        <w:lastRenderedPageBreak/>
        <w:t>The time taken for new medicines (new molecular entities) and new indications for existing medicines that listed on the PBS in 2021 and 2022 to progress through each stage varie</w:t>
      </w:r>
      <w:r w:rsidR="00A72278">
        <w:t>d</w:t>
      </w:r>
      <w:r>
        <w:t xml:space="preserve"> significantly. </w:t>
      </w:r>
      <w:r w:rsidR="00A72278">
        <w:t xml:space="preserve">These timeframes are set out in </w:t>
      </w:r>
      <w:hyperlink r:id="rId97" w:history="1">
        <w:r w:rsidR="00FE5804" w:rsidRPr="0043012C">
          <w:rPr>
            <w:rStyle w:val="Hyperlink"/>
          </w:rPr>
          <w:t>Paper 8</w:t>
        </w:r>
      </w:hyperlink>
      <w:r w:rsidR="00FE5804">
        <w:t>.</w:t>
      </w:r>
      <w:r w:rsidR="00A72278">
        <w:t xml:space="preserve"> </w:t>
      </w:r>
    </w:p>
    <w:p w14:paraId="76B8F7B9" w14:textId="77777777" w:rsidR="001E4CBA" w:rsidRDefault="001E4CBA" w:rsidP="007B68BE">
      <w:pPr>
        <w:pStyle w:val="Heading5"/>
      </w:pPr>
      <w:r>
        <w:t>Minimum timeframes</w:t>
      </w:r>
    </w:p>
    <w:p w14:paraId="310462BA" w14:textId="56DE4922" w:rsidR="001E4CBA" w:rsidRDefault="001E4CBA" w:rsidP="001E4CBA">
      <w:r>
        <w:t xml:space="preserve">The minimum timeframe from PBAC submission to the earliest date for a </w:t>
      </w:r>
      <w:r w:rsidR="005474D6">
        <w:t>PO</w:t>
      </w:r>
      <w:r w:rsidR="0010201F">
        <w:t xml:space="preserve"> in 2021 and 2022</w:t>
      </w:r>
      <w:r>
        <w:t xml:space="preserve"> was 5 months, while the minimum timeframe for all other stages was one month or less. There were: </w:t>
      </w:r>
    </w:p>
    <w:p w14:paraId="104C506A" w14:textId="25E839E7" w:rsidR="001E4CBA" w:rsidRDefault="001E4CBA" w:rsidP="008D2A3F">
      <w:pPr>
        <w:pStyle w:val="ListParagraph"/>
        <w:numPr>
          <w:ilvl w:val="0"/>
          <w:numId w:val="17"/>
        </w:numPr>
        <w:spacing w:before="120" w:after="0"/>
      </w:pPr>
      <w:r>
        <w:t xml:space="preserve">examples of </w:t>
      </w:r>
      <w:r w:rsidR="002E6B3D">
        <w:t>sponsors</w:t>
      </w:r>
      <w:r>
        <w:t xml:space="preserve"> submitting to the TGA before or in the same month as they submitted to the </w:t>
      </w:r>
      <w:r w:rsidR="00E9358E" w:rsidRPr="00E9358E">
        <w:t xml:space="preserve">Food and Drug Administration </w:t>
      </w:r>
      <w:r w:rsidR="00E9358E">
        <w:t>(</w:t>
      </w:r>
      <w:r>
        <w:t>FDA</w:t>
      </w:r>
      <w:r w:rsidR="00E9358E">
        <w:t>, US)</w:t>
      </w:r>
      <w:r>
        <w:t xml:space="preserve"> or </w:t>
      </w:r>
      <w:r w:rsidR="00CF5DE2" w:rsidRPr="00CF5DE2">
        <w:t>European Medicines Agency</w:t>
      </w:r>
      <w:r w:rsidR="00CF5DE2">
        <w:t xml:space="preserve"> (</w:t>
      </w:r>
      <w:r>
        <w:t>EMA</w:t>
      </w:r>
      <w:r w:rsidR="00CF5DE2">
        <w:t>)</w:t>
      </w:r>
    </w:p>
    <w:p w14:paraId="5AB5B9FD" w14:textId="4B3EC701" w:rsidR="001E4CBA" w:rsidRDefault="001E4CBA" w:rsidP="008D2A3F">
      <w:pPr>
        <w:pStyle w:val="ListParagraph"/>
        <w:numPr>
          <w:ilvl w:val="0"/>
          <w:numId w:val="17"/>
        </w:numPr>
        <w:spacing w:before="120" w:after="0"/>
      </w:pPr>
      <w:r>
        <w:t xml:space="preserve">examples of </w:t>
      </w:r>
      <w:r w:rsidR="002E6B3D">
        <w:t>sponsors</w:t>
      </w:r>
      <w:r>
        <w:t xml:space="preserve"> submitting to PBAC in the same month as they submit</w:t>
      </w:r>
      <w:r w:rsidR="00042169">
        <w:t>ted</w:t>
      </w:r>
      <w:r>
        <w:t xml:space="preserve"> to the TGA, and </w:t>
      </w:r>
    </w:p>
    <w:p w14:paraId="08AD03B1" w14:textId="2C5F8098" w:rsidR="001E4CBA" w:rsidRDefault="001E4CBA" w:rsidP="008D2A3F">
      <w:pPr>
        <w:pStyle w:val="ListParagraph"/>
        <w:numPr>
          <w:ilvl w:val="0"/>
          <w:numId w:val="17"/>
        </w:numPr>
        <w:spacing w:before="120"/>
      </w:pPr>
      <w:r>
        <w:t xml:space="preserve">examples of new medicines being recommended the first time they were considered by PBAC. </w:t>
      </w:r>
    </w:p>
    <w:p w14:paraId="70735C8A" w14:textId="6EC1296B" w:rsidR="001E4CBA" w:rsidRPr="00E717A5" w:rsidRDefault="001E4CBA" w:rsidP="001E4CBA">
      <w:pPr>
        <w:rPr>
          <w:b/>
        </w:rPr>
      </w:pPr>
      <w:r>
        <w:t xml:space="preserve">There were no examples of medicines being recommended first time where PBAC ultimately accepted they provided an improvement in efficacy or reduction in toxicity over alternatives. For these medicines, a resubmission or subsequent consideration by PBAC was always required. </w:t>
      </w:r>
      <w:r w:rsidR="001E59D4">
        <w:t xml:space="preserve">The minimum timeframe for the listing of a new drug </w:t>
      </w:r>
      <w:r w:rsidR="00D234EA">
        <w:t xml:space="preserve">from </w:t>
      </w:r>
      <w:r w:rsidR="00F46890" w:rsidRPr="00E717A5">
        <w:t>Australian Register of Therapeutic Goods</w:t>
      </w:r>
      <w:r w:rsidR="00F46890" w:rsidRPr="00117D66">
        <w:t xml:space="preserve"> (</w:t>
      </w:r>
      <w:r w:rsidR="001E59D4">
        <w:t>ARTG</w:t>
      </w:r>
      <w:r w:rsidR="00F46890">
        <w:t>)</w:t>
      </w:r>
      <w:r w:rsidR="001E59D4">
        <w:t xml:space="preserve"> registration</w:t>
      </w:r>
      <w:r w:rsidR="00C94CDF">
        <w:t xml:space="preserve"> in 2021 and 2022 was 2 months. </w:t>
      </w:r>
    </w:p>
    <w:p w14:paraId="14B1FFAA" w14:textId="77777777" w:rsidR="001E4CBA" w:rsidRDefault="001E4CBA" w:rsidP="007B68BE">
      <w:pPr>
        <w:pStyle w:val="Heading5"/>
      </w:pPr>
      <w:r>
        <w:t>Median timeframes</w:t>
      </w:r>
    </w:p>
    <w:p w14:paraId="0BA9D508" w14:textId="7030B41D" w:rsidR="001E4CBA" w:rsidRDefault="001E4CBA" w:rsidP="001E4CBA">
      <w:r>
        <w:t xml:space="preserve">In </w:t>
      </w:r>
      <w:proofErr w:type="gramStart"/>
      <w:r>
        <w:t>the majority of</w:t>
      </w:r>
      <w:proofErr w:type="gramEnd"/>
      <w:r>
        <w:t xml:space="preserve"> circumstances, medicines took longer than the minimum possible timeframe to progress through each stage. However, some stages are significantly more variable than others. The stages up to the earliest possible date to make a </w:t>
      </w:r>
      <w:r w:rsidR="0058502E">
        <w:t>price offer</w:t>
      </w:r>
      <w:r>
        <w:t xml:space="preserve"> are highly variable, while the stages after the earliest date a </w:t>
      </w:r>
      <w:r w:rsidR="0058502E">
        <w:t>price offer</w:t>
      </w:r>
      <w:r>
        <w:t xml:space="preserve"> </w:t>
      </w:r>
      <w:r w:rsidR="007D5B55">
        <w:t xml:space="preserve">can be made </w:t>
      </w:r>
      <w:r>
        <w:t xml:space="preserve">are less variable and range from one to </w:t>
      </w:r>
      <w:r w:rsidR="003827A4">
        <w:t xml:space="preserve">4 </w:t>
      </w:r>
      <w:r>
        <w:t xml:space="preserve">months in </w:t>
      </w:r>
      <w:proofErr w:type="gramStart"/>
      <w:r>
        <w:t>the majority of</w:t>
      </w:r>
      <w:proofErr w:type="gramEnd"/>
      <w:r>
        <w:t xml:space="preserve"> circumstances.</w:t>
      </w:r>
      <w:r w:rsidR="00C94CDF">
        <w:t xml:space="preserve"> The median timeframe for the listing of a new drug </w:t>
      </w:r>
      <w:r w:rsidR="00D234EA">
        <w:t xml:space="preserve">from </w:t>
      </w:r>
      <w:r w:rsidR="00C94CDF">
        <w:t xml:space="preserve">ARTG registration in 2021 and 2022 was </w:t>
      </w:r>
      <w:r w:rsidR="00E44EC0">
        <w:t>21</w:t>
      </w:r>
      <w:r w:rsidR="00C94CDF">
        <w:t xml:space="preserve"> months.</w:t>
      </w:r>
    </w:p>
    <w:p w14:paraId="0D5E5732" w14:textId="77777777" w:rsidR="001E4CBA" w:rsidRDefault="001E4CBA" w:rsidP="007B68BE">
      <w:pPr>
        <w:pStyle w:val="Heading5"/>
      </w:pPr>
      <w:r>
        <w:t>Maximum timeframes</w:t>
      </w:r>
    </w:p>
    <w:p w14:paraId="3D3A0AB1" w14:textId="1ABA53BD" w:rsidR="001E4CBA" w:rsidRDefault="001E4CBA" w:rsidP="001E4CBA">
      <w:r>
        <w:t xml:space="preserve">For each timeframe, there were examples of medicines taking several years to move through stages prior to the earliest date a </w:t>
      </w:r>
      <w:r w:rsidR="0058502E">
        <w:t>price offer</w:t>
      </w:r>
      <w:r>
        <w:t xml:space="preserve"> could be made. After this stage, outliers took several months to move through </w:t>
      </w:r>
      <w:proofErr w:type="gramStart"/>
      <w:r>
        <w:t>particular stages</w:t>
      </w:r>
      <w:proofErr w:type="gramEnd"/>
      <w:r>
        <w:t>.</w:t>
      </w:r>
      <w:r w:rsidR="00E44EC0">
        <w:t xml:space="preserve"> The maximum timeframe for the listing of a new drug </w:t>
      </w:r>
      <w:r w:rsidR="00D234EA">
        <w:t xml:space="preserve">from </w:t>
      </w:r>
      <w:r w:rsidR="00E44EC0">
        <w:t>ARTG registration in 2021 and 2022 was 84 months.</w:t>
      </w:r>
    </w:p>
    <w:p w14:paraId="55FD63D8" w14:textId="69C26864" w:rsidR="00A0203E" w:rsidRPr="00B85A17" w:rsidRDefault="00A0203E" w:rsidP="00B85A17">
      <w:pPr>
        <w:pStyle w:val="Heading4"/>
      </w:pPr>
      <w:r w:rsidRPr="00B85A17">
        <w:t xml:space="preserve">What are the </w:t>
      </w:r>
      <w:r w:rsidR="00623AA6">
        <w:t xml:space="preserve">main contributors to the time it takes to </w:t>
      </w:r>
      <w:r w:rsidR="00F0633F">
        <w:t xml:space="preserve">assess and </w:t>
      </w:r>
      <w:r w:rsidR="00623AA6">
        <w:t>fund a health technology</w:t>
      </w:r>
      <w:r w:rsidR="00F0633F">
        <w:t>?</w:t>
      </w:r>
    </w:p>
    <w:p w14:paraId="47F502A0" w14:textId="067AECF3" w:rsidR="006B587F" w:rsidRDefault="00E47B9B" w:rsidP="001E4CBA">
      <w:r>
        <w:t xml:space="preserve">The </w:t>
      </w:r>
      <w:r w:rsidR="00555C2D">
        <w:t>information presented in the paper on Australian market approval, funding and assessment pathways and timeframes</w:t>
      </w:r>
      <w:r w:rsidR="00A251D9">
        <w:t xml:space="preserve"> reveals </w:t>
      </w:r>
      <w:r w:rsidR="001013E1">
        <w:t>that</w:t>
      </w:r>
      <w:r w:rsidR="00A251D9">
        <w:t xml:space="preserve"> </w:t>
      </w:r>
      <w:r w:rsidR="00BB2E76">
        <w:t>the main</w:t>
      </w:r>
      <w:r w:rsidR="00A251D9">
        <w:t xml:space="preserve"> contributors to </w:t>
      </w:r>
      <w:r w:rsidR="00623AA6">
        <w:t>the time it takes to fund a health technology</w:t>
      </w:r>
      <w:r w:rsidR="00B678A4">
        <w:t xml:space="preserve"> are the following: </w:t>
      </w:r>
    </w:p>
    <w:p w14:paraId="562D36D2" w14:textId="32BD00DA" w:rsidR="00623AA6" w:rsidRPr="004F47F5" w:rsidRDefault="00077AB3" w:rsidP="008505D7">
      <w:pPr>
        <w:pStyle w:val="ListParagraph"/>
        <w:numPr>
          <w:ilvl w:val="0"/>
          <w:numId w:val="142"/>
        </w:numPr>
        <w:rPr>
          <w:b/>
          <w:bCs/>
        </w:rPr>
      </w:pPr>
      <w:r>
        <w:lastRenderedPageBreak/>
        <w:t>c</w:t>
      </w:r>
      <w:r w:rsidR="00B97E9C">
        <w:t>ompanies</w:t>
      </w:r>
      <w:r w:rsidR="008E7417">
        <w:t xml:space="preserve"> seek to</w:t>
      </w:r>
      <w:r w:rsidR="0054602A">
        <w:t xml:space="preserve"> market products in Australia</w:t>
      </w:r>
      <w:r w:rsidR="008E7417">
        <w:t xml:space="preserve"> only</w:t>
      </w:r>
      <w:r w:rsidR="000F5F18">
        <w:t xml:space="preserve"> after </w:t>
      </w:r>
      <w:r w:rsidR="008E7417">
        <w:t xml:space="preserve">applying </w:t>
      </w:r>
      <w:r w:rsidR="538D2FCD">
        <w:t xml:space="preserve">(and/or receiving approval) </w:t>
      </w:r>
      <w:r w:rsidR="008E7417">
        <w:t>in the</w:t>
      </w:r>
      <w:r w:rsidR="000F5F18">
        <w:t xml:space="preserve"> U</w:t>
      </w:r>
      <w:r w:rsidR="3FA621A8">
        <w:t xml:space="preserve">nited </w:t>
      </w:r>
      <w:r w:rsidR="000F5F18">
        <w:t>S</w:t>
      </w:r>
      <w:r w:rsidR="011BB2A0">
        <w:t>tates</w:t>
      </w:r>
      <w:r w:rsidR="000F5F18">
        <w:t xml:space="preserve"> </w:t>
      </w:r>
      <w:r w:rsidR="5456756F">
        <w:t>(</w:t>
      </w:r>
      <w:r w:rsidR="000F5F18">
        <w:t>US</w:t>
      </w:r>
      <w:r w:rsidR="5456756F">
        <w:t>)</w:t>
      </w:r>
      <w:r w:rsidR="000F5F18">
        <w:t xml:space="preserve"> and the E</w:t>
      </w:r>
      <w:r w:rsidR="0754A856">
        <w:t xml:space="preserve">uropean </w:t>
      </w:r>
      <w:r w:rsidR="000F5F18">
        <w:t>U</w:t>
      </w:r>
      <w:r w:rsidR="28AF2C90">
        <w:t>nion</w:t>
      </w:r>
    </w:p>
    <w:p w14:paraId="40B690B3" w14:textId="17D68CE8" w:rsidR="0035310E" w:rsidRDefault="00EC1B00" w:rsidP="008505D7">
      <w:pPr>
        <w:pStyle w:val="ListParagraph"/>
        <w:numPr>
          <w:ilvl w:val="0"/>
          <w:numId w:val="142"/>
        </w:numPr>
      </w:pPr>
      <w:r>
        <w:t>u</w:t>
      </w:r>
      <w:r w:rsidR="0035310E">
        <w:t>nderutilisation of parallel processing</w:t>
      </w:r>
    </w:p>
    <w:p w14:paraId="281BB226" w14:textId="34E0E033" w:rsidR="00FB1887" w:rsidRDefault="00771560" w:rsidP="008505D7">
      <w:pPr>
        <w:pStyle w:val="ListParagraph"/>
        <w:numPr>
          <w:ilvl w:val="0"/>
          <w:numId w:val="142"/>
        </w:numPr>
      </w:pPr>
      <w:r>
        <w:t>repeated</w:t>
      </w:r>
      <w:r w:rsidR="0017299A" w:rsidRPr="000F5F18">
        <w:t xml:space="preserve"> submissions to advisory committees</w:t>
      </w:r>
      <w:r w:rsidR="00022477">
        <w:t xml:space="preserve"> </w:t>
      </w:r>
    </w:p>
    <w:p w14:paraId="385F9A70" w14:textId="61D1B8C9" w:rsidR="004F47F5" w:rsidRPr="00FB1887" w:rsidRDefault="00317DDD" w:rsidP="008505D7">
      <w:pPr>
        <w:pStyle w:val="ListParagraph"/>
        <w:numPr>
          <w:ilvl w:val="0"/>
          <w:numId w:val="142"/>
        </w:numPr>
      </w:pPr>
      <w:r>
        <w:t>m</w:t>
      </w:r>
      <w:r w:rsidR="00FB1887" w:rsidRPr="00EF7654">
        <w:t>ultiple process steps for health technologies funded through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fldChar w:fldCharType="end"/>
      </w:r>
      <w:r w:rsidR="00FB1887" w:rsidRPr="00EF7654">
        <w:t>, NIP and under the NHRA</w:t>
      </w:r>
      <w:r w:rsidR="00A90B13">
        <w:t>.</w:t>
      </w:r>
    </w:p>
    <w:p w14:paraId="5BE5449E" w14:textId="4790D684" w:rsidR="00A87B06" w:rsidRPr="00522ACB" w:rsidRDefault="00A87B06" w:rsidP="00522ACB">
      <w:pPr>
        <w:pStyle w:val="Heading5"/>
        <w:rPr>
          <w:color w:val="FF0000"/>
        </w:rPr>
      </w:pPr>
      <w:r w:rsidRPr="00522ACB">
        <w:rPr>
          <w:rStyle w:val="Heading5Char"/>
          <w:i/>
        </w:rPr>
        <w:t>Companies seek to market products in Australia after the US and the EU</w:t>
      </w:r>
      <w:r w:rsidRPr="00522ACB">
        <w:rPr>
          <w:color w:val="FF0000"/>
        </w:rPr>
        <w:t xml:space="preserve"> </w:t>
      </w:r>
    </w:p>
    <w:p w14:paraId="36EC89A5" w14:textId="22C99502" w:rsidR="00C32303" w:rsidRDefault="00672B26" w:rsidP="001E4CBA">
      <w:r>
        <w:t>For new drug</w:t>
      </w:r>
      <w:r w:rsidR="00C32303">
        <w:t>s that</w:t>
      </w:r>
      <w:r>
        <w:t xml:space="preserve"> </w:t>
      </w:r>
      <w:r w:rsidR="001824BA">
        <w:t xml:space="preserve">were </w:t>
      </w:r>
      <w:r>
        <w:t>list</w:t>
      </w:r>
      <w:r w:rsidR="00C32303">
        <w:t>ed</w:t>
      </w:r>
      <w:r>
        <w:t xml:space="preserve"> on the PBS i</w:t>
      </w:r>
      <w:r w:rsidR="00EF2BB9">
        <w:t xml:space="preserve">n 2021 and 2022, the median time between </w:t>
      </w:r>
      <w:r w:rsidR="001824BA">
        <w:t xml:space="preserve">the </w:t>
      </w:r>
      <w:r w:rsidR="00EF2BB9">
        <w:t xml:space="preserve">first EU or </w:t>
      </w:r>
      <w:r w:rsidR="00D20446">
        <w:t>US market authorisation</w:t>
      </w:r>
      <w:r w:rsidR="00EF2BB9">
        <w:t xml:space="preserve"> application to TGA application was 13 months. </w:t>
      </w:r>
      <w:r w:rsidR="00320AB9">
        <w:t xml:space="preserve">While there were </w:t>
      </w:r>
      <w:r w:rsidR="00D20446">
        <w:t xml:space="preserve">some examples of </w:t>
      </w:r>
      <w:r w:rsidR="00144C3B">
        <w:t xml:space="preserve">sponsors </w:t>
      </w:r>
      <w:r w:rsidR="00D20446">
        <w:t xml:space="preserve">providing dossiers to the TGA at the same time as the FDA or </w:t>
      </w:r>
      <w:r w:rsidR="00AC238A">
        <w:t>EMA application, the majority d</w:t>
      </w:r>
      <w:r w:rsidR="00C32303">
        <w:t>id</w:t>
      </w:r>
      <w:r w:rsidR="00AC238A">
        <w:t xml:space="preserve"> not.</w:t>
      </w:r>
    </w:p>
    <w:p w14:paraId="6720EFE5" w14:textId="2E2B1600" w:rsidR="0041557D" w:rsidRDefault="001F7554" w:rsidP="001E4CBA">
      <w:r>
        <w:t>The Reference Committee</w:t>
      </w:r>
      <w:r w:rsidR="00FB1887">
        <w:t xml:space="preserve"> heard that </w:t>
      </w:r>
      <w:r w:rsidR="00710ABE">
        <w:t xml:space="preserve">Australia pays </w:t>
      </w:r>
      <w:r w:rsidR="00710ABE" w:rsidDel="00D746D2">
        <w:t xml:space="preserve">comparatively </w:t>
      </w:r>
      <w:r w:rsidR="00710ABE">
        <w:t xml:space="preserve">low prices for health technologies compared to other </w:t>
      </w:r>
      <w:r w:rsidR="00076601">
        <w:t>co</w:t>
      </w:r>
      <w:r w:rsidR="00D41EE1">
        <w:t>untries</w:t>
      </w:r>
      <w:r w:rsidR="0041557D">
        <w:t>,</w:t>
      </w:r>
      <w:r w:rsidR="00F32751">
        <w:t xml:space="preserve"> </w:t>
      </w:r>
      <w:r w:rsidR="0041557D">
        <w:t>which</w:t>
      </w:r>
      <w:r w:rsidR="00F32751">
        <w:t xml:space="preserve"> may act as a disincentive</w:t>
      </w:r>
      <w:r w:rsidR="00C621CD">
        <w:t xml:space="preserve"> </w:t>
      </w:r>
      <w:r w:rsidR="00B96EFD">
        <w:t xml:space="preserve">in global </w:t>
      </w:r>
      <w:r w:rsidR="000C54EB">
        <w:t>companies’</w:t>
      </w:r>
      <w:r w:rsidR="00474BF3">
        <w:t xml:space="preserve"> </w:t>
      </w:r>
      <w:r w:rsidR="00352C4B">
        <w:t>decision</w:t>
      </w:r>
      <w:r w:rsidR="000C54EB">
        <w:t>s</w:t>
      </w:r>
      <w:r w:rsidR="00352C4B">
        <w:t xml:space="preserve"> to launch new products here</w:t>
      </w:r>
      <w:r w:rsidR="00AF420B">
        <w:t xml:space="preserve">. </w:t>
      </w:r>
      <w:r w:rsidR="00A54475">
        <w:t>The committee</w:t>
      </w:r>
      <w:r w:rsidR="00AF420B">
        <w:t xml:space="preserve"> also heard that</w:t>
      </w:r>
      <w:r w:rsidR="00837F85">
        <w:t>,</w:t>
      </w:r>
      <w:r w:rsidR="00F13DD6">
        <w:t xml:space="preserve"> </w:t>
      </w:r>
      <w:r w:rsidR="00172130">
        <w:t xml:space="preserve">compared to the US and the EU, Australia is a very small market </w:t>
      </w:r>
      <w:r w:rsidR="00EB4531">
        <w:t xml:space="preserve">and is </w:t>
      </w:r>
      <w:r w:rsidR="001E5BED">
        <w:t xml:space="preserve">therefore </w:t>
      </w:r>
      <w:r w:rsidR="00EB4531">
        <w:t xml:space="preserve">unlikely </w:t>
      </w:r>
      <w:r w:rsidR="0041557D">
        <w:t>to</w:t>
      </w:r>
      <w:r w:rsidR="00EB4531">
        <w:t xml:space="preserve"> be the </w:t>
      </w:r>
      <w:proofErr w:type="gramStart"/>
      <w:r w:rsidR="00EB4531">
        <w:t>first priority</w:t>
      </w:r>
      <w:proofErr w:type="gramEnd"/>
      <w:r w:rsidR="00EB4531">
        <w:t xml:space="preserve"> f</w:t>
      </w:r>
      <w:r w:rsidR="00F32751">
        <w:t>or launching new technologies</w:t>
      </w:r>
      <w:r w:rsidR="00DD069B">
        <w:t xml:space="preserve"> </w:t>
      </w:r>
      <w:r w:rsidR="00803731">
        <w:t>ahead</w:t>
      </w:r>
      <w:r w:rsidR="00C05D6D">
        <w:t xml:space="preserve"> of </w:t>
      </w:r>
      <w:r w:rsidR="00BB3069">
        <w:t>the EU, US and other large markets</w:t>
      </w:r>
      <w:r w:rsidR="00B3506D">
        <w:t>,</w:t>
      </w:r>
      <w:r w:rsidR="00BB3069">
        <w:t xml:space="preserve"> </w:t>
      </w:r>
      <w:r w:rsidR="00DD069B">
        <w:t>irrespective of our policy settings</w:t>
      </w:r>
      <w:r w:rsidR="00F32751">
        <w:t>.</w:t>
      </w:r>
      <w:r w:rsidR="00DD069B">
        <w:t xml:space="preserve"> </w:t>
      </w:r>
    </w:p>
    <w:p w14:paraId="4CA7193E" w14:textId="1458B0A1" w:rsidR="00806FE8" w:rsidRDefault="002B2AFE" w:rsidP="001E4CBA">
      <w:r>
        <w:t xml:space="preserve">The Reference Committee </w:t>
      </w:r>
      <w:r w:rsidR="00F13165">
        <w:t xml:space="preserve">has </w:t>
      </w:r>
      <w:r w:rsidR="00900A6C">
        <w:t xml:space="preserve">not received evidence </w:t>
      </w:r>
      <w:r w:rsidR="00046BE5">
        <w:t xml:space="preserve">of specific decisions </w:t>
      </w:r>
      <w:r w:rsidR="00900A6C">
        <w:t xml:space="preserve">that would enable </w:t>
      </w:r>
      <w:r w:rsidR="00F85300">
        <w:t>it</w:t>
      </w:r>
      <w:r w:rsidR="00900A6C">
        <w:t xml:space="preserve"> to</w:t>
      </w:r>
      <w:r w:rsidR="007D1BD4">
        <w:t xml:space="preserve"> verify </w:t>
      </w:r>
      <w:r w:rsidR="003E7844">
        <w:t xml:space="preserve">the extent to which these </w:t>
      </w:r>
      <w:r w:rsidR="00427B2F">
        <w:t>claims are true or what</w:t>
      </w:r>
      <w:r w:rsidR="003E7844">
        <w:t xml:space="preserve"> influence</w:t>
      </w:r>
      <w:r w:rsidR="00427B2F">
        <w:t xml:space="preserve"> they </w:t>
      </w:r>
      <w:r w:rsidR="00762944">
        <w:t xml:space="preserve">may </w:t>
      </w:r>
      <w:r w:rsidR="00427B2F">
        <w:t>have on</w:t>
      </w:r>
      <w:r w:rsidR="003E7844">
        <w:t xml:space="preserve"> </w:t>
      </w:r>
      <w:r w:rsidR="0009687B">
        <w:t xml:space="preserve">decisions by global companies to market health technologies in Australia. </w:t>
      </w:r>
    </w:p>
    <w:p w14:paraId="21FDC7E9" w14:textId="297CC16B" w:rsidR="00AC238A" w:rsidRDefault="00716A55" w:rsidP="001E4CBA">
      <w:r>
        <w:t xml:space="preserve">However, as set out in our </w:t>
      </w:r>
      <w:r w:rsidR="00791143">
        <w:t>options below</w:t>
      </w:r>
      <w:r>
        <w:t xml:space="preserve">, </w:t>
      </w:r>
      <w:r w:rsidR="00A13073">
        <w:t xml:space="preserve">the committee </w:t>
      </w:r>
      <w:r w:rsidR="00806FE8">
        <w:t>think</w:t>
      </w:r>
      <w:r w:rsidR="00834214">
        <w:t>s</w:t>
      </w:r>
      <w:r w:rsidR="00806FE8">
        <w:t xml:space="preserve"> it would be worthwhile investigating potential </w:t>
      </w:r>
      <w:r w:rsidR="0088518B">
        <w:t xml:space="preserve">incentives </w:t>
      </w:r>
      <w:r w:rsidR="00C9142B">
        <w:t xml:space="preserve">for health technology companies </w:t>
      </w:r>
      <w:r w:rsidR="0088518B">
        <w:t xml:space="preserve">to market products in Australia sooner. </w:t>
      </w:r>
    </w:p>
    <w:p w14:paraId="1517783E" w14:textId="1E85087A" w:rsidR="00AC238A" w:rsidRPr="00522ACB" w:rsidRDefault="002813C9" w:rsidP="00522ACB">
      <w:pPr>
        <w:pStyle w:val="Heading5"/>
      </w:pPr>
      <w:r w:rsidRPr="00522ACB">
        <w:t>Underutilisation of parallel processing</w:t>
      </w:r>
    </w:p>
    <w:p w14:paraId="1DD4B159" w14:textId="614AE3C1" w:rsidR="002813C9" w:rsidRDefault="00D125AC" w:rsidP="002813C9">
      <w:r>
        <w:t>For new drugs and new indications that listed on the PBS in 2021 and 2022</w:t>
      </w:r>
      <w:r w:rsidR="008D5643">
        <w:t>,</w:t>
      </w:r>
      <w:r>
        <w:t xml:space="preserve"> the median time from TGA application to PBAC submission was 9 months. </w:t>
      </w:r>
      <w:r w:rsidR="009D59EF">
        <w:t>Parallel processing is being used</w:t>
      </w:r>
      <w:r w:rsidR="000A16F6">
        <w:t xml:space="preserve"> for </w:t>
      </w:r>
      <w:proofErr w:type="gramStart"/>
      <w:r w:rsidR="000A16F6">
        <w:t>a majority of</w:t>
      </w:r>
      <w:proofErr w:type="gramEnd"/>
      <w:r w:rsidR="000A16F6">
        <w:t xml:space="preserve"> submissions</w:t>
      </w:r>
      <w:r w:rsidR="009D59EF">
        <w:t xml:space="preserve"> </w:t>
      </w:r>
      <w:r w:rsidR="00156514">
        <w:t xml:space="preserve">but not in the most optimal way. </w:t>
      </w:r>
      <w:r w:rsidR="00522ACB">
        <w:t>PBAC submissions can be made any time after an application is made to the TGA</w:t>
      </w:r>
      <w:r w:rsidR="006037FB">
        <w:t xml:space="preserve"> and there are examples where </w:t>
      </w:r>
      <w:r w:rsidR="006B141E">
        <w:t xml:space="preserve">sponsors </w:t>
      </w:r>
      <w:r w:rsidR="006037FB">
        <w:t xml:space="preserve">have made </w:t>
      </w:r>
      <w:r w:rsidR="006B141E">
        <w:t>a</w:t>
      </w:r>
      <w:r w:rsidR="006037FB">
        <w:t xml:space="preserve"> PBAC submission in the same month as submitting a TGA application</w:t>
      </w:r>
      <w:r w:rsidR="00522ACB">
        <w:t>.</w:t>
      </w:r>
      <w:r w:rsidR="006037FB">
        <w:t xml:space="preserve"> However</w:t>
      </w:r>
      <w:r w:rsidR="00C7109A">
        <w:t xml:space="preserve">, </w:t>
      </w:r>
      <w:r w:rsidR="00CA747F">
        <w:t>i</w:t>
      </w:r>
      <w:r w:rsidR="00156514">
        <w:t xml:space="preserve">n most circumstances, </w:t>
      </w:r>
      <w:r w:rsidR="006B141E">
        <w:t>sponsors</w:t>
      </w:r>
      <w:r w:rsidR="00156514">
        <w:t xml:space="preserve"> do not </w:t>
      </w:r>
      <w:r w:rsidR="006452E7">
        <w:t>apply</w:t>
      </w:r>
      <w:r w:rsidR="00156514">
        <w:t xml:space="preserve"> for funding at the earliest opportunity after </w:t>
      </w:r>
      <w:r w:rsidR="00DE25BF">
        <w:t>applying</w:t>
      </w:r>
      <w:r w:rsidR="00BF244B">
        <w:t xml:space="preserve"> for </w:t>
      </w:r>
      <w:r w:rsidR="00EB1DD0">
        <w:t>ARTG registration</w:t>
      </w:r>
      <w:r w:rsidR="00156514">
        <w:t xml:space="preserve">. </w:t>
      </w:r>
    </w:p>
    <w:p w14:paraId="185E3087" w14:textId="54108248" w:rsidR="00830294" w:rsidRDefault="003A25BA" w:rsidP="00C9142B">
      <w:r>
        <w:t>The Reference Committee</w:t>
      </w:r>
      <w:r w:rsidR="00B8208C">
        <w:t xml:space="preserve"> </w:t>
      </w:r>
      <w:r w:rsidR="006037FB">
        <w:t>identified that</w:t>
      </w:r>
      <w:r w:rsidR="00716A55">
        <w:t xml:space="preserve"> </w:t>
      </w:r>
      <w:r w:rsidR="00FC358A">
        <w:t>in some</w:t>
      </w:r>
      <w:r w:rsidR="00B8208C">
        <w:t>,</w:t>
      </w:r>
      <w:r w:rsidR="00FC358A">
        <w:t xml:space="preserve"> but not all</w:t>
      </w:r>
      <w:r w:rsidR="00B8208C">
        <w:t>,</w:t>
      </w:r>
      <w:r w:rsidR="00FC358A">
        <w:t xml:space="preserve"> circumstances it may be difficult </w:t>
      </w:r>
      <w:r w:rsidR="00571429">
        <w:t>for sponsors to know what the final approved indication will be</w:t>
      </w:r>
      <w:r w:rsidR="00C9142B">
        <w:t xml:space="preserve">. </w:t>
      </w:r>
      <w:r w:rsidR="008F1D99">
        <w:t xml:space="preserve">The </w:t>
      </w:r>
      <w:r w:rsidR="00EB66B7">
        <w:t>C</w:t>
      </w:r>
      <w:r w:rsidR="008F1D99">
        <w:t>ommittee</w:t>
      </w:r>
      <w:r w:rsidR="00830294">
        <w:t xml:space="preserve"> also heard that t</w:t>
      </w:r>
      <w:r w:rsidR="00D02B8A">
        <w:t>he requirement that the PBAC</w:t>
      </w:r>
      <w:r w:rsidR="00C9142B">
        <w:t xml:space="preserve"> </w:t>
      </w:r>
      <w:r w:rsidR="002E6784">
        <w:t xml:space="preserve">receive the TGA Delegate’s overview prior to making a positive recommendation may also contribute to underutilisation of parallel processing. </w:t>
      </w:r>
    </w:p>
    <w:p w14:paraId="265059B0" w14:textId="2510841F" w:rsidR="00C9142B" w:rsidRDefault="006037FB" w:rsidP="00C9142B">
      <w:r>
        <w:lastRenderedPageBreak/>
        <w:t>A</w:t>
      </w:r>
      <w:r w:rsidR="00C9142B">
        <w:t xml:space="preserve">s set out in our </w:t>
      </w:r>
      <w:r w:rsidR="00791143">
        <w:t>options below</w:t>
      </w:r>
      <w:r w:rsidR="00C9142B">
        <w:t xml:space="preserve">, </w:t>
      </w:r>
      <w:r w:rsidR="00223268">
        <w:t xml:space="preserve">the committee </w:t>
      </w:r>
      <w:r w:rsidR="00C9142B">
        <w:t>think</w:t>
      </w:r>
      <w:r w:rsidR="00223268">
        <w:t>s</w:t>
      </w:r>
      <w:r w:rsidR="00C9142B">
        <w:t xml:space="preserve"> it would be worthwhile investigating potential incentives for health technology companies to apply for funding sooner. </w:t>
      </w:r>
    </w:p>
    <w:p w14:paraId="3A608197" w14:textId="05A94DF1" w:rsidR="0022167F" w:rsidRDefault="00320160" w:rsidP="00C9142B">
      <w:pPr>
        <w:pStyle w:val="Heading5"/>
      </w:pPr>
      <w:r>
        <w:t xml:space="preserve">Repeated </w:t>
      </w:r>
      <w:r w:rsidR="00D4554B">
        <w:t>re</w:t>
      </w:r>
      <w:r w:rsidR="00C9142B">
        <w:t>submissions to advisory committees</w:t>
      </w:r>
      <w:r w:rsidR="00212C68">
        <w:t xml:space="preserve"> before positive recommendation</w:t>
      </w:r>
    </w:p>
    <w:p w14:paraId="40991405" w14:textId="37BDAEFC" w:rsidR="00D818A9" w:rsidRDefault="008D5643" w:rsidP="00C9142B">
      <w:r>
        <w:t xml:space="preserve">For new drugs and new indications that </w:t>
      </w:r>
      <w:r w:rsidR="008771E2">
        <w:t xml:space="preserve">were </w:t>
      </w:r>
      <w:r>
        <w:t xml:space="preserve">listed on the PBS in 2021 and 2022, the median time from </w:t>
      </w:r>
      <w:r w:rsidR="00550331">
        <w:t xml:space="preserve">PBAC submission to the earliest possible date a </w:t>
      </w:r>
      <w:r w:rsidR="007D423E">
        <w:t xml:space="preserve">price offer </w:t>
      </w:r>
      <w:r w:rsidR="002A5CFD">
        <w:t xml:space="preserve">could be submitted </w:t>
      </w:r>
      <w:r w:rsidR="007D423E">
        <w:t xml:space="preserve">following PBAC recommendation was 9 months. </w:t>
      </w:r>
      <w:r w:rsidR="00D51B9B">
        <w:t xml:space="preserve">Five </w:t>
      </w:r>
      <w:r w:rsidR="00BC4960">
        <w:t>of these months reflect</w:t>
      </w:r>
      <w:r w:rsidR="00912E6B">
        <w:t>ed</w:t>
      </w:r>
      <w:r w:rsidR="00BC4960">
        <w:t xml:space="preserve"> the time it t</w:t>
      </w:r>
      <w:r w:rsidR="00912E6B">
        <w:t>ook</w:t>
      </w:r>
      <w:r w:rsidR="00BC4960">
        <w:t xml:space="preserve"> to assess the submission</w:t>
      </w:r>
      <w:r w:rsidR="00245A22">
        <w:t xml:space="preserve"> and </w:t>
      </w:r>
      <w:r w:rsidR="008A13E6">
        <w:t>communicate the recommendation</w:t>
      </w:r>
      <w:r w:rsidR="00DD13AB">
        <w:t>,</w:t>
      </w:r>
      <w:r w:rsidR="001C701C">
        <w:t xml:space="preserve"> and </w:t>
      </w:r>
      <w:r w:rsidR="00280A41">
        <w:t>1</w:t>
      </w:r>
      <w:r w:rsidR="004834F3">
        <w:t> </w:t>
      </w:r>
      <w:r w:rsidR="00280A41">
        <w:t xml:space="preserve">month </w:t>
      </w:r>
      <w:r w:rsidR="001C701C">
        <w:t xml:space="preserve">to allow the sponsor to submit a price offer following </w:t>
      </w:r>
      <w:r w:rsidR="00A7185C">
        <w:t xml:space="preserve">a </w:t>
      </w:r>
      <w:r w:rsidR="001C701C">
        <w:t>positive recommendation</w:t>
      </w:r>
      <w:r w:rsidR="008A13E6">
        <w:t>. The remaining 4</w:t>
      </w:r>
      <w:r w:rsidR="0084566C">
        <w:t xml:space="preserve"> months</w:t>
      </w:r>
      <w:r w:rsidR="008A13E6">
        <w:t xml:space="preserve"> </w:t>
      </w:r>
      <w:r w:rsidR="00560D7B">
        <w:t xml:space="preserve">were </w:t>
      </w:r>
      <w:r w:rsidR="0084566C">
        <w:t xml:space="preserve">the result of </w:t>
      </w:r>
      <w:r w:rsidR="00D818A9">
        <w:t xml:space="preserve">submissions not being acceptable the first time they </w:t>
      </w:r>
      <w:r w:rsidR="00560D7B">
        <w:t>we</w:t>
      </w:r>
      <w:r w:rsidR="00D818A9">
        <w:t>re submitted to the PBAC</w:t>
      </w:r>
      <w:r w:rsidR="008B100F">
        <w:t xml:space="preserve"> </w:t>
      </w:r>
      <w:r w:rsidR="003A4942">
        <w:t xml:space="preserve">and </w:t>
      </w:r>
      <w:r w:rsidR="00E20438">
        <w:t>consequent</w:t>
      </w:r>
      <w:r w:rsidR="008B100F">
        <w:t xml:space="preserve"> require</w:t>
      </w:r>
      <w:r w:rsidR="003A4942">
        <w:t>ment for</w:t>
      </w:r>
      <w:r w:rsidR="008B100F">
        <w:t xml:space="preserve"> resubmission</w:t>
      </w:r>
      <w:r w:rsidR="00D818A9">
        <w:t xml:space="preserve">. </w:t>
      </w:r>
    </w:p>
    <w:p w14:paraId="4946BA40" w14:textId="30337CB0" w:rsidR="00C9142B" w:rsidRDefault="00D818A9" w:rsidP="00C9142B">
      <w:r>
        <w:t xml:space="preserve">For new drugs where </w:t>
      </w:r>
      <w:r w:rsidR="008B100F">
        <w:t xml:space="preserve">the PBAC </w:t>
      </w:r>
      <w:r w:rsidR="00B45B6C">
        <w:t>ultimately</w:t>
      </w:r>
      <w:r w:rsidR="008B100F">
        <w:t xml:space="preserve"> accepted they provide</w:t>
      </w:r>
      <w:r w:rsidR="00724C71">
        <w:t>d</w:t>
      </w:r>
      <w:r w:rsidR="008B100F">
        <w:t xml:space="preserve"> an improvement over alternative therapies</w:t>
      </w:r>
      <w:r w:rsidR="00FC19C3">
        <w:t xml:space="preserve">, </w:t>
      </w:r>
      <w:r w:rsidR="00A813BD">
        <w:t>resubmissions added a median of 8 months to the time</w:t>
      </w:r>
      <w:r w:rsidR="009D51C1">
        <w:t xml:space="preserve"> between PBAC submission and </w:t>
      </w:r>
      <w:r w:rsidR="00DD13AB">
        <w:t>the earliest</w:t>
      </w:r>
      <w:r w:rsidR="00441F3D">
        <w:t xml:space="preserve"> possible date for a company to submit a price offer. </w:t>
      </w:r>
      <w:r w:rsidR="00E21B8B">
        <w:t>In some circumstances</w:t>
      </w:r>
      <w:r w:rsidR="00987CDB">
        <w:t>,</w:t>
      </w:r>
      <w:r w:rsidR="00E21B8B">
        <w:t xml:space="preserve"> resubmissions have added years to the time </w:t>
      </w:r>
      <w:r w:rsidR="00A06C06">
        <w:t xml:space="preserve">it could take for a medicine to be assessed and recommended by the PBAC. </w:t>
      </w:r>
    </w:p>
    <w:p w14:paraId="01C3DFCB" w14:textId="4B1FBE43" w:rsidR="00ED5F3A" w:rsidRDefault="00A67149" w:rsidP="00C9142B">
      <w:r>
        <w:t xml:space="preserve">For new medicines and expanded indications </w:t>
      </w:r>
      <w:r w:rsidR="008D6E45">
        <w:t>that were considered by the PBAC in 2021 and 2022</w:t>
      </w:r>
      <w:r w:rsidR="00354BA2">
        <w:t>,</w:t>
      </w:r>
      <w:r w:rsidR="008D6E45">
        <w:t xml:space="preserve"> </w:t>
      </w:r>
      <w:r w:rsidR="001A5172">
        <w:t>the Reference Committee has</w:t>
      </w:r>
      <w:r w:rsidR="008D6E45">
        <w:t xml:space="preserve"> observed th</w:t>
      </w:r>
      <w:r w:rsidR="00D047BF">
        <w:t xml:space="preserve">at </w:t>
      </w:r>
      <w:r w:rsidR="00ED5F3A">
        <w:t xml:space="preserve">the main reasons for </w:t>
      </w:r>
      <w:r w:rsidR="00F20FEC">
        <w:t xml:space="preserve">recommendations not to list were: </w:t>
      </w:r>
    </w:p>
    <w:p w14:paraId="0875B521" w14:textId="02EED32B" w:rsidR="00F20FEC" w:rsidRDefault="0023185C" w:rsidP="008D2A3F">
      <w:pPr>
        <w:pStyle w:val="ListParagraph"/>
        <w:numPr>
          <w:ilvl w:val="0"/>
          <w:numId w:val="17"/>
        </w:numPr>
      </w:pPr>
      <w:r>
        <w:t>t</w:t>
      </w:r>
      <w:r w:rsidR="00F20FEC">
        <w:t xml:space="preserve">he proposed clinical place in therapy was not </w:t>
      </w:r>
      <w:proofErr w:type="gramStart"/>
      <w:r w:rsidR="00F20FEC">
        <w:t>accepted</w:t>
      </w:r>
      <w:proofErr w:type="gramEnd"/>
    </w:p>
    <w:p w14:paraId="54EDAB84" w14:textId="4875DE13" w:rsidR="00F20FEC" w:rsidRDefault="0023185C" w:rsidP="008D2A3F">
      <w:pPr>
        <w:pStyle w:val="ListParagraph"/>
        <w:numPr>
          <w:ilvl w:val="0"/>
          <w:numId w:val="17"/>
        </w:numPr>
      </w:pPr>
      <w:r>
        <w:t>t</w:t>
      </w:r>
      <w:r w:rsidR="00F20FEC">
        <w:t>he proposed clinical place needed to be modified/justified better</w:t>
      </w:r>
      <w:r w:rsidR="003A5ADC">
        <w:t xml:space="preserve"> in a </w:t>
      </w:r>
      <w:proofErr w:type="gramStart"/>
      <w:r w:rsidR="003A5ADC">
        <w:t>resubmission</w:t>
      </w:r>
      <w:proofErr w:type="gramEnd"/>
    </w:p>
    <w:p w14:paraId="354A624C" w14:textId="54852CDF" w:rsidR="003A5ADC" w:rsidRDefault="0023185C" w:rsidP="008D2A3F">
      <w:pPr>
        <w:pStyle w:val="ListParagraph"/>
        <w:numPr>
          <w:ilvl w:val="0"/>
          <w:numId w:val="17"/>
        </w:numPr>
      </w:pPr>
      <w:r>
        <w:t>c</w:t>
      </w:r>
      <w:r w:rsidR="003A5ADC">
        <w:t>laim of superiority was either not accepted or evidence was not presented or available</w:t>
      </w:r>
      <w:r w:rsidR="006E003C">
        <w:t>, and</w:t>
      </w:r>
    </w:p>
    <w:p w14:paraId="72A0EED3" w14:textId="13AFAC83" w:rsidR="003A5ADC" w:rsidRDefault="0023185C" w:rsidP="008D2A3F">
      <w:pPr>
        <w:pStyle w:val="ListParagraph"/>
        <w:numPr>
          <w:ilvl w:val="0"/>
          <w:numId w:val="17"/>
        </w:numPr>
      </w:pPr>
      <w:r>
        <w:t>f</w:t>
      </w:r>
      <w:r w:rsidR="003A5ADC">
        <w:t xml:space="preserve">undamental problems in the economic evaluation. </w:t>
      </w:r>
    </w:p>
    <w:p w14:paraId="42982393" w14:textId="1BD2F486" w:rsidR="003E2454" w:rsidRDefault="00607DE1" w:rsidP="007670B7">
      <w:r>
        <w:t xml:space="preserve">The committee </w:t>
      </w:r>
      <w:r w:rsidR="002D18EB">
        <w:t>consider</w:t>
      </w:r>
      <w:r>
        <w:t>s</w:t>
      </w:r>
      <w:r w:rsidR="00F9655B">
        <w:t xml:space="preserve"> that in some circumstances </w:t>
      </w:r>
      <w:r w:rsidR="00FE3E4A">
        <w:t xml:space="preserve">these issues </w:t>
      </w:r>
      <w:r w:rsidR="00EC462F">
        <w:t>may have</w:t>
      </w:r>
      <w:r w:rsidR="00FE3E4A">
        <w:t xml:space="preserve"> be</w:t>
      </w:r>
      <w:r w:rsidR="00EC462F">
        <w:t>en</w:t>
      </w:r>
      <w:r w:rsidR="00FE3E4A">
        <w:t xml:space="preserve"> resolved before consideration by the PBAC </w:t>
      </w:r>
      <w:r w:rsidR="00EC462F">
        <w:t xml:space="preserve">if there </w:t>
      </w:r>
      <w:r w:rsidR="00DB1E31">
        <w:t xml:space="preserve">was </w:t>
      </w:r>
      <w:r w:rsidR="00EC462F">
        <w:t>more</w:t>
      </w:r>
      <w:r w:rsidR="00FE3E4A">
        <w:t xml:space="preserve"> time for </w:t>
      </w:r>
      <w:r w:rsidR="00C865A6">
        <w:t>sponsors</w:t>
      </w:r>
      <w:r w:rsidR="00FE3E4A">
        <w:t xml:space="preserve"> to respond and revise their submissions when these issues </w:t>
      </w:r>
      <w:r w:rsidR="00F27C2B">
        <w:t>we</w:t>
      </w:r>
      <w:r w:rsidR="00FE3E4A">
        <w:t xml:space="preserve">re raised in </w:t>
      </w:r>
      <w:r w:rsidR="000A0ECD">
        <w:t>commentaries</w:t>
      </w:r>
      <w:r w:rsidR="00EC462F">
        <w:t xml:space="preserve"> during the evaluation process</w:t>
      </w:r>
      <w:r w:rsidR="000A0ECD">
        <w:t xml:space="preserve">. </w:t>
      </w:r>
    </w:p>
    <w:p w14:paraId="27957754" w14:textId="06FB668A" w:rsidR="007670B7" w:rsidRDefault="005443D2" w:rsidP="007670B7">
      <w:r>
        <w:t xml:space="preserve">The </w:t>
      </w:r>
      <w:r w:rsidR="00AD3B03">
        <w:t>C</w:t>
      </w:r>
      <w:r>
        <w:t>ommittee</w:t>
      </w:r>
      <w:r w:rsidR="002E4065">
        <w:t xml:space="preserve"> also observed </w:t>
      </w:r>
      <w:r w:rsidR="00821541">
        <w:t xml:space="preserve">a correlation between the number of </w:t>
      </w:r>
      <w:r w:rsidR="00837391">
        <w:t>submissions to the PBAC and the size of price reductions</w:t>
      </w:r>
      <w:r w:rsidR="008A2560">
        <w:t xml:space="preserve"> in the economic</w:t>
      </w:r>
      <w:r w:rsidR="008A5983">
        <w:t xml:space="preserve"> evaluation</w:t>
      </w:r>
      <w:r w:rsidR="00837391">
        <w:t xml:space="preserve"> </w:t>
      </w:r>
      <w:r w:rsidR="00127720">
        <w:t>put forward</w:t>
      </w:r>
      <w:r w:rsidR="00837391">
        <w:t xml:space="preserve"> by </w:t>
      </w:r>
      <w:r w:rsidR="00AB4EDF">
        <w:t>sponsors</w:t>
      </w:r>
      <w:r w:rsidR="00737B0C">
        <w:t xml:space="preserve"> between the first and last submission. The aver</w:t>
      </w:r>
      <w:r w:rsidR="00550DE0">
        <w:t>age price reduction</w:t>
      </w:r>
      <w:r w:rsidR="00A82192">
        <w:t xml:space="preserve"> between first and last submission for</w:t>
      </w:r>
      <w:r w:rsidR="00550DE0">
        <w:t xml:space="preserve"> health technologies submitted </w:t>
      </w:r>
      <w:r w:rsidR="00D123A4">
        <w:t xml:space="preserve">2 </w:t>
      </w:r>
      <w:r w:rsidR="00550DE0">
        <w:t xml:space="preserve">times was 30%. </w:t>
      </w:r>
      <w:r w:rsidR="00026788">
        <w:t>This increase</w:t>
      </w:r>
      <w:r w:rsidR="00DD5565">
        <w:t>d</w:t>
      </w:r>
      <w:r w:rsidR="00026788">
        <w:t xml:space="preserve"> to 70%</w:t>
      </w:r>
      <w:r w:rsidR="00A82192">
        <w:t xml:space="preserve"> between first and last submission</w:t>
      </w:r>
      <w:r w:rsidR="00026788">
        <w:t xml:space="preserve"> for </w:t>
      </w:r>
      <w:r w:rsidR="00A82192">
        <w:t>health technologies</w:t>
      </w:r>
      <w:r w:rsidR="00026788">
        <w:t xml:space="preserve"> submitted </w:t>
      </w:r>
      <w:r w:rsidR="00150241">
        <w:t xml:space="preserve">4 </w:t>
      </w:r>
      <w:r w:rsidR="00026788">
        <w:t xml:space="preserve">times. </w:t>
      </w:r>
      <w:r w:rsidR="00740AB5">
        <w:t xml:space="preserve">We </w:t>
      </w:r>
      <w:r w:rsidR="00823892">
        <w:t xml:space="preserve">also note that </w:t>
      </w:r>
      <w:r w:rsidR="00815BC4">
        <w:t xml:space="preserve">the unlimited number of submissions </w:t>
      </w:r>
      <w:r w:rsidR="00D5608B" w:rsidRPr="00012F89">
        <w:t xml:space="preserve">and </w:t>
      </w:r>
      <w:r w:rsidR="00234288" w:rsidRPr="00012F89">
        <w:t>the changes in data, practice</w:t>
      </w:r>
      <w:r w:rsidR="008A0C6B">
        <w:t>,</w:t>
      </w:r>
      <w:r w:rsidR="00234288" w:rsidRPr="00012F89">
        <w:t xml:space="preserve"> </w:t>
      </w:r>
      <w:r w:rsidR="00D5608B">
        <w:t>and new entrants into the evaluation processes</w:t>
      </w:r>
      <w:r w:rsidR="008A0C6B">
        <w:t>,</w:t>
      </w:r>
      <w:r w:rsidR="0040168F">
        <w:t xml:space="preserve"> may influence and</w:t>
      </w:r>
      <w:r w:rsidR="00D5608B">
        <w:t xml:space="preserve"> </w:t>
      </w:r>
      <w:r w:rsidR="00815BC4">
        <w:t>allow the committee</w:t>
      </w:r>
      <w:r w:rsidR="002E4065">
        <w:t>’</w:t>
      </w:r>
      <w:r w:rsidR="00815BC4">
        <w:t>s view to evolve over time on what it eventually considers to be cost-effective.</w:t>
      </w:r>
      <w:r w:rsidR="00AA2548">
        <w:t xml:space="preserve"> </w:t>
      </w:r>
    </w:p>
    <w:p w14:paraId="46EB7499" w14:textId="22239C01" w:rsidR="00CD68BB" w:rsidRDefault="0099189C" w:rsidP="007670B7">
      <w:r>
        <w:lastRenderedPageBreak/>
        <w:t>Th</w:t>
      </w:r>
      <w:r w:rsidR="00C81D87">
        <w:t>e</w:t>
      </w:r>
      <w:r>
        <w:t xml:space="preserve"> Reference </w:t>
      </w:r>
      <w:r w:rsidR="00C81D87">
        <w:t xml:space="preserve">Committee </w:t>
      </w:r>
      <w:r w:rsidR="000069B5">
        <w:t>agree</w:t>
      </w:r>
      <w:r w:rsidR="00C81D87">
        <w:t>s</w:t>
      </w:r>
      <w:r w:rsidR="000069B5">
        <w:t xml:space="preserve"> with </w:t>
      </w:r>
      <w:r w:rsidR="00565053">
        <w:t xml:space="preserve">the </w:t>
      </w:r>
      <w:r w:rsidR="000069B5">
        <w:t>s</w:t>
      </w:r>
      <w:r w:rsidR="00565053">
        <w:t>uggestion</w:t>
      </w:r>
      <w:r w:rsidR="000069B5">
        <w:t xml:space="preserve"> from some stakeholders that</w:t>
      </w:r>
      <w:r w:rsidR="001E1189">
        <w:t xml:space="preserve"> the main reason for this source of delay to funding new health technologies is that the </w:t>
      </w:r>
      <w:r w:rsidR="000069B5">
        <w:t xml:space="preserve">economic evaluation in submissions is being used as a proxy for </w:t>
      </w:r>
      <w:r w:rsidR="003E3902">
        <w:t>negotiation of the pric</w:t>
      </w:r>
      <w:r w:rsidR="00DB767B">
        <w:t>es to be paid for health technologies</w:t>
      </w:r>
      <w:r w:rsidR="000069B5">
        <w:t xml:space="preserve">. </w:t>
      </w:r>
    </w:p>
    <w:p w14:paraId="25ED59D9" w14:textId="64025A6B" w:rsidR="00AF565B" w:rsidRDefault="00872425" w:rsidP="00AF565B">
      <w:r>
        <w:t xml:space="preserve">The committee </w:t>
      </w:r>
      <w:r w:rsidR="00FF0C57">
        <w:t>do</w:t>
      </w:r>
      <w:r>
        <w:t>es</w:t>
      </w:r>
      <w:r w:rsidR="00FF0C57">
        <w:t xml:space="preserve"> not think </w:t>
      </w:r>
      <w:r w:rsidR="000C419E">
        <w:t>it reasonable to expect this would</w:t>
      </w:r>
      <w:r w:rsidR="00FF0C57">
        <w:t xml:space="preserve"> change </w:t>
      </w:r>
      <w:r w:rsidR="001127D6">
        <w:t xml:space="preserve">for as long as economic evaluations are used both to estimate value and determine prices. </w:t>
      </w:r>
      <w:r w:rsidR="00BB3F64">
        <w:t>But</w:t>
      </w:r>
      <w:r w:rsidR="000B23C2">
        <w:t>, as is set out</w:t>
      </w:r>
      <w:r w:rsidR="00AB5925">
        <w:t xml:space="preserve"> in the options below,</w:t>
      </w:r>
      <w:r w:rsidR="00BB3F64">
        <w:t xml:space="preserve"> we do think </w:t>
      </w:r>
      <w:r w:rsidR="00D50DF6">
        <w:t xml:space="preserve">there is opportunity </w:t>
      </w:r>
      <w:r w:rsidR="003738C1">
        <w:t>to resolve</w:t>
      </w:r>
      <w:r w:rsidR="00552F69">
        <w:t xml:space="preserve"> issues that prevent submissions being accepted over a shorter </w:t>
      </w:r>
      <w:proofErr w:type="gramStart"/>
      <w:r w:rsidR="00552F69">
        <w:t>period of time</w:t>
      </w:r>
      <w:proofErr w:type="gramEnd"/>
      <w:r w:rsidR="00552F69">
        <w:t xml:space="preserve">. </w:t>
      </w:r>
      <w:r w:rsidR="004F6614">
        <w:t>In particular</w:t>
      </w:r>
      <w:r w:rsidR="00A06562">
        <w:t>,</w:t>
      </w:r>
      <w:r w:rsidR="004F6614">
        <w:t xml:space="preserve"> </w:t>
      </w:r>
      <w:r w:rsidR="00D7002F">
        <w:t xml:space="preserve">the committee </w:t>
      </w:r>
      <w:r w:rsidR="005E7653">
        <w:t>consider</w:t>
      </w:r>
      <w:r w:rsidR="00D7002F">
        <w:t>s</w:t>
      </w:r>
      <w:r w:rsidR="004F6614">
        <w:t xml:space="preserve"> that there are opportunities </w:t>
      </w:r>
      <w:r w:rsidR="008A0596">
        <w:t>to</w:t>
      </w:r>
      <w:r w:rsidR="004F6614">
        <w:t xml:space="preserve"> enable</w:t>
      </w:r>
      <w:r w:rsidR="00433124">
        <w:t xml:space="preserve"> advisory committees</w:t>
      </w:r>
      <w:r w:rsidR="004F6614">
        <w:t xml:space="preserve"> and health technology </w:t>
      </w:r>
      <w:r w:rsidR="00D73EE4">
        <w:t>sponsors</w:t>
      </w:r>
      <w:r w:rsidR="00433124">
        <w:t xml:space="preserve"> </w:t>
      </w:r>
      <w:r w:rsidR="000C6A9F">
        <w:t xml:space="preserve">to </w:t>
      </w:r>
      <w:r w:rsidR="005E7653">
        <w:t xml:space="preserve">resolve issues and </w:t>
      </w:r>
      <w:r w:rsidR="000C6A9F">
        <w:t>a</w:t>
      </w:r>
      <w:r w:rsidR="00433124">
        <w:t>gree on what is a cost</w:t>
      </w:r>
      <w:r w:rsidR="00D7128B">
        <w:t>-</w:t>
      </w:r>
      <w:r w:rsidR="00433124">
        <w:t>effective price</w:t>
      </w:r>
      <w:r w:rsidR="000C6A9F">
        <w:t xml:space="preserve"> </w:t>
      </w:r>
      <w:r w:rsidR="00C57287">
        <w:t>more quickly</w:t>
      </w:r>
      <w:r w:rsidR="000C6A9F">
        <w:t xml:space="preserve">. </w:t>
      </w:r>
    </w:p>
    <w:p w14:paraId="34706948" w14:textId="6E78BB03" w:rsidR="00320171" w:rsidRDefault="00320171" w:rsidP="00320171">
      <w:pPr>
        <w:pStyle w:val="Heading5"/>
        <w:rPr>
          <w:i w:val="0"/>
          <w:iCs/>
        </w:rPr>
      </w:pPr>
      <w:r w:rsidRPr="00EF7654">
        <w:t>Multiple process steps for health technologies funded through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fldChar w:fldCharType="end"/>
      </w:r>
      <w:r w:rsidRPr="00EF7654">
        <w:t>, NIP and under the NHRA</w:t>
      </w:r>
    </w:p>
    <w:p w14:paraId="66E9E023" w14:textId="007FA44A" w:rsidR="00320171" w:rsidRPr="00C9142B" w:rsidRDefault="00320171" w:rsidP="00320171">
      <w:r>
        <w:t xml:space="preserve">The processes for funding health technologies </w:t>
      </w:r>
      <w:r w:rsidR="00EA732F">
        <w:t>through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fldChar w:fldCharType="end"/>
      </w:r>
      <w:r w:rsidR="00EA732F">
        <w:t xml:space="preserve">, NIP and under the NHRA have more steps than the process for subsidising medicines through the PBS. As is set out in our options below, </w:t>
      </w:r>
      <w:r w:rsidR="00200B69">
        <w:t xml:space="preserve">the Reference Committee </w:t>
      </w:r>
      <w:r w:rsidR="00EA732F">
        <w:t>see</w:t>
      </w:r>
      <w:r w:rsidR="00200B69">
        <w:t>s</w:t>
      </w:r>
      <w:r w:rsidR="00EA732F">
        <w:t xml:space="preserve"> opportunities to </w:t>
      </w:r>
      <w:r w:rsidR="0007713C">
        <w:t>consolidate assessment processes for these technologies to reduce</w:t>
      </w:r>
      <w:r w:rsidR="004E67EA">
        <w:t xml:space="preserve"> and standardise</w:t>
      </w:r>
      <w:r w:rsidR="0007713C">
        <w:t xml:space="preserve"> the time it takes to assess them. </w:t>
      </w:r>
    </w:p>
    <w:p w14:paraId="0220AB97" w14:textId="2EF15F45" w:rsidR="000E1DBD" w:rsidRDefault="000E1DBD" w:rsidP="00365C2D">
      <w:pPr>
        <w:pStyle w:val="Heading3"/>
      </w:pPr>
      <w:bookmarkStart w:id="70" w:name="_History_of_HTA"/>
      <w:bookmarkStart w:id="71" w:name="_Ref155964589"/>
      <w:bookmarkStart w:id="72" w:name="_Toc157029037"/>
      <w:bookmarkStart w:id="73" w:name="_Hlk157008937"/>
      <w:bookmarkEnd w:id="70"/>
      <w:r w:rsidRPr="006647C5">
        <w:t>History of HTA re</w:t>
      </w:r>
      <w:r w:rsidR="00EE6994">
        <w:t>form processes</w:t>
      </w:r>
      <w:r w:rsidRPr="006647C5">
        <w:t xml:space="preserve"> in Australia</w:t>
      </w:r>
      <w:bookmarkEnd w:id="71"/>
      <w:bookmarkEnd w:id="72"/>
    </w:p>
    <w:p w14:paraId="0CBF76FF" w14:textId="5C16C518" w:rsidR="006D3E0D" w:rsidRDefault="006A5D00" w:rsidP="006A5D00">
      <w:bookmarkStart w:id="74" w:name="_Toc1453952069"/>
      <w:bookmarkEnd w:id="73"/>
      <w:r>
        <w:t>Since HTA</w:t>
      </w:r>
      <w:r w:rsidR="00C37761">
        <w:t>s</w:t>
      </w:r>
      <w:r>
        <w:t xml:space="preserve"> </w:t>
      </w:r>
      <w:r w:rsidR="00C37761">
        <w:t xml:space="preserve">were </w:t>
      </w:r>
      <w:r>
        <w:t xml:space="preserve">introduced </w:t>
      </w:r>
      <w:r w:rsidR="007D58F1">
        <w:t>for</w:t>
      </w:r>
      <w:r>
        <w:t xml:space="preserve"> the PBS </w:t>
      </w:r>
      <w:r w:rsidR="00FE5CBA">
        <w:t>in 1993 there have been several</w:t>
      </w:r>
      <w:r w:rsidR="00472F1B">
        <w:t xml:space="preserve"> </w:t>
      </w:r>
      <w:r w:rsidR="00183B75">
        <w:t>updates</w:t>
      </w:r>
      <w:r w:rsidR="00EE6994">
        <w:t xml:space="preserve"> and other reform processes</w:t>
      </w:r>
      <w:r w:rsidR="00183B75">
        <w:t xml:space="preserve"> to </w:t>
      </w:r>
      <w:r w:rsidR="00183B75" w:rsidDel="00401145">
        <w:t xml:space="preserve">HTA </w:t>
      </w:r>
      <w:r w:rsidR="00183B75">
        <w:t>policies and methods. These are listed below</w:t>
      </w:r>
      <w:r w:rsidR="00957E3B">
        <w:t>:</w:t>
      </w:r>
    </w:p>
    <w:tbl>
      <w:tblPr>
        <w:tblW w:w="0" w:type="auto"/>
        <w:tblInd w:w="-10" w:type="dxa"/>
        <w:tblCellMar>
          <w:left w:w="0" w:type="dxa"/>
          <w:right w:w="0" w:type="dxa"/>
        </w:tblCellMar>
        <w:tblLook w:val="0420" w:firstRow="1" w:lastRow="0" w:firstColumn="0" w:lastColumn="0" w:noHBand="0" w:noVBand="1"/>
      </w:tblPr>
      <w:tblGrid>
        <w:gridCol w:w="1980"/>
        <w:gridCol w:w="902"/>
        <w:gridCol w:w="6134"/>
      </w:tblGrid>
      <w:tr w:rsidR="00616782" w14:paraId="6881F005" w14:textId="3AFA2813" w:rsidTr="00F150C2">
        <w:trPr>
          <w:cantSplit/>
          <w:trHeight w:val="419"/>
          <w:tblHeader/>
        </w:trPr>
        <w:tc>
          <w:tcPr>
            <w:tcW w:w="1986" w:type="dxa"/>
            <w:tcBorders>
              <w:top w:val="single" w:sz="24" w:space="0" w:color="008A96" w:themeColor="accent3"/>
              <w:left w:val="single" w:sz="8" w:space="0" w:color="FFFFFF"/>
              <w:right w:val="single" w:sz="8" w:space="0" w:color="FFFFFF"/>
            </w:tcBorders>
            <w:shd w:val="clear" w:color="auto" w:fill="0E223F"/>
            <w:tcMar>
              <w:top w:w="72" w:type="dxa"/>
              <w:left w:w="144" w:type="dxa"/>
              <w:bottom w:w="72" w:type="dxa"/>
              <w:right w:w="144" w:type="dxa"/>
            </w:tcMar>
            <w:vAlign w:val="center"/>
            <w:hideMark/>
          </w:tcPr>
          <w:p w14:paraId="27F01550" w14:textId="4B0F2E73" w:rsidR="00616782" w:rsidRPr="00350705" w:rsidRDefault="00616782" w:rsidP="008C10BB">
            <w:pPr>
              <w:spacing w:after="120"/>
              <w:jc w:val="center"/>
              <w:rPr>
                <w:rFonts w:eastAsia="Times New Roman" w:cs="Segoe UI"/>
                <w:lang w:eastAsia="en-AU"/>
              </w:rPr>
            </w:pPr>
            <w:r w:rsidRPr="006354E0">
              <w:rPr>
                <w:rFonts w:eastAsia="Times New Roman" w:cs="Segoe UI"/>
                <w:b/>
                <w:bCs/>
                <w:color w:val="FFFFFF"/>
                <w:kern w:val="24"/>
                <w:lang w:eastAsia="en-AU"/>
              </w:rPr>
              <w:t>Area</w:t>
            </w:r>
          </w:p>
        </w:tc>
        <w:tc>
          <w:tcPr>
            <w:tcW w:w="849" w:type="dxa"/>
            <w:tcBorders>
              <w:top w:val="single" w:sz="24" w:space="0" w:color="008A96" w:themeColor="accent3"/>
              <w:left w:val="single" w:sz="8" w:space="0" w:color="FFFFFF"/>
              <w:right w:val="single" w:sz="8" w:space="0" w:color="FFFFFF"/>
            </w:tcBorders>
            <w:shd w:val="clear" w:color="auto" w:fill="0E223F"/>
            <w:tcMar>
              <w:top w:w="72" w:type="dxa"/>
              <w:left w:w="144" w:type="dxa"/>
              <w:bottom w:w="72" w:type="dxa"/>
              <w:right w:w="144" w:type="dxa"/>
            </w:tcMar>
            <w:vAlign w:val="center"/>
            <w:hideMark/>
          </w:tcPr>
          <w:p w14:paraId="406E74C1" w14:textId="2BE7D9DB" w:rsidR="00616782" w:rsidRPr="006354E0" w:rsidRDefault="008E58BB" w:rsidP="008C10BB">
            <w:pPr>
              <w:spacing w:after="120"/>
              <w:jc w:val="center"/>
              <w:rPr>
                <w:rFonts w:eastAsia="Times New Roman" w:cs="Segoe UI"/>
                <w:b/>
                <w:bCs/>
                <w:color w:val="FFFFFF"/>
                <w:kern w:val="24"/>
                <w:lang w:eastAsia="en-AU"/>
              </w:rPr>
            </w:pPr>
            <w:r w:rsidRPr="006354E0">
              <w:rPr>
                <w:rFonts w:eastAsia="Times New Roman" w:cs="Segoe UI"/>
                <w:b/>
                <w:bCs/>
                <w:color w:val="FFFFFF"/>
                <w:kern w:val="24"/>
                <w:lang w:eastAsia="en-AU"/>
              </w:rPr>
              <w:t>Year</w:t>
            </w:r>
          </w:p>
        </w:tc>
        <w:tc>
          <w:tcPr>
            <w:tcW w:w="6181" w:type="dxa"/>
            <w:tcBorders>
              <w:top w:val="single" w:sz="24" w:space="0" w:color="008A96" w:themeColor="accent3"/>
              <w:left w:val="single" w:sz="8" w:space="0" w:color="FFFFFF"/>
              <w:right w:val="single" w:sz="8" w:space="0" w:color="FFFFFF"/>
            </w:tcBorders>
            <w:shd w:val="clear" w:color="auto" w:fill="0E223F"/>
          </w:tcPr>
          <w:p w14:paraId="29E02C22" w14:textId="3272C2C1" w:rsidR="00616782" w:rsidRPr="006354E0" w:rsidRDefault="00D60224" w:rsidP="008C10BB">
            <w:pPr>
              <w:spacing w:after="120"/>
              <w:jc w:val="center"/>
              <w:rPr>
                <w:rFonts w:eastAsia="Times New Roman" w:cs="Segoe UI"/>
                <w:b/>
                <w:bCs/>
                <w:color w:val="FFFFFF"/>
                <w:kern w:val="24"/>
                <w:lang w:eastAsia="en-AU"/>
              </w:rPr>
            </w:pPr>
            <w:r w:rsidRPr="006354E0">
              <w:rPr>
                <w:rFonts w:eastAsia="Times New Roman" w:cs="Segoe UI"/>
                <w:b/>
                <w:bCs/>
                <w:color w:val="FFFFFF"/>
                <w:kern w:val="24"/>
                <w:lang w:eastAsia="en-AU"/>
              </w:rPr>
              <w:t>Reform process</w:t>
            </w:r>
          </w:p>
        </w:tc>
      </w:tr>
      <w:tr w:rsidR="00DE31EC" w:rsidRPr="002F7457" w14:paraId="19C041B1" w14:textId="24EBB9C6" w:rsidTr="00934C2E">
        <w:trPr>
          <w:trHeight w:val="561"/>
        </w:trPr>
        <w:tc>
          <w:tcPr>
            <w:tcW w:w="1986" w:type="dxa"/>
            <w:vMerge w:val="restart"/>
            <w:tcBorders>
              <w:top w:val="single" w:sz="4" w:space="0" w:color="E7E6E6" w:themeColor="background2"/>
              <w:right w:val="single" w:sz="4" w:space="0" w:color="FFFFFF" w:themeColor="background1"/>
            </w:tcBorders>
            <w:shd w:val="clear" w:color="auto" w:fill="FFFFFF"/>
            <w:tcMar>
              <w:top w:w="72" w:type="dxa"/>
              <w:left w:w="144" w:type="dxa"/>
              <w:bottom w:w="72" w:type="dxa"/>
              <w:right w:w="144" w:type="dxa"/>
            </w:tcMar>
          </w:tcPr>
          <w:p w14:paraId="2EBECDCB" w14:textId="46D34C75" w:rsidR="00DE31EC" w:rsidRPr="00350705" w:rsidRDefault="00DE31EC" w:rsidP="008C10BB">
            <w:pPr>
              <w:spacing w:after="120"/>
              <w:rPr>
                <w:rFonts w:eastAsia="Times New Roman" w:cs="Segoe UI"/>
                <w:b/>
                <w:bCs/>
                <w:color w:val="222A35"/>
                <w:kern w:val="24"/>
                <w:lang w:eastAsia="en-AU"/>
              </w:rPr>
            </w:pPr>
            <w:r w:rsidRPr="00350705">
              <w:rPr>
                <w:rFonts w:eastAsia="Times New Roman" w:cs="Segoe UI"/>
                <w:b/>
                <w:bCs/>
                <w:color w:val="222A35"/>
                <w:kern w:val="24"/>
                <w:lang w:eastAsia="en-AU"/>
              </w:rPr>
              <w:t>PBAC guidelines updates</w:t>
            </w: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7C60699A" w14:textId="789D6652"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1995</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0242A8DD" w14:textId="44EE1655"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Clarification of technical aspects of measuring changes in costs and outcomes</w:t>
            </w:r>
          </w:p>
        </w:tc>
      </w:tr>
      <w:tr w:rsidR="00DE31EC" w:rsidRPr="002F7457" w14:paraId="537DF92C" w14:textId="77777777" w:rsidTr="00934C2E">
        <w:trPr>
          <w:trHeight w:val="445"/>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0BAAE91F" w14:textId="77777777" w:rsidR="00DE31EC" w:rsidRPr="00350705" w:rsidRDefault="00DE31EC"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36BDF9B1" w14:textId="496B47BB"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2002</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3120D451" w14:textId="7CDB9085"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Update to include minor changes endorsed since November 1995</w:t>
            </w:r>
          </w:p>
        </w:tc>
      </w:tr>
      <w:tr w:rsidR="00DE31EC" w:rsidRPr="002F7457" w14:paraId="710D5049" w14:textId="77777777" w:rsidTr="00934C2E">
        <w:trPr>
          <w:trHeight w:val="358"/>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5B5AD75C" w14:textId="77777777" w:rsidR="00DE31EC" w:rsidRPr="00350705" w:rsidRDefault="00DE31EC"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4704D710" w14:textId="33ABB929"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2006</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1FBB5735" w14:textId="0E442FC3"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Major revision and reorganisation of text</w:t>
            </w:r>
          </w:p>
        </w:tc>
      </w:tr>
      <w:tr w:rsidR="00DE31EC" w:rsidRPr="002F7457" w14:paraId="4D1A3950" w14:textId="77777777" w:rsidTr="00934C2E">
        <w:trPr>
          <w:trHeight w:val="689"/>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1F4C79F9" w14:textId="77777777" w:rsidR="00DE31EC" w:rsidRPr="00350705" w:rsidRDefault="00DE31EC"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53F002AC" w14:textId="5DEB26C5"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2007</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39A369AF" w14:textId="709423D9"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 xml:space="preserve">Version to provide clarification in </w:t>
            </w:r>
            <w:r w:rsidR="00447C6C">
              <w:rPr>
                <w:rFonts w:cs="Segoe UI"/>
                <w:color w:val="000000" w:themeColor="text1"/>
                <w:kern w:val="24"/>
              </w:rPr>
              <w:t>s</w:t>
            </w:r>
            <w:r w:rsidRPr="00350705">
              <w:rPr>
                <w:rFonts w:cs="Segoe UI"/>
                <w:color w:val="000000" w:themeColor="text1"/>
                <w:kern w:val="24"/>
              </w:rPr>
              <w:t>ubsections A.1, A.5, B.7, C, D.5, F.3, PT1 based on initial feedback on the major revision and to update URLs</w:t>
            </w:r>
          </w:p>
        </w:tc>
      </w:tr>
      <w:tr w:rsidR="00DE31EC" w:rsidRPr="002F7457" w14:paraId="02171A9C" w14:textId="77777777" w:rsidTr="00934C2E">
        <w:trPr>
          <w:trHeight w:val="282"/>
        </w:trPr>
        <w:tc>
          <w:tcPr>
            <w:tcW w:w="1986" w:type="dxa"/>
            <w:vMerge/>
            <w:tcBorders>
              <w:bottom w:val="single" w:sz="4" w:space="0" w:color="D9D9D9" w:themeColor="background1" w:themeShade="D9"/>
              <w:right w:val="single" w:sz="4" w:space="0" w:color="FFFFFF" w:themeColor="background1"/>
            </w:tcBorders>
            <w:shd w:val="clear" w:color="auto" w:fill="FFFFFF"/>
            <w:tcMar>
              <w:top w:w="72" w:type="dxa"/>
              <w:left w:w="144" w:type="dxa"/>
              <w:bottom w:w="72" w:type="dxa"/>
              <w:right w:w="144" w:type="dxa"/>
            </w:tcMar>
          </w:tcPr>
          <w:p w14:paraId="0729DC88" w14:textId="77777777" w:rsidR="00DE31EC" w:rsidRPr="00350705" w:rsidRDefault="00DE31EC"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6BFE0D05" w14:textId="213B3B58"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2016</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0C465AD3" w14:textId="5436DA9E" w:rsidR="00DE31EC" w:rsidRPr="00350705" w:rsidRDefault="00DE31EC" w:rsidP="008C10BB">
            <w:pPr>
              <w:spacing w:after="120"/>
              <w:rPr>
                <w:rFonts w:eastAsia="Times New Roman" w:cs="Segoe UI"/>
                <w:color w:val="222A35"/>
                <w:kern w:val="24"/>
                <w:lang w:eastAsia="en-AU"/>
              </w:rPr>
            </w:pPr>
            <w:r w:rsidRPr="00350705">
              <w:rPr>
                <w:rFonts w:cs="Segoe UI"/>
                <w:color w:val="000000" w:themeColor="text1"/>
                <w:kern w:val="24"/>
              </w:rPr>
              <w:t>Major revision and reorganisation of text</w:t>
            </w:r>
          </w:p>
        </w:tc>
      </w:tr>
      <w:tr w:rsidR="00DE31EC" w:rsidRPr="002F7457" w14:paraId="2D0B27C2" w14:textId="77777777" w:rsidTr="00934C2E">
        <w:trPr>
          <w:trHeight w:val="304"/>
        </w:trPr>
        <w:tc>
          <w:tcPr>
            <w:tcW w:w="1986" w:type="dxa"/>
            <w:tcBorders>
              <w:top w:val="single" w:sz="4" w:space="0" w:color="D9D9D9" w:themeColor="background1" w:themeShade="D9"/>
              <w:right w:val="single" w:sz="4" w:space="0" w:color="FFFFFF" w:themeColor="background1"/>
            </w:tcBorders>
            <w:shd w:val="clear" w:color="auto" w:fill="FFFFFF"/>
            <w:tcMar>
              <w:top w:w="72" w:type="dxa"/>
              <w:left w:w="144" w:type="dxa"/>
              <w:bottom w:w="72" w:type="dxa"/>
              <w:right w:w="144" w:type="dxa"/>
            </w:tcMar>
          </w:tcPr>
          <w:p w14:paraId="76CDC5BB" w14:textId="25CD078B" w:rsidR="00DE31EC" w:rsidRPr="00350705" w:rsidRDefault="008E58BB" w:rsidP="008C10BB">
            <w:pPr>
              <w:spacing w:after="120"/>
              <w:rPr>
                <w:rFonts w:eastAsia="Times New Roman" w:cs="Segoe UI"/>
                <w:b/>
                <w:bCs/>
                <w:color w:val="222A35"/>
                <w:kern w:val="24"/>
                <w:lang w:eastAsia="en-AU"/>
              </w:rPr>
            </w:pPr>
            <w:r w:rsidRPr="00350705">
              <w:rPr>
                <w:rFonts w:eastAsia="Times New Roman" w:cs="Segoe UI"/>
                <w:b/>
                <w:bCs/>
                <w:color w:val="222A35"/>
                <w:kern w:val="24"/>
                <w:lang w:eastAsia="en-AU"/>
              </w:rPr>
              <w:t>MSAC</w:t>
            </w: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4F27842E" w14:textId="5BDA0052" w:rsidR="00DE31EC" w:rsidRPr="00350705" w:rsidRDefault="008E58BB" w:rsidP="008C10BB">
            <w:pPr>
              <w:spacing w:after="120"/>
              <w:rPr>
                <w:rFonts w:cs="Segoe UI"/>
                <w:color w:val="000000" w:themeColor="text1"/>
                <w:kern w:val="24"/>
              </w:rPr>
            </w:pPr>
            <w:r w:rsidRPr="00350705">
              <w:rPr>
                <w:rFonts w:cs="Segoe UI"/>
                <w:color w:val="000000" w:themeColor="text1"/>
                <w:kern w:val="24"/>
              </w:rPr>
              <w:t>2009</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3A06AC42" w14:textId="32A528CF" w:rsidR="00DE31EC" w:rsidRPr="00350705" w:rsidRDefault="008E58BB" w:rsidP="008C10BB">
            <w:pPr>
              <w:spacing w:after="120"/>
              <w:rPr>
                <w:rFonts w:cs="Segoe UI"/>
                <w:color w:val="000000" w:themeColor="text1"/>
                <w:kern w:val="24"/>
              </w:rPr>
            </w:pPr>
            <w:r w:rsidRPr="00350705">
              <w:rPr>
                <w:rFonts w:cs="Segoe UI"/>
                <w:color w:val="000000" w:themeColor="text1"/>
                <w:kern w:val="24"/>
              </w:rPr>
              <w:t>HTA Review</w:t>
            </w:r>
          </w:p>
        </w:tc>
      </w:tr>
      <w:tr w:rsidR="008E58BB" w:rsidRPr="002F7457" w14:paraId="629EBB85" w14:textId="77777777" w:rsidTr="00934C2E">
        <w:trPr>
          <w:trHeight w:val="70"/>
        </w:trPr>
        <w:tc>
          <w:tcPr>
            <w:tcW w:w="1986" w:type="dxa"/>
            <w:tcBorders>
              <w:right w:val="single" w:sz="4" w:space="0" w:color="FFFFFF" w:themeColor="background1"/>
            </w:tcBorders>
            <w:shd w:val="clear" w:color="auto" w:fill="FFFFFF"/>
            <w:tcMar>
              <w:top w:w="72" w:type="dxa"/>
              <w:left w:w="144" w:type="dxa"/>
              <w:bottom w:w="72" w:type="dxa"/>
              <w:right w:w="144" w:type="dxa"/>
            </w:tcMar>
          </w:tcPr>
          <w:p w14:paraId="47C84E39" w14:textId="77777777" w:rsidR="008E58BB" w:rsidRPr="00350705" w:rsidRDefault="008E58BB"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6A6DC662" w14:textId="6FB83268" w:rsidR="008E58BB" w:rsidRPr="00350705" w:rsidRDefault="008E58BB" w:rsidP="008C10BB">
            <w:pPr>
              <w:spacing w:after="120"/>
              <w:rPr>
                <w:rFonts w:cs="Segoe UI"/>
                <w:color w:val="000000" w:themeColor="text1"/>
                <w:kern w:val="24"/>
              </w:rPr>
            </w:pPr>
            <w:r w:rsidRPr="00350705">
              <w:rPr>
                <w:rFonts w:cs="Segoe UI"/>
                <w:color w:val="000000" w:themeColor="text1"/>
                <w:kern w:val="24"/>
              </w:rPr>
              <w:t>2011</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10608A1A" w14:textId="2390E3FE" w:rsidR="008E58BB" w:rsidRPr="00350705" w:rsidRDefault="008E58BB" w:rsidP="008C10BB">
            <w:pPr>
              <w:spacing w:after="120"/>
              <w:rPr>
                <w:rFonts w:cs="Segoe UI"/>
                <w:color w:val="000000" w:themeColor="text1"/>
                <w:kern w:val="24"/>
              </w:rPr>
            </w:pPr>
            <w:r w:rsidRPr="00350705">
              <w:rPr>
                <w:rFonts w:cs="Segoe UI"/>
                <w:color w:val="000000" w:themeColor="text1"/>
                <w:kern w:val="24"/>
              </w:rPr>
              <w:t>Quality framework</w:t>
            </w:r>
          </w:p>
        </w:tc>
      </w:tr>
      <w:tr w:rsidR="008E58BB" w:rsidRPr="002F7457" w14:paraId="1336CCE5" w14:textId="77777777" w:rsidTr="00934C2E">
        <w:trPr>
          <w:trHeight w:val="405"/>
        </w:trPr>
        <w:tc>
          <w:tcPr>
            <w:tcW w:w="1986" w:type="dxa"/>
            <w:tcBorders>
              <w:right w:val="single" w:sz="4" w:space="0" w:color="FFFFFF" w:themeColor="background1"/>
            </w:tcBorders>
            <w:shd w:val="clear" w:color="auto" w:fill="FFFFFF"/>
            <w:tcMar>
              <w:top w:w="72" w:type="dxa"/>
              <w:left w:w="144" w:type="dxa"/>
              <w:bottom w:w="72" w:type="dxa"/>
              <w:right w:w="144" w:type="dxa"/>
            </w:tcMar>
          </w:tcPr>
          <w:p w14:paraId="29A97845" w14:textId="77777777" w:rsidR="008E58BB" w:rsidRPr="00350705" w:rsidRDefault="008E58BB"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6577B280" w14:textId="22765D80" w:rsidR="008E58BB" w:rsidRPr="00350705" w:rsidRDefault="009E4D46" w:rsidP="008C10BB">
            <w:pPr>
              <w:spacing w:after="120"/>
              <w:rPr>
                <w:rFonts w:cs="Segoe UI"/>
                <w:color w:val="000000" w:themeColor="text1"/>
                <w:kern w:val="24"/>
              </w:rPr>
            </w:pPr>
            <w:r w:rsidRPr="00350705">
              <w:rPr>
                <w:rFonts w:cs="Segoe UI"/>
                <w:color w:val="000000" w:themeColor="text1"/>
                <w:kern w:val="24"/>
              </w:rPr>
              <w:t>2013</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3C07D302" w14:textId="2C4476C1" w:rsidR="008E58BB" w:rsidRPr="00350705" w:rsidRDefault="009E4D46" w:rsidP="008C10BB">
            <w:pPr>
              <w:spacing w:after="120"/>
              <w:rPr>
                <w:rFonts w:cs="Segoe UI"/>
                <w:color w:val="000000" w:themeColor="text1"/>
                <w:kern w:val="24"/>
              </w:rPr>
            </w:pPr>
            <w:r w:rsidRPr="00350705">
              <w:rPr>
                <w:rFonts w:cs="Segoe UI"/>
                <w:color w:val="000000" w:themeColor="text1"/>
                <w:kern w:val="24"/>
              </w:rPr>
              <w:t>Comprehensive management framework</w:t>
            </w:r>
          </w:p>
        </w:tc>
      </w:tr>
      <w:tr w:rsidR="008E58BB" w:rsidRPr="002F7457" w14:paraId="34D1B4FE" w14:textId="77777777" w:rsidTr="00934C2E">
        <w:trPr>
          <w:trHeight w:val="364"/>
        </w:trPr>
        <w:tc>
          <w:tcPr>
            <w:tcW w:w="1986" w:type="dxa"/>
            <w:tcBorders>
              <w:bottom w:val="single" w:sz="4" w:space="0" w:color="D9D9D9" w:themeColor="background1" w:themeShade="D9"/>
              <w:right w:val="single" w:sz="4" w:space="0" w:color="FFFFFF" w:themeColor="background1"/>
            </w:tcBorders>
            <w:shd w:val="clear" w:color="auto" w:fill="FFFFFF"/>
            <w:tcMar>
              <w:top w:w="72" w:type="dxa"/>
              <w:left w:w="144" w:type="dxa"/>
              <w:bottom w:w="72" w:type="dxa"/>
              <w:right w:w="144" w:type="dxa"/>
            </w:tcMar>
          </w:tcPr>
          <w:p w14:paraId="33BFE6C2" w14:textId="77777777" w:rsidR="008E58BB" w:rsidRPr="00350705" w:rsidRDefault="008E58BB"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64046615" w14:textId="5C9EC4D3" w:rsidR="008E58BB" w:rsidRPr="00350705" w:rsidRDefault="009E4D46" w:rsidP="008C10BB">
            <w:pPr>
              <w:spacing w:after="120"/>
              <w:rPr>
                <w:rFonts w:cs="Segoe UI"/>
                <w:color w:val="000000" w:themeColor="text1"/>
                <w:kern w:val="24"/>
              </w:rPr>
            </w:pPr>
            <w:r w:rsidRPr="00350705">
              <w:rPr>
                <w:rFonts w:cs="Segoe UI"/>
                <w:color w:val="000000" w:themeColor="text1"/>
                <w:kern w:val="24"/>
              </w:rPr>
              <w:t>2020</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17CD2A05" w14:textId="39CF5869" w:rsidR="008E58BB" w:rsidRPr="00350705" w:rsidRDefault="009E4D46" w:rsidP="008C10BB">
            <w:pPr>
              <w:spacing w:after="120"/>
              <w:rPr>
                <w:rFonts w:cs="Segoe UI"/>
                <w:color w:val="000000" w:themeColor="text1"/>
                <w:kern w:val="24"/>
              </w:rPr>
            </w:pPr>
            <w:r w:rsidRPr="00350705">
              <w:rPr>
                <w:rFonts w:cs="Segoe UI"/>
                <w:color w:val="000000" w:themeColor="text1"/>
                <w:kern w:val="24"/>
              </w:rPr>
              <w:t>MSAC Guidelines Review</w:t>
            </w:r>
          </w:p>
        </w:tc>
      </w:tr>
      <w:tr w:rsidR="009E7AD1" w:rsidRPr="002F7457" w14:paraId="091B7356" w14:textId="77777777" w:rsidTr="00934C2E">
        <w:trPr>
          <w:trHeight w:val="364"/>
        </w:trPr>
        <w:tc>
          <w:tcPr>
            <w:tcW w:w="1986" w:type="dxa"/>
            <w:vMerge w:val="restart"/>
            <w:tcBorders>
              <w:top w:val="single" w:sz="4" w:space="0" w:color="D9D9D9" w:themeColor="background1" w:themeShade="D9"/>
              <w:right w:val="single" w:sz="4" w:space="0" w:color="FFFFFF" w:themeColor="background1"/>
            </w:tcBorders>
            <w:shd w:val="clear" w:color="auto" w:fill="FFFFFF"/>
            <w:tcMar>
              <w:top w:w="72" w:type="dxa"/>
              <w:left w:w="144" w:type="dxa"/>
              <w:bottom w:w="72" w:type="dxa"/>
              <w:right w:w="144" w:type="dxa"/>
            </w:tcMar>
          </w:tcPr>
          <w:p w14:paraId="3795B785" w14:textId="34256831" w:rsidR="009E7AD1" w:rsidRPr="00350705" w:rsidRDefault="009E7AD1" w:rsidP="008C10BB">
            <w:pPr>
              <w:spacing w:after="120"/>
              <w:rPr>
                <w:rFonts w:eastAsia="Times New Roman" w:cs="Segoe UI"/>
                <w:b/>
                <w:bCs/>
                <w:color w:val="222A35"/>
                <w:kern w:val="24"/>
                <w:lang w:eastAsia="en-AU"/>
              </w:rPr>
            </w:pPr>
            <w:r w:rsidRPr="00350705">
              <w:rPr>
                <w:rFonts w:eastAsia="Times New Roman" w:cs="Segoe UI"/>
                <w:b/>
                <w:bCs/>
                <w:color w:val="222A35"/>
                <w:kern w:val="24"/>
                <w:lang w:eastAsia="en-AU"/>
              </w:rPr>
              <w:t>Other</w:t>
            </w: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05AE49FA" w14:textId="54962506" w:rsidR="009E7AD1" w:rsidRPr="00350705" w:rsidRDefault="009E7AD1" w:rsidP="008C10BB">
            <w:pPr>
              <w:spacing w:after="120"/>
              <w:rPr>
                <w:rFonts w:cs="Segoe UI"/>
                <w:color w:val="000000" w:themeColor="text1"/>
                <w:kern w:val="24"/>
              </w:rPr>
            </w:pPr>
            <w:r w:rsidRPr="00350705">
              <w:rPr>
                <w:rFonts w:cs="Segoe UI"/>
                <w:color w:val="000000" w:themeColor="text1"/>
                <w:kern w:val="24"/>
              </w:rPr>
              <w:t>2014</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0A58BB70" w14:textId="5E453FB8" w:rsidR="009E7AD1" w:rsidRPr="00350705" w:rsidRDefault="009E7AD1" w:rsidP="008C10BB">
            <w:pPr>
              <w:spacing w:after="120"/>
              <w:rPr>
                <w:rFonts w:cs="Segoe UI"/>
                <w:color w:val="000000" w:themeColor="text1"/>
                <w:kern w:val="24"/>
              </w:rPr>
            </w:pPr>
            <w:r w:rsidRPr="00350705">
              <w:rPr>
                <w:rFonts w:cs="Segoe UI"/>
                <w:color w:val="000000" w:themeColor="text1"/>
                <w:kern w:val="24"/>
              </w:rPr>
              <w:t>Post-market review of the LSDP</w:t>
            </w:r>
            <w:r w:rsidR="00E37312">
              <w:rPr>
                <w:rFonts w:cs="Segoe UI"/>
                <w:color w:val="000000" w:themeColor="text1"/>
                <w:kern w:val="24"/>
              </w:rPr>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rPr>
                <w:rFonts w:cs="Segoe UI"/>
                <w:color w:val="000000" w:themeColor="text1"/>
                <w:kern w:val="24"/>
              </w:rPr>
              <w:fldChar w:fldCharType="end"/>
            </w:r>
          </w:p>
        </w:tc>
      </w:tr>
      <w:tr w:rsidR="009E7AD1" w:rsidRPr="002F7457" w14:paraId="59653F4D" w14:textId="77777777" w:rsidTr="00934C2E">
        <w:trPr>
          <w:trHeight w:val="364"/>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3C039B8A" w14:textId="77777777" w:rsidR="009E7AD1" w:rsidRPr="00350705" w:rsidRDefault="009E7AD1"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Mar>
              <w:top w:w="72" w:type="dxa"/>
              <w:left w:w="144" w:type="dxa"/>
              <w:bottom w:w="72" w:type="dxa"/>
              <w:right w:w="144" w:type="dxa"/>
            </w:tcMar>
          </w:tcPr>
          <w:p w14:paraId="7172C284" w14:textId="4CDC15EC" w:rsidR="009E7AD1" w:rsidRPr="00350705" w:rsidRDefault="009E7AD1" w:rsidP="008C10BB">
            <w:pPr>
              <w:spacing w:after="120"/>
              <w:rPr>
                <w:rFonts w:cs="Segoe UI"/>
                <w:color w:val="000000" w:themeColor="text1"/>
                <w:kern w:val="24"/>
              </w:rPr>
            </w:pPr>
            <w:r w:rsidRPr="00350705">
              <w:rPr>
                <w:rFonts w:cs="Segoe UI"/>
                <w:color w:val="000000" w:themeColor="text1"/>
                <w:kern w:val="24"/>
              </w:rPr>
              <w:t>2018</w:t>
            </w:r>
          </w:p>
        </w:tc>
        <w:tc>
          <w:tcPr>
            <w:tcW w:w="6181" w:type="dxa"/>
            <w:tcBorders>
              <w:top w:val="single" w:sz="6" w:space="0" w:color="DDDDDD"/>
              <w:left w:val="single" w:sz="4" w:space="0" w:color="FFFFFF" w:themeColor="background1"/>
              <w:bottom w:val="single" w:sz="6" w:space="0" w:color="DDDDDD"/>
              <w:right w:val="single" w:sz="4" w:space="0" w:color="FFFFFF" w:themeColor="background1"/>
            </w:tcBorders>
            <w:shd w:val="clear" w:color="auto" w:fill="auto"/>
          </w:tcPr>
          <w:p w14:paraId="5A9D236F" w14:textId="493FD3A4" w:rsidR="009E7AD1" w:rsidRPr="00350705" w:rsidRDefault="009E7AD1" w:rsidP="008C10BB">
            <w:pPr>
              <w:spacing w:after="120"/>
              <w:rPr>
                <w:rFonts w:cs="Segoe UI"/>
                <w:color w:val="000000" w:themeColor="text1"/>
                <w:kern w:val="24"/>
              </w:rPr>
            </w:pPr>
            <w:r w:rsidRPr="00350705">
              <w:rPr>
                <w:rFonts w:cs="Segoe UI"/>
                <w:color w:val="000000" w:themeColor="text1"/>
                <w:kern w:val="24"/>
              </w:rPr>
              <w:t>LSDP</w:t>
            </w:r>
            <w:r w:rsidR="00E37312">
              <w:rPr>
                <w:rFonts w:cs="Segoe UI"/>
                <w:color w:val="000000" w:themeColor="text1"/>
                <w:kern w:val="24"/>
              </w:rPr>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rPr>
                <w:rFonts w:cs="Segoe UI"/>
                <w:color w:val="000000" w:themeColor="text1"/>
                <w:kern w:val="24"/>
              </w:rPr>
              <w:fldChar w:fldCharType="end"/>
            </w:r>
            <w:r w:rsidRPr="00350705">
              <w:rPr>
                <w:rFonts w:cs="Segoe UI"/>
                <w:color w:val="000000" w:themeColor="text1"/>
                <w:kern w:val="24"/>
              </w:rPr>
              <w:t xml:space="preserve"> Medicines Review</w:t>
            </w:r>
          </w:p>
        </w:tc>
      </w:tr>
      <w:tr w:rsidR="009E7AD1" w:rsidRPr="002F7457" w14:paraId="29B7A5D7" w14:textId="77777777" w:rsidTr="00934C2E">
        <w:trPr>
          <w:trHeight w:val="364"/>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72FB8DDC" w14:textId="77777777" w:rsidR="009E7AD1" w:rsidRPr="00350705" w:rsidRDefault="009E7AD1"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8" w:space="0" w:color="FFFFFF"/>
            </w:tcBorders>
            <w:shd w:val="clear" w:color="auto" w:fill="auto"/>
            <w:tcMar>
              <w:top w:w="72" w:type="dxa"/>
              <w:left w:w="144" w:type="dxa"/>
              <w:bottom w:w="72" w:type="dxa"/>
              <w:right w:w="144" w:type="dxa"/>
            </w:tcMar>
          </w:tcPr>
          <w:p w14:paraId="377E3492" w14:textId="46BB7D13" w:rsidR="009E7AD1" w:rsidRPr="00350705" w:rsidRDefault="009E7AD1" w:rsidP="008C10BB">
            <w:pPr>
              <w:spacing w:after="120"/>
              <w:rPr>
                <w:rFonts w:cs="Segoe UI"/>
                <w:color w:val="000000" w:themeColor="text1"/>
                <w:kern w:val="24"/>
              </w:rPr>
            </w:pPr>
            <w:r w:rsidRPr="00350705">
              <w:rPr>
                <w:rFonts w:cs="Segoe UI"/>
                <w:color w:val="000000" w:themeColor="text1"/>
                <w:kern w:val="24"/>
              </w:rPr>
              <w:t>2017-</w:t>
            </w:r>
          </w:p>
        </w:tc>
        <w:tc>
          <w:tcPr>
            <w:tcW w:w="6181" w:type="dxa"/>
            <w:tcBorders>
              <w:top w:val="single" w:sz="6" w:space="0" w:color="DDDDDD"/>
              <w:left w:val="single" w:sz="8" w:space="0" w:color="FFFFFF"/>
              <w:bottom w:val="single" w:sz="6" w:space="0" w:color="DDDDDD"/>
              <w:right w:val="single" w:sz="4" w:space="0" w:color="FFFFFF" w:themeColor="background1"/>
            </w:tcBorders>
            <w:shd w:val="clear" w:color="auto" w:fill="auto"/>
          </w:tcPr>
          <w:p w14:paraId="7FB3A46B" w14:textId="7E303EE1" w:rsidR="009E7AD1" w:rsidRPr="00350705" w:rsidRDefault="009E7AD1" w:rsidP="008C10BB">
            <w:pPr>
              <w:spacing w:after="120"/>
              <w:rPr>
                <w:rFonts w:cs="Segoe UI"/>
                <w:color w:val="000000" w:themeColor="text1"/>
                <w:kern w:val="24"/>
              </w:rPr>
            </w:pPr>
            <w:r w:rsidRPr="00350705">
              <w:rPr>
                <w:rFonts w:cs="Segoe UI"/>
                <w:color w:val="000000" w:themeColor="text1"/>
                <w:kern w:val="24"/>
              </w:rPr>
              <w:t>PBS Process improvements in the 2017</w:t>
            </w:r>
            <w:r w:rsidR="000D350F">
              <w:rPr>
                <w:rFonts w:cs="Segoe UI"/>
                <w:color w:val="000000" w:themeColor="text1"/>
                <w:kern w:val="24"/>
              </w:rPr>
              <w:t>–</w:t>
            </w:r>
            <w:r w:rsidRPr="00350705">
              <w:rPr>
                <w:rFonts w:cs="Segoe UI"/>
                <w:color w:val="000000" w:themeColor="text1"/>
                <w:kern w:val="24"/>
              </w:rPr>
              <w:t xml:space="preserve">22 Strategic Agreement </w:t>
            </w:r>
            <w:r w:rsidR="00213917">
              <w:rPr>
                <w:rFonts w:cs="Segoe UI"/>
                <w:color w:val="000000" w:themeColor="text1"/>
                <w:kern w:val="24"/>
              </w:rPr>
              <w:t>between the Commonwealth and</w:t>
            </w:r>
            <w:r w:rsidRPr="00350705">
              <w:rPr>
                <w:rFonts w:cs="Segoe UI"/>
                <w:color w:val="000000" w:themeColor="text1"/>
                <w:kern w:val="24"/>
              </w:rPr>
              <w:t xml:space="preserve"> Medicines Australia</w:t>
            </w:r>
          </w:p>
        </w:tc>
      </w:tr>
      <w:tr w:rsidR="009E7AD1" w:rsidRPr="002F7457" w14:paraId="29387003" w14:textId="77777777" w:rsidTr="00934C2E">
        <w:trPr>
          <w:trHeight w:val="364"/>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1B46B031" w14:textId="77777777" w:rsidR="009E7AD1" w:rsidRPr="00350705" w:rsidRDefault="009E7AD1"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8" w:space="0" w:color="FFFFFF"/>
            </w:tcBorders>
            <w:shd w:val="clear" w:color="auto" w:fill="auto"/>
            <w:tcMar>
              <w:top w:w="72" w:type="dxa"/>
              <w:left w:w="144" w:type="dxa"/>
              <w:bottom w:w="72" w:type="dxa"/>
              <w:right w:w="144" w:type="dxa"/>
            </w:tcMar>
          </w:tcPr>
          <w:p w14:paraId="01E1F8F5" w14:textId="76AD8B72" w:rsidR="009E7AD1" w:rsidRPr="00350705" w:rsidRDefault="009E7AD1" w:rsidP="008C10BB">
            <w:pPr>
              <w:spacing w:after="120"/>
              <w:rPr>
                <w:rFonts w:cs="Segoe UI"/>
                <w:color w:val="000000" w:themeColor="text1"/>
                <w:kern w:val="24"/>
              </w:rPr>
            </w:pPr>
            <w:r w:rsidRPr="00350705">
              <w:rPr>
                <w:rFonts w:cs="Segoe UI"/>
                <w:color w:val="000000" w:themeColor="text1"/>
                <w:kern w:val="24"/>
              </w:rPr>
              <w:t>2020</w:t>
            </w:r>
          </w:p>
        </w:tc>
        <w:tc>
          <w:tcPr>
            <w:tcW w:w="6181" w:type="dxa"/>
            <w:tcBorders>
              <w:top w:val="single" w:sz="6" w:space="0" w:color="DDDDDD"/>
              <w:left w:val="single" w:sz="8" w:space="0" w:color="FFFFFF"/>
              <w:bottom w:val="single" w:sz="6" w:space="0" w:color="DDDDDD"/>
              <w:right w:val="single" w:sz="4" w:space="0" w:color="FFFFFF" w:themeColor="background1"/>
            </w:tcBorders>
            <w:shd w:val="clear" w:color="auto" w:fill="auto"/>
          </w:tcPr>
          <w:p w14:paraId="55188879" w14:textId="4555731F" w:rsidR="009E7AD1" w:rsidRPr="00350705" w:rsidRDefault="009E7AD1" w:rsidP="008C10BB">
            <w:pPr>
              <w:spacing w:after="120"/>
              <w:rPr>
                <w:rFonts w:cs="Segoe UI"/>
                <w:color w:val="000000" w:themeColor="text1"/>
                <w:kern w:val="24"/>
              </w:rPr>
            </w:pPr>
            <w:r w:rsidRPr="00350705">
              <w:rPr>
                <w:rFonts w:cs="Segoe UI"/>
                <w:color w:val="000000" w:themeColor="text1"/>
                <w:kern w:val="24"/>
              </w:rPr>
              <w:t>House of Representative Inquiry into approval processes for new drugs and novel medical technologies in Australia</w:t>
            </w:r>
            <w:r w:rsidR="00BC3834">
              <w:rPr>
                <w:rFonts w:cs="Segoe UI"/>
                <w:color w:val="000000" w:themeColor="text1"/>
                <w:kern w:val="24"/>
              </w:rPr>
              <w:t xml:space="preserve"> (</w:t>
            </w:r>
            <w:hyperlink r:id="rId98" w:history="1">
              <w:r w:rsidR="00BC3834" w:rsidRPr="00834377">
                <w:rPr>
                  <w:rStyle w:val="Hyperlink"/>
                </w:rPr>
                <w:t>the Inquiry</w:t>
              </w:r>
            </w:hyperlink>
            <w:r w:rsidR="00BC3834">
              <w:rPr>
                <w:i/>
                <w:iCs/>
              </w:rPr>
              <w:t>)</w:t>
            </w:r>
          </w:p>
        </w:tc>
      </w:tr>
      <w:tr w:rsidR="009E7AD1" w:rsidRPr="002F7457" w14:paraId="54AA1D66" w14:textId="77777777" w:rsidTr="00934C2E">
        <w:trPr>
          <w:trHeight w:val="364"/>
        </w:trPr>
        <w:tc>
          <w:tcPr>
            <w:tcW w:w="1986" w:type="dxa"/>
            <w:vMerge/>
            <w:tcBorders>
              <w:right w:val="single" w:sz="4" w:space="0" w:color="FFFFFF" w:themeColor="background1"/>
            </w:tcBorders>
            <w:shd w:val="clear" w:color="auto" w:fill="FFFFFF"/>
            <w:tcMar>
              <w:top w:w="72" w:type="dxa"/>
              <w:left w:w="144" w:type="dxa"/>
              <w:bottom w:w="72" w:type="dxa"/>
              <w:right w:w="144" w:type="dxa"/>
            </w:tcMar>
          </w:tcPr>
          <w:p w14:paraId="23F50B84" w14:textId="77777777" w:rsidR="009E7AD1" w:rsidRPr="00350705" w:rsidRDefault="009E7AD1"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8" w:space="0" w:color="FFFFFF"/>
            </w:tcBorders>
            <w:shd w:val="clear" w:color="auto" w:fill="auto"/>
            <w:tcMar>
              <w:top w:w="72" w:type="dxa"/>
              <w:left w:w="144" w:type="dxa"/>
              <w:bottom w:w="72" w:type="dxa"/>
              <w:right w:w="144" w:type="dxa"/>
            </w:tcMar>
          </w:tcPr>
          <w:p w14:paraId="0AC7812D" w14:textId="3047E9CA" w:rsidR="009E7AD1" w:rsidRPr="00350705" w:rsidRDefault="009E7AD1" w:rsidP="008C10BB">
            <w:pPr>
              <w:spacing w:after="120"/>
              <w:rPr>
                <w:rFonts w:cs="Segoe UI"/>
                <w:color w:val="000000" w:themeColor="text1"/>
                <w:kern w:val="24"/>
              </w:rPr>
            </w:pPr>
            <w:r w:rsidRPr="00350705">
              <w:rPr>
                <w:rFonts w:cs="Segoe UI"/>
                <w:color w:val="000000" w:themeColor="text1"/>
                <w:kern w:val="24"/>
              </w:rPr>
              <w:t>2021</w:t>
            </w:r>
          </w:p>
        </w:tc>
        <w:tc>
          <w:tcPr>
            <w:tcW w:w="6181" w:type="dxa"/>
            <w:tcBorders>
              <w:top w:val="single" w:sz="6" w:space="0" w:color="DDDDDD"/>
              <w:left w:val="single" w:sz="8" w:space="0" w:color="FFFFFF"/>
              <w:bottom w:val="single" w:sz="6" w:space="0" w:color="DDDDDD"/>
              <w:right w:val="single" w:sz="4" w:space="0" w:color="FFFFFF" w:themeColor="background1"/>
            </w:tcBorders>
            <w:shd w:val="clear" w:color="auto" w:fill="auto"/>
          </w:tcPr>
          <w:p w14:paraId="22B353FF" w14:textId="67C397D5" w:rsidR="009E7AD1" w:rsidRPr="00350705" w:rsidRDefault="009E7AD1" w:rsidP="008C10BB">
            <w:pPr>
              <w:spacing w:after="120"/>
              <w:rPr>
                <w:rFonts w:cs="Segoe UI"/>
                <w:color w:val="000000" w:themeColor="text1"/>
                <w:kern w:val="24"/>
              </w:rPr>
            </w:pPr>
            <w:r w:rsidRPr="00350705">
              <w:rPr>
                <w:rFonts w:cs="Segoe UI"/>
                <w:color w:val="000000" w:themeColor="text1"/>
                <w:kern w:val="24"/>
              </w:rPr>
              <w:t xml:space="preserve">National Medicines Policy </w:t>
            </w:r>
            <w:r w:rsidR="002A6C12">
              <w:rPr>
                <w:rFonts w:cs="Segoe UI"/>
                <w:color w:val="000000" w:themeColor="text1"/>
                <w:kern w:val="24"/>
              </w:rPr>
              <w:t xml:space="preserve">(NMP) </w:t>
            </w:r>
            <w:r w:rsidRPr="00350705">
              <w:rPr>
                <w:rFonts w:cs="Segoe UI"/>
                <w:color w:val="000000" w:themeColor="text1"/>
                <w:kern w:val="24"/>
              </w:rPr>
              <w:t>Review</w:t>
            </w:r>
          </w:p>
        </w:tc>
      </w:tr>
      <w:tr w:rsidR="009E7AD1" w:rsidRPr="002F7457" w14:paraId="4D00115D" w14:textId="77777777" w:rsidTr="00934C2E">
        <w:trPr>
          <w:trHeight w:val="364"/>
        </w:trPr>
        <w:tc>
          <w:tcPr>
            <w:tcW w:w="1986" w:type="dxa"/>
            <w:vMerge/>
            <w:tcBorders>
              <w:bottom w:val="single" w:sz="4" w:space="0" w:color="E7E6E6" w:themeColor="background2"/>
              <w:right w:val="single" w:sz="4" w:space="0" w:color="FFFFFF" w:themeColor="background1"/>
            </w:tcBorders>
            <w:shd w:val="clear" w:color="auto" w:fill="FFFFFF"/>
            <w:tcMar>
              <w:top w:w="72" w:type="dxa"/>
              <w:left w:w="144" w:type="dxa"/>
              <w:bottom w:w="72" w:type="dxa"/>
              <w:right w:w="144" w:type="dxa"/>
            </w:tcMar>
          </w:tcPr>
          <w:p w14:paraId="3476DEB2" w14:textId="77777777" w:rsidR="009E7AD1" w:rsidRPr="00350705" w:rsidRDefault="009E7AD1" w:rsidP="008C10BB">
            <w:pPr>
              <w:spacing w:after="120"/>
              <w:rPr>
                <w:rFonts w:eastAsia="Times New Roman" w:cs="Segoe UI"/>
                <w:b/>
                <w:bCs/>
                <w:color w:val="222A35"/>
                <w:kern w:val="24"/>
                <w:lang w:eastAsia="en-AU"/>
              </w:rPr>
            </w:pPr>
          </w:p>
        </w:tc>
        <w:tc>
          <w:tcPr>
            <w:tcW w:w="849" w:type="dxa"/>
            <w:tcBorders>
              <w:top w:val="single" w:sz="6" w:space="0" w:color="DDDDDD"/>
              <w:left w:val="single" w:sz="4" w:space="0" w:color="FFFFFF" w:themeColor="background1"/>
              <w:bottom w:val="single" w:sz="6" w:space="0" w:color="DDDDDD"/>
              <w:right w:val="single" w:sz="8" w:space="0" w:color="FFFFFF"/>
            </w:tcBorders>
            <w:shd w:val="clear" w:color="auto" w:fill="auto"/>
            <w:tcMar>
              <w:top w:w="72" w:type="dxa"/>
              <w:left w:w="144" w:type="dxa"/>
              <w:bottom w:w="72" w:type="dxa"/>
              <w:right w:w="144" w:type="dxa"/>
            </w:tcMar>
          </w:tcPr>
          <w:p w14:paraId="4F4A0F95" w14:textId="7CD84469" w:rsidR="009E7AD1" w:rsidRPr="00350705" w:rsidRDefault="009E7AD1" w:rsidP="008C10BB">
            <w:pPr>
              <w:spacing w:after="120"/>
              <w:rPr>
                <w:rFonts w:cs="Segoe UI"/>
                <w:color w:val="000000" w:themeColor="text1"/>
                <w:kern w:val="24"/>
              </w:rPr>
            </w:pPr>
            <w:r w:rsidRPr="00350705">
              <w:rPr>
                <w:rFonts w:cs="Segoe UI"/>
                <w:color w:val="000000" w:themeColor="text1"/>
                <w:kern w:val="24"/>
              </w:rPr>
              <w:t>2022-</w:t>
            </w:r>
          </w:p>
        </w:tc>
        <w:tc>
          <w:tcPr>
            <w:tcW w:w="6181" w:type="dxa"/>
            <w:tcBorders>
              <w:top w:val="single" w:sz="6" w:space="0" w:color="DDDDDD"/>
              <w:left w:val="single" w:sz="8" w:space="0" w:color="FFFFFF"/>
              <w:bottom w:val="single" w:sz="6" w:space="0" w:color="DDDDDD"/>
              <w:right w:val="single" w:sz="4" w:space="0" w:color="FFFFFF" w:themeColor="background1"/>
            </w:tcBorders>
            <w:shd w:val="clear" w:color="auto" w:fill="auto"/>
          </w:tcPr>
          <w:p w14:paraId="67449474" w14:textId="1BE9321B" w:rsidR="009E7AD1" w:rsidRPr="00350705" w:rsidRDefault="009E7AD1" w:rsidP="008C10BB">
            <w:pPr>
              <w:spacing w:after="120"/>
              <w:rPr>
                <w:rFonts w:cs="Segoe UI"/>
                <w:color w:val="000000" w:themeColor="text1"/>
                <w:kern w:val="24"/>
              </w:rPr>
            </w:pPr>
            <w:r w:rsidRPr="00350705">
              <w:rPr>
                <w:rFonts w:cs="Segoe UI"/>
                <w:color w:val="000000" w:themeColor="text1"/>
                <w:kern w:val="24"/>
              </w:rPr>
              <w:t>HTA process re</w:t>
            </w:r>
            <w:r w:rsidR="00213917">
              <w:rPr>
                <w:rFonts w:cs="Segoe UI"/>
                <w:color w:val="000000" w:themeColor="text1"/>
                <w:kern w:val="24"/>
              </w:rPr>
              <w:t>for</w:t>
            </w:r>
            <w:r w:rsidRPr="00350705">
              <w:rPr>
                <w:rFonts w:cs="Segoe UI"/>
                <w:color w:val="000000" w:themeColor="text1"/>
                <w:kern w:val="24"/>
              </w:rPr>
              <w:t>ms in</w:t>
            </w:r>
            <w:r w:rsidR="00213917">
              <w:rPr>
                <w:rFonts w:cs="Segoe UI"/>
                <w:color w:val="000000" w:themeColor="text1"/>
                <w:kern w:val="24"/>
              </w:rPr>
              <w:t xml:space="preserve"> </w:t>
            </w:r>
            <w:r w:rsidRPr="00350705">
              <w:rPr>
                <w:rFonts w:cs="Segoe UI"/>
                <w:color w:val="000000" w:themeColor="text1"/>
                <w:kern w:val="24"/>
              </w:rPr>
              <w:t>th</w:t>
            </w:r>
            <w:r w:rsidR="00213917">
              <w:rPr>
                <w:rFonts w:cs="Segoe UI"/>
                <w:color w:val="000000" w:themeColor="text1"/>
                <w:kern w:val="24"/>
              </w:rPr>
              <w:t>e</w:t>
            </w:r>
            <w:r w:rsidRPr="00350705">
              <w:rPr>
                <w:rFonts w:cs="Segoe UI"/>
                <w:color w:val="000000" w:themeColor="text1"/>
                <w:kern w:val="24"/>
              </w:rPr>
              <w:t xml:space="preserve"> 2022</w:t>
            </w:r>
            <w:r w:rsidR="00EA503D">
              <w:rPr>
                <w:rFonts w:cs="Segoe UI"/>
                <w:color w:val="000000" w:themeColor="text1"/>
                <w:kern w:val="24"/>
              </w:rPr>
              <w:t>–</w:t>
            </w:r>
            <w:r w:rsidRPr="00350705">
              <w:rPr>
                <w:rFonts w:cs="Segoe UI"/>
                <w:color w:val="000000" w:themeColor="text1"/>
                <w:kern w:val="24"/>
              </w:rPr>
              <w:t xml:space="preserve">27 Strategic Agreement </w:t>
            </w:r>
            <w:r w:rsidR="00213917">
              <w:rPr>
                <w:rFonts w:cs="Segoe UI"/>
                <w:color w:val="000000" w:themeColor="text1"/>
                <w:kern w:val="24"/>
              </w:rPr>
              <w:t>between the Commonwealth and</w:t>
            </w:r>
            <w:r w:rsidRPr="00350705">
              <w:rPr>
                <w:rFonts w:cs="Segoe UI"/>
                <w:color w:val="000000" w:themeColor="text1"/>
                <w:kern w:val="24"/>
              </w:rPr>
              <w:t xml:space="preserve"> Medicines Australia</w:t>
            </w:r>
          </w:p>
        </w:tc>
      </w:tr>
    </w:tbl>
    <w:p w14:paraId="235B129F" w14:textId="56FC6709" w:rsidR="000E1DBD" w:rsidRPr="006647C5" w:rsidRDefault="000E1DBD" w:rsidP="008C10BB">
      <w:pPr>
        <w:pStyle w:val="Heading2"/>
        <w:numPr>
          <w:ilvl w:val="0"/>
          <w:numId w:val="0"/>
        </w:numPr>
        <w:spacing w:line="259" w:lineRule="auto"/>
      </w:pPr>
      <w:bookmarkStart w:id="75" w:name="_Toc157029038"/>
      <w:bookmarkStart w:id="76" w:name="_Toc157029481"/>
      <w:bookmarkStart w:id="77" w:name="_Toc157030173"/>
      <w:r w:rsidRPr="006647C5">
        <w:t>Why are we reviewing HTA Policies and Methods?</w:t>
      </w:r>
      <w:bookmarkEnd w:id="74"/>
      <w:bookmarkEnd w:id="75"/>
      <w:bookmarkEnd w:id="76"/>
      <w:bookmarkEnd w:id="77"/>
      <w:r w:rsidRPr="006647C5">
        <w:t xml:space="preserve"> </w:t>
      </w:r>
    </w:p>
    <w:p w14:paraId="2C5CFE67" w14:textId="6672475A" w:rsidR="000E1DBD" w:rsidRPr="006647C5" w:rsidRDefault="000E1DBD" w:rsidP="001C5DDA">
      <w:pPr>
        <w:pStyle w:val="Heading3"/>
      </w:pPr>
      <w:bookmarkStart w:id="78" w:name="_Toc157029039"/>
      <w:r w:rsidRPr="006647C5">
        <w:t>Strategic Agreement between the Commonwealth and Medicines Australia</w:t>
      </w:r>
      <w:bookmarkEnd w:id="78"/>
    </w:p>
    <w:p w14:paraId="39E365BE" w14:textId="2E3396AF" w:rsidR="0062538B" w:rsidRPr="006647C5" w:rsidRDefault="0062538B" w:rsidP="008C10BB">
      <w:pPr>
        <w:spacing w:after="120"/>
        <w:rPr>
          <w:rFonts w:cs="Segoe UI"/>
        </w:rPr>
      </w:pPr>
      <w:r w:rsidRPr="21B46DFB">
        <w:rPr>
          <w:rFonts w:cs="Segoe UI"/>
        </w:rPr>
        <w:t xml:space="preserve">The </w:t>
      </w:r>
      <w:r w:rsidR="7147F513" w:rsidRPr="3F834D4C">
        <w:rPr>
          <w:rFonts w:cs="Segoe UI"/>
        </w:rPr>
        <w:t>HTA</w:t>
      </w:r>
      <w:r w:rsidRPr="21B46DFB">
        <w:rPr>
          <w:rFonts w:cs="Segoe UI"/>
        </w:rPr>
        <w:t xml:space="preserve"> Review is a commitment in the </w:t>
      </w:r>
      <w:hyperlink r:id="rId99" w:history="1">
        <w:r w:rsidRPr="00AA0D19">
          <w:rPr>
            <w:rStyle w:val="Hyperlink"/>
            <w:rFonts w:cs="Segoe UI"/>
          </w:rPr>
          <w:t>2022–2027 Strategic Agreement between the Commonwealth and Medicines Australia</w:t>
        </w:r>
      </w:hyperlink>
      <w:r w:rsidRPr="21B46DFB">
        <w:rPr>
          <w:rFonts w:cs="Segoe UI"/>
        </w:rPr>
        <w:t>.</w:t>
      </w:r>
    </w:p>
    <w:p w14:paraId="480B4E67" w14:textId="3976CC49" w:rsidR="0062538B" w:rsidRPr="006647C5" w:rsidRDefault="0062538B" w:rsidP="008C10BB">
      <w:pPr>
        <w:spacing w:after="120"/>
        <w:rPr>
          <w:rFonts w:cs="Segoe UI"/>
          <w:szCs w:val="20"/>
        </w:rPr>
      </w:pPr>
      <w:r w:rsidRPr="006647C5">
        <w:rPr>
          <w:rFonts w:cs="Segoe UI"/>
          <w:szCs w:val="20"/>
        </w:rPr>
        <w:t xml:space="preserve">The commitment was made in recognition of the shared goals between the Commonwealth and Medicines Australia to: </w:t>
      </w:r>
    </w:p>
    <w:p w14:paraId="74CB95BD" w14:textId="77777777" w:rsidR="0062538B" w:rsidRPr="006647C5" w:rsidRDefault="0062538B" w:rsidP="008505D7">
      <w:pPr>
        <w:pStyle w:val="ListParagraph"/>
        <w:numPr>
          <w:ilvl w:val="0"/>
          <w:numId w:val="143"/>
        </w:numPr>
        <w:spacing w:after="120"/>
        <w:rPr>
          <w:rFonts w:cs="Segoe UI"/>
          <w:szCs w:val="20"/>
        </w:rPr>
      </w:pPr>
      <w:r w:rsidRPr="006647C5">
        <w:rPr>
          <w:rFonts w:cs="Segoe UI"/>
          <w:szCs w:val="20"/>
        </w:rPr>
        <w:t>reduce the time for Australians to access new health technologies,</w:t>
      </w:r>
    </w:p>
    <w:p w14:paraId="413C6913" w14:textId="77777777" w:rsidR="0062538B" w:rsidRPr="006647C5" w:rsidRDefault="0062538B" w:rsidP="008505D7">
      <w:pPr>
        <w:pStyle w:val="ListParagraph"/>
        <w:numPr>
          <w:ilvl w:val="0"/>
          <w:numId w:val="143"/>
        </w:numPr>
        <w:spacing w:after="120"/>
        <w:rPr>
          <w:rFonts w:cs="Segoe UI"/>
          <w:szCs w:val="20"/>
        </w:rPr>
      </w:pPr>
      <w:r w:rsidRPr="006647C5">
        <w:rPr>
          <w:rFonts w:cs="Segoe UI"/>
          <w:szCs w:val="20"/>
        </w:rPr>
        <w:t xml:space="preserve">ensure Australia remains an attractive country for new health technologies to be launched, and </w:t>
      </w:r>
    </w:p>
    <w:p w14:paraId="6B1FFE02" w14:textId="38703D29" w:rsidR="0062538B" w:rsidRPr="006647C5" w:rsidRDefault="0062538B" w:rsidP="008505D7">
      <w:pPr>
        <w:pStyle w:val="ListParagraph"/>
        <w:numPr>
          <w:ilvl w:val="0"/>
          <w:numId w:val="143"/>
        </w:numPr>
        <w:spacing w:after="120"/>
        <w:rPr>
          <w:rFonts w:cs="Segoe UI"/>
          <w:szCs w:val="20"/>
        </w:rPr>
      </w:pPr>
      <w:r w:rsidRPr="006647C5">
        <w:rPr>
          <w:rFonts w:cs="Segoe UI"/>
          <w:szCs w:val="20"/>
        </w:rPr>
        <w:t>build on Australia’s status as a world leader in providing access to affordable healthcare.</w:t>
      </w:r>
    </w:p>
    <w:p w14:paraId="203FFC45" w14:textId="7416D420" w:rsidR="0062538B" w:rsidRPr="006647C5" w:rsidRDefault="0062538B" w:rsidP="00655CF9">
      <w:pPr>
        <w:spacing w:after="120"/>
        <w:rPr>
          <w:rFonts w:cs="Segoe UI"/>
          <w:szCs w:val="20"/>
        </w:rPr>
      </w:pPr>
      <w:r w:rsidRPr="006647C5">
        <w:rPr>
          <w:rFonts w:cs="Segoe UI"/>
          <w:szCs w:val="20"/>
        </w:rPr>
        <w:lastRenderedPageBreak/>
        <w:t xml:space="preserve">The aim is to achieve these goals by ensuring Australia’s assessment processes keep pace with rapid advances in health technology and that barriers to access are minimised. </w:t>
      </w:r>
    </w:p>
    <w:p w14:paraId="71AF7F61" w14:textId="2AD4CC02" w:rsidR="0062538B" w:rsidRPr="006647C5" w:rsidRDefault="0062538B" w:rsidP="008C10BB">
      <w:pPr>
        <w:spacing w:after="120"/>
        <w:rPr>
          <w:rFonts w:cs="Segoe UI"/>
          <w:szCs w:val="20"/>
        </w:rPr>
      </w:pPr>
      <w:r w:rsidRPr="006647C5">
        <w:rPr>
          <w:rFonts w:cs="Segoe UI"/>
          <w:szCs w:val="20"/>
        </w:rPr>
        <w:t xml:space="preserve">A Reference Committee, which includes an independent Chair, was established to: </w:t>
      </w:r>
    </w:p>
    <w:p w14:paraId="74B6ACF6" w14:textId="77777777" w:rsidR="0062538B" w:rsidRPr="006647C5" w:rsidRDefault="0062538B" w:rsidP="008505D7">
      <w:pPr>
        <w:pStyle w:val="ListParagraph"/>
        <w:numPr>
          <w:ilvl w:val="0"/>
          <w:numId w:val="144"/>
        </w:numPr>
        <w:spacing w:after="120"/>
        <w:rPr>
          <w:rFonts w:cs="Segoe UI"/>
          <w:szCs w:val="20"/>
        </w:rPr>
      </w:pPr>
      <w:r w:rsidRPr="006647C5">
        <w:rPr>
          <w:rFonts w:cs="Segoe UI"/>
          <w:szCs w:val="20"/>
        </w:rPr>
        <w:t>develop terms of reference for the review</w:t>
      </w:r>
    </w:p>
    <w:p w14:paraId="1F165BF8" w14:textId="2A932CB7" w:rsidR="0062538B" w:rsidRPr="006647C5" w:rsidRDefault="0062538B" w:rsidP="008505D7">
      <w:pPr>
        <w:pStyle w:val="ListParagraph"/>
        <w:numPr>
          <w:ilvl w:val="0"/>
          <w:numId w:val="144"/>
        </w:numPr>
        <w:spacing w:after="120"/>
        <w:rPr>
          <w:rFonts w:cs="Segoe UI"/>
          <w:szCs w:val="20"/>
        </w:rPr>
      </w:pPr>
      <w:r w:rsidRPr="006647C5">
        <w:rPr>
          <w:rFonts w:cs="Segoe UI"/>
          <w:szCs w:val="20"/>
        </w:rPr>
        <w:t xml:space="preserve">agree to an expert in HTA to undertake an analysis of current methods used by the PBAC, contemporary research and relevant methodologies and purchasing practices used by comparable </w:t>
      </w:r>
      <w:proofErr w:type="gramStart"/>
      <w:r w:rsidRPr="006647C5">
        <w:rPr>
          <w:rFonts w:cs="Segoe UI"/>
          <w:szCs w:val="20"/>
        </w:rPr>
        <w:t>countries</w:t>
      </w:r>
      <w:proofErr w:type="gramEnd"/>
    </w:p>
    <w:p w14:paraId="37D303A6" w14:textId="77777777" w:rsidR="0062538B" w:rsidRPr="006647C5" w:rsidRDefault="0062538B" w:rsidP="008505D7">
      <w:pPr>
        <w:pStyle w:val="ListParagraph"/>
        <w:numPr>
          <w:ilvl w:val="0"/>
          <w:numId w:val="144"/>
        </w:numPr>
        <w:spacing w:after="120"/>
        <w:rPr>
          <w:rFonts w:cs="Segoe UI"/>
          <w:szCs w:val="20"/>
        </w:rPr>
      </w:pPr>
      <w:r w:rsidRPr="006647C5">
        <w:rPr>
          <w:rFonts w:cs="Segoe UI"/>
          <w:szCs w:val="20"/>
        </w:rPr>
        <w:t>oversee public consultations and the analysis conducted by the expert,</w:t>
      </w:r>
    </w:p>
    <w:p w14:paraId="353FC6E1" w14:textId="7FC5C4A4" w:rsidR="0062538B" w:rsidRPr="006647C5" w:rsidRDefault="0062538B" w:rsidP="008505D7">
      <w:pPr>
        <w:pStyle w:val="ListParagraph"/>
        <w:numPr>
          <w:ilvl w:val="0"/>
          <w:numId w:val="144"/>
        </w:numPr>
        <w:spacing w:after="120"/>
        <w:rPr>
          <w:rFonts w:cs="Segoe UI"/>
          <w:szCs w:val="20"/>
        </w:rPr>
      </w:pPr>
      <w:r w:rsidRPr="006647C5">
        <w:rPr>
          <w:rFonts w:cs="Segoe UI"/>
          <w:szCs w:val="20"/>
        </w:rPr>
        <w:t>consider submissions to the HTA Review</w:t>
      </w:r>
      <w:r w:rsidR="0064595F">
        <w:rPr>
          <w:rFonts w:cs="Segoe UI"/>
          <w:szCs w:val="20"/>
        </w:rPr>
        <w:t>, and</w:t>
      </w:r>
    </w:p>
    <w:p w14:paraId="492845A6" w14:textId="328A8B16" w:rsidR="0062538B" w:rsidRPr="006647C5" w:rsidRDefault="0062538B" w:rsidP="008505D7">
      <w:pPr>
        <w:pStyle w:val="ListParagraph"/>
        <w:numPr>
          <w:ilvl w:val="0"/>
          <w:numId w:val="144"/>
        </w:numPr>
        <w:spacing w:after="120"/>
        <w:rPr>
          <w:rFonts w:cs="Segoe UI"/>
          <w:szCs w:val="20"/>
        </w:rPr>
      </w:pPr>
      <w:r w:rsidRPr="006647C5">
        <w:rPr>
          <w:rFonts w:cs="Segoe UI"/>
          <w:szCs w:val="20"/>
        </w:rPr>
        <w:t>prepare and deliver a final report and recommendations to the PBAC and the Commonwealth.</w:t>
      </w:r>
    </w:p>
    <w:p w14:paraId="336AD3E3" w14:textId="0E3DAF60" w:rsidR="002000F2" w:rsidRPr="006647C5" w:rsidRDefault="002000F2" w:rsidP="001C5DDA">
      <w:pPr>
        <w:pStyle w:val="Heading3"/>
      </w:pPr>
      <w:bookmarkStart w:id="79" w:name="_Toc157029040"/>
      <w:r w:rsidRPr="006647C5">
        <w:t>The Standing Committee Inquiry into approval processes for new drugs and novel medical technologies in Australia</w:t>
      </w:r>
      <w:r w:rsidR="0012551A">
        <w:t xml:space="preserve"> (the Inquiry)</w:t>
      </w:r>
      <w:bookmarkEnd w:id="79"/>
    </w:p>
    <w:p w14:paraId="32B66364" w14:textId="51075497" w:rsidR="00821BDA" w:rsidRDefault="001A30C8" w:rsidP="001A30C8">
      <w:pPr>
        <w:rPr>
          <w:rFonts w:cs="Segoe UI"/>
        </w:rPr>
      </w:pPr>
      <w:r w:rsidRPr="006647C5">
        <w:t>The Standing Committee Inquiry into approval processes for new drugs and novel medical technologies in Australia</w:t>
      </w:r>
      <w:r>
        <w:t xml:space="preserve"> (</w:t>
      </w:r>
      <w:hyperlink r:id="rId100" w:history="1">
        <w:r w:rsidRPr="00BC623C">
          <w:rPr>
            <w:rStyle w:val="Hyperlink"/>
          </w:rPr>
          <w:t>the Inquiry</w:t>
        </w:r>
      </w:hyperlink>
      <w:r>
        <w:t>)</w:t>
      </w:r>
      <w:r w:rsidR="00C16AB5">
        <w:fldChar w:fldCharType="begin"/>
      </w:r>
      <w:r w:rsidR="00C16AB5">
        <w:fldChar w:fldCharType="separate"/>
      </w:r>
      <w:r w:rsidR="0012551A">
        <w:rPr>
          <w:rStyle w:val="Hyperlink"/>
          <w:i/>
          <w:iCs/>
        </w:rPr>
        <w:t>T</w:t>
      </w:r>
      <w:r w:rsidR="0012551A" w:rsidRPr="00DD2776">
        <w:rPr>
          <w:rStyle w:val="Hyperlink"/>
          <w:i/>
          <w:iCs/>
        </w:rPr>
        <w:t>he Inquiry</w:t>
      </w:r>
      <w:r w:rsidR="00C16AB5">
        <w:rPr>
          <w:rStyle w:val="Hyperlink"/>
          <w:rFonts w:ascii="Arial" w:eastAsia="Times New Roman" w:hAnsi="Arial"/>
          <w:i/>
          <w:sz w:val="16"/>
          <w:szCs w:val="16"/>
        </w:rPr>
        <w:fldChar w:fldCharType="end"/>
      </w:r>
      <w:r w:rsidR="0012551A">
        <w:rPr>
          <w:i/>
          <w:iCs/>
        </w:rPr>
        <w:t xml:space="preserve"> </w:t>
      </w:r>
      <w:r w:rsidR="002000F2" w:rsidRPr="006647C5">
        <w:rPr>
          <w:rFonts w:cs="Segoe UI"/>
        </w:rPr>
        <w:t xml:space="preserve">identified several areas for improvement and set a direction for reform to how Australians access health technologies including HTA. </w:t>
      </w:r>
    </w:p>
    <w:p w14:paraId="74504FF4" w14:textId="77777777" w:rsidR="008B23CD" w:rsidRDefault="002000F2" w:rsidP="008C10BB">
      <w:pPr>
        <w:spacing w:after="120"/>
        <w:rPr>
          <w:rFonts w:cs="Segoe UI"/>
        </w:rPr>
      </w:pPr>
      <w:r w:rsidRPr="006647C5">
        <w:rPr>
          <w:rFonts w:cs="Segoe UI"/>
        </w:rPr>
        <w:t>The Standing Committee did not consider several aspects of HTA policy and methods in depth, noting that they were too technical to be considered properly in</w:t>
      </w:r>
      <w:r w:rsidR="00955EEF">
        <w:rPr>
          <w:rFonts w:cs="Segoe UI"/>
        </w:rPr>
        <w:t xml:space="preserve"> </w:t>
      </w:r>
      <w:r w:rsidR="00A4166B">
        <w:rPr>
          <w:rFonts w:cs="Segoe UI"/>
        </w:rPr>
        <w:t>the Inquiry</w:t>
      </w:r>
      <w:r w:rsidRPr="006647C5">
        <w:rPr>
          <w:rFonts w:cs="Segoe UI"/>
        </w:rPr>
        <w:t xml:space="preserve">. The Standing Committee recommendations included that the HTA Review consider and develop reforms in several areas including: </w:t>
      </w:r>
    </w:p>
    <w:p w14:paraId="77472B28" w14:textId="4141340E" w:rsidR="008B23CD" w:rsidRDefault="002000F2" w:rsidP="008505D7">
      <w:pPr>
        <w:pStyle w:val="ListParagraph"/>
        <w:numPr>
          <w:ilvl w:val="0"/>
          <w:numId w:val="145"/>
        </w:numPr>
        <w:spacing w:after="120"/>
        <w:rPr>
          <w:rFonts w:cs="Segoe UI"/>
        </w:rPr>
      </w:pPr>
      <w:r w:rsidRPr="008B23CD">
        <w:rPr>
          <w:rFonts w:cs="Segoe UI"/>
        </w:rPr>
        <w:t>for treatments and therapies that do not fit neatly into existing pathways</w:t>
      </w:r>
    </w:p>
    <w:p w14:paraId="5ED620AC" w14:textId="7D76E4C9" w:rsidR="00745922" w:rsidRDefault="002000F2" w:rsidP="008505D7">
      <w:pPr>
        <w:pStyle w:val="ListParagraph"/>
        <w:numPr>
          <w:ilvl w:val="0"/>
          <w:numId w:val="145"/>
        </w:numPr>
        <w:spacing w:after="120"/>
        <w:rPr>
          <w:rFonts w:cs="Segoe UI"/>
        </w:rPr>
      </w:pPr>
      <w:r w:rsidRPr="008B23CD">
        <w:rPr>
          <w:rFonts w:cs="Segoe UI"/>
        </w:rPr>
        <w:t>cooperation between different HTA and regulatory bodies in Australia and overseas</w:t>
      </w:r>
      <w:r w:rsidR="00745922">
        <w:rPr>
          <w:rFonts w:cs="Segoe UI"/>
        </w:rPr>
        <w:t>,</w:t>
      </w:r>
      <w:r w:rsidRPr="008B23CD">
        <w:rPr>
          <w:rFonts w:cs="Segoe UI"/>
        </w:rPr>
        <w:t xml:space="preserve"> and with sponsors</w:t>
      </w:r>
    </w:p>
    <w:p w14:paraId="150A0FB1" w14:textId="5533DBD8" w:rsidR="009E7BF3" w:rsidRDefault="002000F2" w:rsidP="008505D7">
      <w:pPr>
        <w:pStyle w:val="ListParagraph"/>
        <w:numPr>
          <w:ilvl w:val="0"/>
          <w:numId w:val="145"/>
        </w:numPr>
        <w:spacing w:after="120"/>
        <w:rPr>
          <w:rFonts w:cs="Segoe UI"/>
        </w:rPr>
      </w:pPr>
      <w:r w:rsidRPr="008B23CD">
        <w:rPr>
          <w:rFonts w:cs="Segoe UI"/>
        </w:rPr>
        <w:t>inclusion of patients and clinicians at an early stage in evaluation of submissions</w:t>
      </w:r>
    </w:p>
    <w:p w14:paraId="6D7E2690" w14:textId="44E86B9D" w:rsidR="008021C9" w:rsidRDefault="002000F2" w:rsidP="008505D7">
      <w:pPr>
        <w:pStyle w:val="ListParagraph"/>
        <w:numPr>
          <w:ilvl w:val="0"/>
          <w:numId w:val="145"/>
        </w:numPr>
        <w:spacing w:after="120"/>
        <w:rPr>
          <w:rFonts w:cs="Segoe UI"/>
        </w:rPr>
      </w:pPr>
      <w:r w:rsidRPr="008B23CD">
        <w:rPr>
          <w:rFonts w:cs="Segoe UI"/>
        </w:rPr>
        <w:t xml:space="preserve">oversight and reporting on advisory committee </w:t>
      </w:r>
      <w:proofErr w:type="gramStart"/>
      <w:r w:rsidRPr="008B23CD">
        <w:rPr>
          <w:rFonts w:cs="Segoe UI"/>
        </w:rPr>
        <w:t>decision</w:t>
      </w:r>
      <w:r w:rsidR="00500680">
        <w:rPr>
          <w:rFonts w:cs="Segoe UI"/>
        </w:rPr>
        <w:t>-</w:t>
      </w:r>
      <w:r w:rsidRPr="008B23CD">
        <w:rPr>
          <w:rFonts w:cs="Segoe UI"/>
        </w:rPr>
        <w:t>making</w:t>
      </w:r>
      <w:proofErr w:type="gramEnd"/>
    </w:p>
    <w:p w14:paraId="7BE04CC9" w14:textId="23752E58" w:rsidR="008021C9" w:rsidRDefault="002000F2" w:rsidP="008505D7">
      <w:pPr>
        <w:pStyle w:val="ListParagraph"/>
        <w:numPr>
          <w:ilvl w:val="0"/>
          <w:numId w:val="145"/>
        </w:numPr>
        <w:spacing w:after="120"/>
        <w:rPr>
          <w:rFonts w:cs="Segoe UI"/>
        </w:rPr>
      </w:pPr>
      <w:r w:rsidRPr="008B23CD">
        <w:rPr>
          <w:rFonts w:cs="Segoe UI"/>
        </w:rPr>
        <w:t>use of observational evidence</w:t>
      </w:r>
    </w:p>
    <w:p w14:paraId="7BF880C6" w14:textId="4F7B0C8A" w:rsidR="008021C9" w:rsidRDefault="002000F2" w:rsidP="008505D7">
      <w:pPr>
        <w:pStyle w:val="ListParagraph"/>
        <w:numPr>
          <w:ilvl w:val="0"/>
          <w:numId w:val="145"/>
        </w:numPr>
        <w:spacing w:after="120"/>
        <w:rPr>
          <w:rFonts w:cs="Segoe UI"/>
        </w:rPr>
      </w:pPr>
      <w:r w:rsidRPr="008B23CD">
        <w:rPr>
          <w:rFonts w:cs="Segoe UI"/>
        </w:rPr>
        <w:t>selection of comparators</w:t>
      </w:r>
      <w:r w:rsidR="0064595F">
        <w:rPr>
          <w:rFonts w:cs="Segoe UI"/>
        </w:rPr>
        <w:t>, and</w:t>
      </w:r>
    </w:p>
    <w:p w14:paraId="7686C17D" w14:textId="5E022EDE" w:rsidR="00176825" w:rsidRDefault="002000F2" w:rsidP="008505D7">
      <w:pPr>
        <w:pStyle w:val="ListParagraph"/>
        <w:numPr>
          <w:ilvl w:val="0"/>
          <w:numId w:val="145"/>
        </w:numPr>
        <w:spacing w:after="120"/>
        <w:rPr>
          <w:rFonts w:cs="Segoe UI"/>
        </w:rPr>
      </w:pPr>
      <w:r w:rsidRPr="008B23CD">
        <w:rPr>
          <w:rFonts w:cs="Segoe UI"/>
        </w:rPr>
        <w:t>earlier access</w:t>
      </w:r>
      <w:r w:rsidR="00176825">
        <w:rPr>
          <w:rFonts w:cs="Segoe UI"/>
        </w:rPr>
        <w:t>,</w:t>
      </w:r>
      <w:r w:rsidRPr="008B23CD">
        <w:rPr>
          <w:rFonts w:cs="Segoe UI"/>
        </w:rPr>
        <w:t xml:space="preserve"> including through reduced resubmissions and increased use of </w:t>
      </w:r>
      <w:r w:rsidR="001F369A" w:rsidRPr="008B23CD">
        <w:rPr>
          <w:rFonts w:cs="Segoe UI"/>
        </w:rPr>
        <w:t>Managed Access Programs</w:t>
      </w:r>
      <w:r w:rsidR="00DF56A6">
        <w:rPr>
          <w:rFonts w:cs="Segoe UI"/>
        </w:rPr>
        <w:t xml:space="preserve"> (MAPs)</w:t>
      </w:r>
      <w:r w:rsidRPr="008B23CD">
        <w:rPr>
          <w:rFonts w:cs="Segoe UI"/>
        </w:rPr>
        <w:t xml:space="preserve">. </w:t>
      </w:r>
    </w:p>
    <w:p w14:paraId="0B6CA980" w14:textId="59D982E1" w:rsidR="002000F2" w:rsidRPr="00176825" w:rsidRDefault="002000F2" w:rsidP="008C10BB">
      <w:pPr>
        <w:spacing w:after="120"/>
        <w:rPr>
          <w:rFonts w:cs="Segoe UI"/>
        </w:rPr>
      </w:pPr>
      <w:r w:rsidRPr="00176825">
        <w:rPr>
          <w:rFonts w:cs="Segoe UI"/>
        </w:rPr>
        <w:t>The HTA Review will address the issues identified in the Inquiry, and the recommendations of the Standing Committee</w:t>
      </w:r>
      <w:r w:rsidR="00BE73A7">
        <w:rPr>
          <w:rFonts w:cs="Segoe UI"/>
        </w:rPr>
        <w:t xml:space="preserve">, where they were agreed in principle by the Government, </w:t>
      </w:r>
      <w:r w:rsidRPr="00176825">
        <w:rPr>
          <w:rFonts w:cs="Segoe UI"/>
        </w:rPr>
        <w:t>while also recognising that there are several HTA reform processes that are being undertaken in parallel to the HTA Review</w:t>
      </w:r>
      <w:r w:rsidR="00BE73A7">
        <w:rPr>
          <w:rFonts w:cs="Segoe UI"/>
        </w:rPr>
        <w:t>.</w:t>
      </w:r>
    </w:p>
    <w:p w14:paraId="25EAA695" w14:textId="712174C2" w:rsidR="000E1DBD" w:rsidRPr="006647C5" w:rsidRDefault="000E1DBD" w:rsidP="004550C0">
      <w:pPr>
        <w:pStyle w:val="Heading3"/>
        <w:keepNext/>
        <w:keepLines/>
      </w:pPr>
      <w:bookmarkStart w:id="80" w:name="_Toc157029041"/>
      <w:r w:rsidRPr="006647C5">
        <w:lastRenderedPageBreak/>
        <w:t xml:space="preserve">Review of </w:t>
      </w:r>
      <w:r w:rsidR="0BFEB264">
        <w:t>NMP</w:t>
      </w:r>
      <w:bookmarkEnd w:id="80"/>
    </w:p>
    <w:p w14:paraId="3728C7A9" w14:textId="20CC1AD7" w:rsidR="0090395A" w:rsidRPr="006647C5" w:rsidRDefault="0090395A" w:rsidP="008C10BB">
      <w:pPr>
        <w:keepNext/>
        <w:keepLines/>
        <w:spacing w:after="120"/>
        <w:rPr>
          <w:rFonts w:cs="Segoe UI"/>
        </w:rPr>
      </w:pPr>
      <w:r w:rsidRPr="006647C5">
        <w:rPr>
          <w:rFonts w:cs="Segoe UI"/>
        </w:rPr>
        <w:t xml:space="preserve">The </w:t>
      </w:r>
      <w:r w:rsidR="002C45A3">
        <w:rPr>
          <w:rFonts w:cs="Segoe UI"/>
        </w:rPr>
        <w:t>(NMP)</w:t>
      </w:r>
      <w:r w:rsidRPr="006647C5">
        <w:rPr>
          <w:rFonts w:cs="Segoe UI"/>
        </w:rPr>
        <w:t xml:space="preserve"> was first published in 2000. During 2021 and 2022</w:t>
      </w:r>
      <w:r w:rsidR="00B32E8E">
        <w:rPr>
          <w:rFonts w:cs="Segoe UI"/>
        </w:rPr>
        <w:t>,</w:t>
      </w:r>
      <w:r w:rsidRPr="006647C5">
        <w:rPr>
          <w:rFonts w:cs="Segoe UI"/>
        </w:rPr>
        <w:t xml:space="preserve"> the Department of Health and Aged Care </w:t>
      </w:r>
      <w:r w:rsidR="00B16108">
        <w:rPr>
          <w:rFonts w:cs="Segoe UI"/>
        </w:rPr>
        <w:t>(Department)</w:t>
      </w:r>
      <w:r w:rsidRPr="006647C5">
        <w:rPr>
          <w:rFonts w:cs="Segoe UI"/>
        </w:rPr>
        <w:t xml:space="preserve"> conducted a review process that included extensive public consultations. A refreshed </w:t>
      </w:r>
      <w:r w:rsidR="003C5EA7">
        <w:rPr>
          <w:rFonts w:cs="Segoe UI"/>
        </w:rPr>
        <w:t>NMP</w:t>
      </w:r>
      <w:r w:rsidRPr="006647C5">
        <w:rPr>
          <w:rFonts w:cs="Segoe UI"/>
        </w:rPr>
        <w:t xml:space="preserve"> was delivered to the </w:t>
      </w:r>
      <w:r w:rsidR="00A72278">
        <w:rPr>
          <w:rFonts w:cs="Segoe UI"/>
        </w:rPr>
        <w:t>Australian</w:t>
      </w:r>
      <w:r w:rsidRPr="006647C5">
        <w:rPr>
          <w:rFonts w:cs="Segoe UI"/>
        </w:rPr>
        <w:t xml:space="preserve"> Government in December 2022 and a </w:t>
      </w:r>
      <w:hyperlink r:id="rId101" w:history="1">
        <w:r w:rsidRPr="002C45A3">
          <w:rPr>
            <w:rStyle w:val="Hyperlink"/>
            <w:rFonts w:cs="Segoe UI"/>
          </w:rPr>
          <w:t>Final Consultation Report</w:t>
        </w:r>
      </w:hyperlink>
      <w:r w:rsidRPr="006647C5">
        <w:rPr>
          <w:rFonts w:cs="Segoe UI"/>
        </w:rPr>
        <w:t xml:space="preserve"> is also available. This review recommended new directions for </w:t>
      </w:r>
      <w:r w:rsidR="305766DC" w:rsidRPr="19E0D270">
        <w:rPr>
          <w:rFonts w:cs="Segoe UI"/>
        </w:rPr>
        <w:t>HTAs</w:t>
      </w:r>
      <w:r w:rsidRPr="006647C5">
        <w:rPr>
          <w:rFonts w:cs="Segoe UI"/>
        </w:rPr>
        <w:t xml:space="preserve"> in Australia to support better healthcare and reduce regulatory costs. It proposes a policy framework for HTA processes for market entry and reimbursement in Australia, including a vision, goal, </w:t>
      </w:r>
      <w:proofErr w:type="gramStart"/>
      <w:r w:rsidRPr="006647C5">
        <w:rPr>
          <w:rFonts w:cs="Segoe UI"/>
        </w:rPr>
        <w:t>objectives</w:t>
      </w:r>
      <w:proofErr w:type="gramEnd"/>
      <w:r w:rsidRPr="006647C5">
        <w:rPr>
          <w:rFonts w:cs="Segoe UI"/>
        </w:rPr>
        <w:t xml:space="preserve"> and principles.</w:t>
      </w:r>
    </w:p>
    <w:p w14:paraId="0227CB4C" w14:textId="577644B8" w:rsidR="000E1DBD" w:rsidRDefault="006647C5" w:rsidP="001C5DDA">
      <w:pPr>
        <w:pStyle w:val="Heading3"/>
      </w:pPr>
      <w:bookmarkStart w:id="81" w:name="_Toc157029042"/>
      <w:r>
        <w:t>P</w:t>
      </w:r>
      <w:r w:rsidR="000E1DBD" w:rsidRPr="006647C5">
        <w:t>atient engagement co-design work</w:t>
      </w:r>
      <w:r w:rsidR="1198E8F8">
        <w:t xml:space="preserve"> – Consumer Evidence and Engagement Unit</w:t>
      </w:r>
      <w:r w:rsidR="003F275D">
        <w:t xml:space="preserve"> (CEEU)</w:t>
      </w:r>
      <w:bookmarkEnd w:id="81"/>
    </w:p>
    <w:p w14:paraId="30ED2B79" w14:textId="0A9E1E64" w:rsidR="00206B1F" w:rsidRDefault="00206B1F" w:rsidP="00206B1F">
      <w:pPr>
        <w:pStyle w:val="NormalWeb"/>
        <w:spacing w:before="0" w:beforeAutospacing="0" w:after="160" w:afterAutospacing="0" w:line="259" w:lineRule="auto"/>
        <w:rPr>
          <w:rFonts w:ascii="Segoe UI" w:hAnsi="Segoe UI" w:cs="Segoe UI"/>
        </w:rPr>
      </w:pPr>
      <w:r>
        <w:rPr>
          <w:rFonts w:ascii="Segoe UI" w:hAnsi="Segoe UI" w:cs="Segoe UI"/>
        </w:rPr>
        <w:t>A key objective of the CEEU is to expand opportunities for consumers to participate in health technology assessment, thereby enhancing the quality and value of consumer input into HTA processes and decision</w:t>
      </w:r>
      <w:r w:rsidR="002C3093">
        <w:rPr>
          <w:rFonts w:ascii="Segoe UI" w:hAnsi="Segoe UI" w:cs="Segoe UI"/>
        </w:rPr>
        <w:t>-</w:t>
      </w:r>
      <w:r>
        <w:rPr>
          <w:rFonts w:ascii="Segoe UI" w:hAnsi="Segoe UI" w:cs="Segoe UI"/>
        </w:rPr>
        <w:t xml:space="preserve">making. This work will be informed by the </w:t>
      </w:r>
      <w:hyperlink r:id="rId102" w:history="1">
        <w:r w:rsidRPr="006D3781">
          <w:rPr>
            <w:rStyle w:val="Hyperlink"/>
            <w:rFonts w:ascii="Segoe UI" w:hAnsi="Segoe UI" w:cs="Segoe UI"/>
            <w:i/>
          </w:rPr>
          <w:t>Conversations for Change</w:t>
        </w:r>
        <w:r w:rsidRPr="006D3781">
          <w:rPr>
            <w:rStyle w:val="Hyperlink"/>
            <w:rFonts w:ascii="Segoe UI" w:hAnsi="Segoe UI" w:cs="Segoe UI"/>
          </w:rPr>
          <w:t xml:space="preserve"> Report (2023)</w:t>
        </w:r>
      </w:hyperlink>
      <w:r>
        <w:rPr>
          <w:rFonts w:ascii="Segoe UI" w:hAnsi="Segoe UI" w:cs="Segoe UI"/>
        </w:rPr>
        <w:t>, including a focus on improving communication</w:t>
      </w:r>
      <w:r w:rsidR="00570001">
        <w:rPr>
          <w:rFonts w:ascii="Segoe UI" w:hAnsi="Segoe UI" w:cs="Segoe UI"/>
        </w:rPr>
        <w:fldChar w:fldCharType="begin"/>
      </w:r>
      <w:r w:rsidR="00570001">
        <w:instrText xml:space="preserve"> XE "</w:instrText>
      </w:r>
      <w:r w:rsidR="00570001" w:rsidRPr="00E61E42">
        <w:instrText>communication</w:instrText>
      </w:r>
      <w:r w:rsidR="00570001">
        <w:instrText xml:space="preserve">" \b </w:instrText>
      </w:r>
      <w:r w:rsidR="00570001">
        <w:rPr>
          <w:rFonts w:ascii="Segoe UI" w:hAnsi="Segoe UI" w:cs="Segoe UI"/>
        </w:rPr>
        <w:fldChar w:fldCharType="end"/>
      </w:r>
      <w:r>
        <w:rPr>
          <w:rFonts w:ascii="Segoe UI" w:hAnsi="Segoe UI" w:cs="Segoe UI"/>
        </w:rPr>
        <w:t xml:space="preserve"> and transparency</w:t>
      </w:r>
      <w:r w:rsidR="002A0D74">
        <w:rPr>
          <w:rFonts w:ascii="Segoe UI" w:hAnsi="Segoe UI" w:cs="Segoe UI"/>
        </w:rPr>
        <w:fldChar w:fldCharType="begin"/>
      </w:r>
      <w:r w:rsidR="002A0D74">
        <w:instrText xml:space="preserve"> XE "</w:instrText>
      </w:r>
      <w:r w:rsidR="002A0D74" w:rsidRPr="005B2802">
        <w:instrText>transparency</w:instrText>
      </w:r>
      <w:r w:rsidR="002A0D74">
        <w:instrText xml:space="preserve">" </w:instrText>
      </w:r>
      <w:r w:rsidR="002A0D74">
        <w:rPr>
          <w:rFonts w:ascii="Segoe UI" w:hAnsi="Segoe UI" w:cs="Segoe UI"/>
        </w:rPr>
        <w:fldChar w:fldCharType="end"/>
      </w:r>
      <w:r>
        <w:rPr>
          <w:rFonts w:ascii="Segoe UI" w:hAnsi="Segoe UI" w:cs="Segoe UI"/>
        </w:rPr>
        <w:t>, and developing guidance and capacity to support consumer engagement</w:t>
      </w:r>
      <w:r w:rsidR="001958F5">
        <w:rPr>
          <w:rFonts w:ascii="Segoe UI" w:hAnsi="Segoe UI" w:cs="Segoe UI"/>
        </w:rPr>
        <w:fldChar w:fldCharType="begin"/>
      </w:r>
      <w:r w:rsidR="001958F5">
        <w:instrText xml:space="preserve"> XE "</w:instrText>
      </w:r>
      <w:r w:rsidR="001958F5" w:rsidRPr="002D7ECA">
        <w:rPr>
          <w:rStyle w:val="cf01"/>
          <w:sz w:val="20"/>
          <w:szCs w:val="20"/>
        </w:rPr>
        <w:instrText>consumer engagement</w:instrText>
      </w:r>
      <w:r w:rsidR="001958F5">
        <w:instrText xml:space="preserve">" \b </w:instrText>
      </w:r>
      <w:r w:rsidR="001958F5">
        <w:rPr>
          <w:rFonts w:ascii="Segoe UI" w:hAnsi="Segoe UI" w:cs="Segoe UI"/>
        </w:rPr>
        <w:fldChar w:fldCharType="end"/>
      </w:r>
      <w:r>
        <w:rPr>
          <w:rFonts w:ascii="Segoe UI" w:hAnsi="Segoe UI" w:cs="Segoe UI"/>
        </w:rPr>
        <w:t xml:space="preserve"> in HTA</w:t>
      </w:r>
      <w:r w:rsidR="00412293">
        <w:rPr>
          <w:rFonts w:ascii="Segoe UI" w:hAnsi="Segoe UI" w:cs="Segoe UI"/>
        </w:rPr>
        <w:t>s</w:t>
      </w:r>
      <w:r>
        <w:rPr>
          <w:rFonts w:ascii="Segoe UI" w:hAnsi="Segoe UI" w:cs="Segoe UI"/>
        </w:rPr>
        <w:t xml:space="preserve">. </w:t>
      </w:r>
    </w:p>
    <w:p w14:paraId="084621BD" w14:textId="7C09213B" w:rsidR="00206B1F" w:rsidRDefault="00206B1F" w:rsidP="00206B1F">
      <w:pPr>
        <w:pStyle w:val="NormalWeb"/>
        <w:spacing w:before="0" w:beforeAutospacing="0" w:after="160" w:afterAutospacing="0" w:line="259" w:lineRule="auto"/>
        <w:rPr>
          <w:rFonts w:ascii="Segoe UI" w:hAnsi="Segoe UI" w:cs="Segoe UI"/>
        </w:rPr>
      </w:pPr>
      <w:r>
        <w:rPr>
          <w:rFonts w:ascii="Segoe UI" w:hAnsi="Segoe UI" w:cs="Segoe UI"/>
        </w:rPr>
        <w:t xml:space="preserve">Additionally, the CEEU has responsibility </w:t>
      </w:r>
      <w:r w:rsidR="002C17D2">
        <w:rPr>
          <w:rFonts w:ascii="Segoe UI" w:hAnsi="Segoe UI" w:cs="Segoe UI"/>
        </w:rPr>
        <w:t xml:space="preserve">for </w:t>
      </w:r>
      <w:r>
        <w:rPr>
          <w:rFonts w:ascii="Segoe UI" w:hAnsi="Segoe UI" w:cs="Segoe UI"/>
        </w:rPr>
        <w:t xml:space="preserve">the </w:t>
      </w:r>
      <w:hyperlink r:id="rId103" w:history="1">
        <w:r w:rsidRPr="007F087F">
          <w:rPr>
            <w:rStyle w:val="Hyperlink"/>
            <w:rFonts w:ascii="Segoe UI" w:hAnsi="Segoe UI" w:cs="Segoe UI"/>
          </w:rPr>
          <w:t>Enhanced Consumer Engagement Process</w:t>
        </w:r>
      </w:hyperlink>
      <w:r>
        <w:rPr>
          <w:rFonts w:ascii="Segoe UI" w:hAnsi="Segoe UI" w:cs="Segoe UI"/>
        </w:rPr>
        <w:t xml:space="preserve">, an element of the </w:t>
      </w:r>
      <w:hyperlink r:id="rId104" w:history="1">
        <w:r w:rsidRPr="003E2848">
          <w:rPr>
            <w:rStyle w:val="Hyperlink"/>
            <w:rFonts w:ascii="Segoe UI" w:hAnsi="Segoe UI" w:cs="Segoe UI"/>
          </w:rPr>
          <w:t>2022</w:t>
        </w:r>
        <w:r w:rsidR="00A758A5" w:rsidRPr="003E2848">
          <w:rPr>
            <w:rStyle w:val="Hyperlink"/>
            <w:rFonts w:ascii="Segoe UI" w:hAnsi="Segoe UI" w:cs="Segoe UI"/>
          </w:rPr>
          <w:t>–</w:t>
        </w:r>
        <w:r w:rsidRPr="003E2848">
          <w:rPr>
            <w:rStyle w:val="Hyperlink"/>
            <w:rFonts w:ascii="Segoe UI" w:hAnsi="Segoe UI" w:cs="Segoe UI"/>
          </w:rPr>
          <w:t>2027 Strategic Agreement between the Commonwealth and Medicines Australia</w:t>
        </w:r>
      </w:hyperlink>
      <w:r>
        <w:rPr>
          <w:rFonts w:ascii="Segoe UI" w:hAnsi="Segoe UI" w:cs="Segoe UI"/>
        </w:rPr>
        <w:t xml:space="preserve">. This work is being progressed via a consumer-led co-design process informed by consumer, </w:t>
      </w:r>
      <w:r w:rsidR="00057F05">
        <w:rPr>
          <w:rFonts w:ascii="Segoe UI" w:hAnsi="Segoe UI" w:cs="Segoe UI"/>
        </w:rPr>
        <w:t>D</w:t>
      </w:r>
      <w:r>
        <w:rPr>
          <w:rFonts w:ascii="Segoe UI" w:hAnsi="Segoe UI" w:cs="Segoe UI"/>
        </w:rPr>
        <w:t xml:space="preserve">epartment and </w:t>
      </w:r>
      <w:r w:rsidR="00E34DFE">
        <w:rPr>
          <w:rFonts w:ascii="Segoe UI" w:hAnsi="Segoe UI" w:cs="Segoe UI"/>
        </w:rPr>
        <w:t>i</w:t>
      </w:r>
      <w:r>
        <w:rPr>
          <w:rFonts w:ascii="Segoe UI" w:hAnsi="Segoe UI" w:cs="Segoe UI"/>
        </w:rPr>
        <w:t>ndustry representatives and other stakeholders. Recommendations from this process will be provided to the Minister for Health and Aged Care, for consideration.</w:t>
      </w:r>
    </w:p>
    <w:p w14:paraId="05BC8CB7" w14:textId="77777777" w:rsidR="000E1DBD" w:rsidRPr="006647C5" w:rsidRDefault="000E1DBD" w:rsidP="008C10BB">
      <w:pPr>
        <w:pStyle w:val="Heading2"/>
        <w:numPr>
          <w:ilvl w:val="0"/>
          <w:numId w:val="0"/>
        </w:numPr>
        <w:spacing w:line="259" w:lineRule="auto"/>
      </w:pPr>
      <w:bookmarkStart w:id="82" w:name="_Toc2022507170"/>
      <w:bookmarkStart w:id="83" w:name="_Toc157029043"/>
      <w:bookmarkStart w:id="84" w:name="_Toc157029482"/>
      <w:bookmarkStart w:id="85" w:name="_Toc157030174"/>
      <w:r w:rsidRPr="006647C5">
        <w:t>HTA Review Overview</w:t>
      </w:r>
      <w:bookmarkEnd w:id="82"/>
      <w:bookmarkEnd w:id="83"/>
      <w:bookmarkEnd w:id="84"/>
      <w:bookmarkEnd w:id="85"/>
      <w:r w:rsidRPr="006647C5">
        <w:t xml:space="preserve"> </w:t>
      </w:r>
    </w:p>
    <w:p w14:paraId="2D6F0E04" w14:textId="05C4A2E6" w:rsidR="000E1DBD" w:rsidRPr="006647C5" w:rsidRDefault="000E1DBD" w:rsidP="001C5DDA">
      <w:pPr>
        <w:pStyle w:val="Heading3"/>
      </w:pPr>
      <w:bookmarkStart w:id="86" w:name="_Toc157029044"/>
      <w:r w:rsidRPr="006647C5">
        <w:t xml:space="preserve">Terms of </w:t>
      </w:r>
      <w:r w:rsidR="00117848">
        <w:t>r</w:t>
      </w:r>
      <w:r w:rsidRPr="006647C5">
        <w:t>eference</w:t>
      </w:r>
      <w:bookmarkEnd w:id="86"/>
      <w:r w:rsidRPr="006647C5">
        <w:t xml:space="preserve"> </w:t>
      </w:r>
    </w:p>
    <w:p w14:paraId="24E8A7BC" w14:textId="4819F877" w:rsidR="002000F2" w:rsidRPr="006647C5" w:rsidRDefault="002000F2" w:rsidP="008C10BB">
      <w:pPr>
        <w:spacing w:after="120"/>
        <w:rPr>
          <w:rFonts w:cs="Segoe UI"/>
        </w:rPr>
      </w:pPr>
      <w:r w:rsidRPr="006647C5">
        <w:rPr>
          <w:rFonts w:cs="Segoe UI"/>
        </w:rPr>
        <w:t>The</w:t>
      </w:r>
      <w:r w:rsidR="00AB36DA">
        <w:rPr>
          <w:rFonts w:cs="Segoe UI"/>
        </w:rPr>
        <w:t xml:space="preserve"> </w:t>
      </w:r>
      <w:hyperlink r:id="rId105" w:history="1">
        <w:r w:rsidR="00117848" w:rsidRPr="00461791">
          <w:rPr>
            <w:rStyle w:val="Hyperlink"/>
          </w:rPr>
          <w:t>terms of reference</w:t>
        </w:r>
        <w:r w:rsidR="00C067AA" w:rsidRPr="00461791">
          <w:rPr>
            <w:rStyle w:val="Hyperlink"/>
          </w:rPr>
          <w:t xml:space="preserve"> </w:t>
        </w:r>
        <w:r w:rsidR="00C067AA" w:rsidRPr="00461791">
          <w:rPr>
            <w:rStyle w:val="Hyperlink"/>
            <w:rFonts w:cs="Segoe UI"/>
          </w:rPr>
          <w:t xml:space="preserve">for the </w:t>
        </w:r>
        <w:r w:rsidR="00AB36DA" w:rsidRPr="00461791">
          <w:rPr>
            <w:rStyle w:val="Hyperlink"/>
            <w:rFonts w:cs="Segoe UI"/>
          </w:rPr>
          <w:t xml:space="preserve">HTA </w:t>
        </w:r>
        <w:r w:rsidR="00C067AA" w:rsidRPr="00461791">
          <w:rPr>
            <w:rStyle w:val="Hyperlink"/>
            <w:rFonts w:cs="Segoe UI"/>
          </w:rPr>
          <w:t>Review</w:t>
        </w:r>
      </w:hyperlink>
      <w:r w:rsidRPr="006647C5">
        <w:rPr>
          <w:rFonts w:cs="Segoe UI"/>
        </w:rPr>
        <w:t xml:space="preserve"> </w:t>
      </w:r>
      <w:r w:rsidR="009E38C5">
        <w:rPr>
          <w:rFonts w:cs="Segoe UI"/>
        </w:rPr>
        <w:t>were published on 22 March 2023</w:t>
      </w:r>
      <w:r w:rsidR="00891BE1">
        <w:rPr>
          <w:rFonts w:cs="Segoe UI"/>
        </w:rPr>
        <w:t>,</w:t>
      </w:r>
      <w:r w:rsidR="00005EF5">
        <w:rPr>
          <w:rFonts w:cs="Segoe UI"/>
        </w:rPr>
        <w:t xml:space="preserve"> taking into account feedback from organisations representing patients, consumers, health technology companies, advisory bodies and state and territory governments</w:t>
      </w:r>
      <w:r w:rsidR="00FC6010">
        <w:rPr>
          <w:rFonts w:cs="Segoe UI"/>
        </w:rPr>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rPr>
          <w:rFonts w:cs="Segoe UI"/>
        </w:rPr>
        <w:fldChar w:fldCharType="end"/>
      </w:r>
      <w:r w:rsidR="00005EF5">
        <w:rPr>
          <w:rFonts w:cs="Segoe UI"/>
        </w:rPr>
        <w:t xml:space="preserve">. </w:t>
      </w:r>
    </w:p>
    <w:p w14:paraId="61460561" w14:textId="7288A085" w:rsidR="002000F2" w:rsidRPr="006647C5" w:rsidRDefault="002000F2" w:rsidP="008C10BB">
      <w:pPr>
        <w:spacing w:after="120"/>
        <w:rPr>
          <w:rFonts w:cs="Segoe UI"/>
        </w:rPr>
      </w:pPr>
      <w:r w:rsidRPr="006647C5">
        <w:rPr>
          <w:rFonts w:cs="Segoe UI"/>
        </w:rPr>
        <w:t xml:space="preserve">The </w:t>
      </w:r>
      <w:r w:rsidR="00117848">
        <w:t>terms of reference</w:t>
      </w:r>
      <w:r w:rsidRPr="006647C5">
        <w:rPr>
          <w:rFonts w:cs="Segoe UI"/>
        </w:rPr>
        <w:t xml:space="preserve"> include objectives relating to what the </w:t>
      </w:r>
      <w:r w:rsidR="00EF4B4B">
        <w:rPr>
          <w:rFonts w:cs="Segoe UI"/>
        </w:rPr>
        <w:t>HTA R</w:t>
      </w:r>
      <w:r w:rsidRPr="006647C5">
        <w:rPr>
          <w:rFonts w:cs="Segoe UI"/>
        </w:rPr>
        <w:t xml:space="preserve">eview will seek to identify, </w:t>
      </w:r>
      <w:r w:rsidR="001D24ED">
        <w:rPr>
          <w:rFonts w:cs="Segoe UI"/>
        </w:rPr>
        <w:t xml:space="preserve">as well as </w:t>
      </w:r>
      <w:r w:rsidR="00B376D8">
        <w:rPr>
          <w:rFonts w:cs="Segoe UI"/>
        </w:rPr>
        <w:t xml:space="preserve">objectives </w:t>
      </w:r>
      <w:r w:rsidRPr="006647C5">
        <w:rPr>
          <w:rFonts w:cs="Segoe UI"/>
        </w:rPr>
        <w:t xml:space="preserve">for the </w:t>
      </w:r>
      <w:r w:rsidR="00292D43">
        <w:rPr>
          <w:rFonts w:cs="Segoe UI"/>
        </w:rPr>
        <w:t>r</w:t>
      </w:r>
      <w:r w:rsidRPr="006647C5">
        <w:rPr>
          <w:rFonts w:cs="Segoe UI"/>
        </w:rPr>
        <w:t xml:space="preserve">ecommendations. </w:t>
      </w:r>
      <w:r w:rsidR="00732674">
        <w:rPr>
          <w:rFonts w:cs="Segoe UI"/>
        </w:rPr>
        <w:t>including</w:t>
      </w:r>
      <w:r w:rsidR="00B376D8">
        <w:rPr>
          <w:rFonts w:cs="Segoe UI"/>
        </w:rPr>
        <w:t xml:space="preserve">: </w:t>
      </w:r>
    </w:p>
    <w:p w14:paraId="6338299B" w14:textId="77777777" w:rsidR="002000F2" w:rsidRPr="00FF1B99" w:rsidRDefault="002000F2" w:rsidP="008C10BB">
      <w:pPr>
        <w:spacing w:after="120"/>
        <w:ind w:left="720"/>
        <w:rPr>
          <w:rFonts w:cs="Segoe UI"/>
          <w:i/>
        </w:rPr>
      </w:pPr>
      <w:r w:rsidRPr="00FF1B99">
        <w:rPr>
          <w:rFonts w:cs="Segoe UI"/>
          <w:i/>
        </w:rPr>
        <w:t xml:space="preserve">The HTA Review will examine HTA policy and methods, in consultation with stakeholders, to identify features that: </w:t>
      </w:r>
    </w:p>
    <w:p w14:paraId="46F8D32D" w14:textId="77777777" w:rsidR="002000F2" w:rsidRPr="00FF1B99" w:rsidRDefault="002000F2" w:rsidP="008C10BB">
      <w:pPr>
        <w:spacing w:after="0"/>
        <w:ind w:left="1440"/>
        <w:rPr>
          <w:rFonts w:cs="Segoe UI"/>
          <w:i/>
        </w:rPr>
      </w:pPr>
      <w:r w:rsidRPr="00FF1B99">
        <w:rPr>
          <w:rFonts w:cs="Segoe UI"/>
          <w:i/>
        </w:rPr>
        <w:t xml:space="preserve">1. are working effectively </w:t>
      </w:r>
    </w:p>
    <w:p w14:paraId="3BAE91B1" w14:textId="77777777" w:rsidR="00122960" w:rsidRPr="00FF1B99" w:rsidRDefault="002000F2" w:rsidP="008C10BB">
      <w:pPr>
        <w:spacing w:after="0"/>
        <w:ind w:left="1440"/>
        <w:rPr>
          <w:rFonts w:cs="Segoe UI"/>
          <w:i/>
        </w:rPr>
      </w:pPr>
      <w:r w:rsidRPr="00FF1B99">
        <w:rPr>
          <w:rFonts w:cs="Segoe UI"/>
          <w:i/>
        </w:rPr>
        <w:lastRenderedPageBreak/>
        <w:t xml:space="preserve">2. may act as current or future barriers to earliest possible access </w:t>
      </w:r>
    </w:p>
    <w:p w14:paraId="31858187" w14:textId="7EB332BE" w:rsidR="002000F2" w:rsidRPr="00FF1B99" w:rsidRDefault="002000F2" w:rsidP="008C10BB">
      <w:pPr>
        <w:spacing w:after="0"/>
        <w:ind w:left="1440"/>
        <w:rPr>
          <w:rFonts w:cs="Segoe UI"/>
          <w:i/>
        </w:rPr>
      </w:pPr>
      <w:r w:rsidRPr="00FF1B99">
        <w:rPr>
          <w:rFonts w:cs="Segoe UI"/>
          <w:i/>
        </w:rPr>
        <w:t xml:space="preserve">3. may act as current or future barriers to equitable access </w:t>
      </w:r>
    </w:p>
    <w:p w14:paraId="0EDB8C8E" w14:textId="77777777" w:rsidR="002000F2" w:rsidRPr="00FF1B99" w:rsidRDefault="002000F2" w:rsidP="008C10BB">
      <w:pPr>
        <w:spacing w:after="0"/>
        <w:ind w:left="1440"/>
        <w:rPr>
          <w:rFonts w:cs="Segoe UI"/>
          <w:i/>
        </w:rPr>
      </w:pPr>
      <w:r w:rsidRPr="00FF1B99">
        <w:rPr>
          <w:rFonts w:cs="Segoe UI"/>
          <w:i/>
        </w:rPr>
        <w:t xml:space="preserve">4. detract from person-centredness </w:t>
      </w:r>
    </w:p>
    <w:p w14:paraId="36F04C47" w14:textId="77777777" w:rsidR="002000F2" w:rsidRPr="00FF1B99" w:rsidRDefault="002000F2" w:rsidP="008C10BB">
      <w:pPr>
        <w:spacing w:after="120"/>
        <w:ind w:left="1440"/>
        <w:rPr>
          <w:rFonts w:cs="Segoe UI"/>
          <w:i/>
        </w:rPr>
      </w:pPr>
      <w:r w:rsidRPr="00FF1B99">
        <w:rPr>
          <w:rFonts w:cs="Segoe UI"/>
          <w:i/>
        </w:rPr>
        <w:t xml:space="preserve">5. may be creating perverse incentives. </w:t>
      </w:r>
    </w:p>
    <w:p w14:paraId="3F4EB479" w14:textId="5490EADF" w:rsidR="002000F2" w:rsidRPr="00FF1B99" w:rsidRDefault="002000F2" w:rsidP="008C10BB">
      <w:pPr>
        <w:spacing w:after="120"/>
        <w:ind w:left="720"/>
        <w:rPr>
          <w:rFonts w:cs="Segoe UI"/>
          <w:i/>
        </w:rPr>
      </w:pPr>
      <w:r w:rsidRPr="00FF1B99">
        <w:rPr>
          <w:rFonts w:cs="Segoe UI"/>
          <w:i/>
        </w:rPr>
        <w:t xml:space="preserve">The HTA Review will consider reforms that address identified challenges and present a comprehensive set of recommendations for reforms to Government that: </w:t>
      </w:r>
    </w:p>
    <w:p w14:paraId="298C1039" w14:textId="77777777" w:rsidR="002000F2" w:rsidRPr="00FF1B99" w:rsidRDefault="002000F2" w:rsidP="008C10BB">
      <w:pPr>
        <w:spacing w:after="0"/>
        <w:ind w:left="1440"/>
        <w:rPr>
          <w:rFonts w:cs="Segoe UI"/>
          <w:i/>
        </w:rPr>
      </w:pPr>
      <w:r w:rsidRPr="00FF1B99">
        <w:rPr>
          <w:rFonts w:cs="Segoe UI"/>
          <w:i/>
        </w:rPr>
        <w:t xml:space="preserve">1. are implementable and sustainable for both health funders (Commonwealth, state, and territory) and the health technology industry </w:t>
      </w:r>
    </w:p>
    <w:p w14:paraId="148D9BC9" w14:textId="77777777" w:rsidR="002000F2" w:rsidRPr="00FF1B99" w:rsidRDefault="002000F2" w:rsidP="008C10BB">
      <w:pPr>
        <w:spacing w:after="0"/>
        <w:ind w:left="1440"/>
        <w:rPr>
          <w:rFonts w:cs="Segoe UI"/>
          <w:i/>
        </w:rPr>
      </w:pPr>
      <w:r w:rsidRPr="00FF1B99">
        <w:rPr>
          <w:rFonts w:cs="Segoe UI"/>
          <w:i/>
        </w:rPr>
        <w:t xml:space="preserve">2. deliver Australians equitable, timely, </w:t>
      </w:r>
      <w:proofErr w:type="gramStart"/>
      <w:r w:rsidRPr="00FF1B99">
        <w:rPr>
          <w:rFonts w:cs="Segoe UI"/>
          <w:i/>
        </w:rPr>
        <w:t>safe</w:t>
      </w:r>
      <w:proofErr w:type="gramEnd"/>
      <w:r w:rsidRPr="00FF1B99">
        <w:rPr>
          <w:rFonts w:cs="Segoe UI"/>
          <w:i/>
        </w:rPr>
        <w:t xml:space="preserve"> and affordable access to a high-quality and reliable supply of medicines for all Australians </w:t>
      </w:r>
    </w:p>
    <w:p w14:paraId="2A664091" w14:textId="77777777" w:rsidR="002000F2" w:rsidRPr="00FF1B99" w:rsidRDefault="002000F2" w:rsidP="008C10BB">
      <w:pPr>
        <w:spacing w:after="0"/>
        <w:ind w:left="1440"/>
        <w:rPr>
          <w:rFonts w:cs="Segoe UI"/>
          <w:i/>
        </w:rPr>
      </w:pPr>
      <w:r w:rsidRPr="00FF1B99">
        <w:rPr>
          <w:rFonts w:cs="Segoe UI"/>
          <w:i/>
        </w:rPr>
        <w:t xml:space="preserve">3. adopt a person-centred approach in HTA </w:t>
      </w:r>
    </w:p>
    <w:p w14:paraId="1D61FDF5" w14:textId="7E82FA49" w:rsidR="002000F2" w:rsidRPr="00BE73A7" w:rsidRDefault="002000F2" w:rsidP="008C10BB">
      <w:pPr>
        <w:spacing w:after="0"/>
        <w:ind w:left="1440"/>
        <w:rPr>
          <w:rFonts w:cs="Segoe UI"/>
          <w:i/>
        </w:rPr>
      </w:pPr>
      <w:r w:rsidRPr="00FF1B99">
        <w:rPr>
          <w:rFonts w:cs="Segoe UI"/>
          <w:i/>
        </w:rPr>
        <w:t xml:space="preserve">4. deliver the outcomes sought by recommendations from </w:t>
      </w:r>
      <w:hyperlink r:id="rId106" w:history="1">
        <w:r w:rsidR="003877F1" w:rsidRPr="00DD2776">
          <w:rPr>
            <w:rStyle w:val="Hyperlink"/>
            <w:i/>
            <w:iCs/>
          </w:rPr>
          <w:t>the Inquiry</w:t>
        </w:r>
      </w:hyperlink>
      <w:r w:rsidR="00FB42B9">
        <w:rPr>
          <w:i/>
          <w:iCs/>
        </w:rPr>
        <w:t xml:space="preserve"> </w:t>
      </w:r>
      <w:r w:rsidRPr="00BE73A7">
        <w:rPr>
          <w:rFonts w:cs="Segoe UI"/>
          <w:i/>
        </w:rPr>
        <w:t xml:space="preserve">that are agreed in principle in the Government Response </w:t>
      </w:r>
    </w:p>
    <w:p w14:paraId="03612F7E" w14:textId="77777777" w:rsidR="002000F2" w:rsidRPr="00BE73A7" w:rsidRDefault="002000F2" w:rsidP="008C10BB">
      <w:pPr>
        <w:spacing w:after="0"/>
        <w:ind w:left="1440"/>
        <w:rPr>
          <w:rFonts w:cs="Segoe UI"/>
          <w:i/>
        </w:rPr>
      </w:pPr>
      <w:r w:rsidRPr="00BE73A7">
        <w:rPr>
          <w:rFonts w:cs="Segoe UI"/>
          <w:i/>
        </w:rPr>
        <w:t xml:space="preserve">5. further the objectives of the new NMP </w:t>
      </w:r>
    </w:p>
    <w:p w14:paraId="1B474C9A" w14:textId="0C6D55C5" w:rsidR="002000F2" w:rsidRPr="00BE73A7" w:rsidRDefault="002000F2" w:rsidP="008C10BB">
      <w:pPr>
        <w:spacing w:after="0"/>
        <w:ind w:left="1440"/>
        <w:rPr>
          <w:rFonts w:cs="Segoe UI"/>
          <w:i/>
        </w:rPr>
      </w:pPr>
      <w:r w:rsidRPr="00BE73A7">
        <w:rPr>
          <w:rFonts w:cs="Segoe UI"/>
          <w:i/>
        </w:rPr>
        <w:t>6. ensure HTA policy and methods are well adapted to and capable of assessing new technologies that are emerging or are expected to emerge in the coming years</w:t>
      </w:r>
    </w:p>
    <w:p w14:paraId="29DD6622" w14:textId="6BE4DA22" w:rsidR="002000F2" w:rsidRPr="00E76040" w:rsidRDefault="002000F2" w:rsidP="008C10BB">
      <w:pPr>
        <w:spacing w:after="120"/>
        <w:ind w:left="1440"/>
        <w:rPr>
          <w:rFonts w:cs="Segoe UI"/>
          <w:i/>
        </w:rPr>
      </w:pPr>
      <w:r w:rsidRPr="00BE73A7">
        <w:rPr>
          <w:rFonts w:cs="Segoe UI"/>
          <w:i/>
        </w:rPr>
        <w:t>7. do not compromise assessment of patient safety, effectiveness and cost, or advice to Government on subsidy of health technologies.</w:t>
      </w:r>
      <w:r w:rsidR="0090395A" w:rsidRPr="00BE73A7">
        <w:rPr>
          <w:rFonts w:cs="Segoe UI"/>
          <w:i/>
        </w:rPr>
        <w:t xml:space="preserve"> (</w:t>
      </w:r>
      <w:hyperlink r:id="rId107" w:history="1">
        <w:r w:rsidR="0090395A" w:rsidRPr="00E76040">
          <w:rPr>
            <w:rStyle w:val="Hyperlink"/>
            <w:rFonts w:cs="Segoe UI"/>
            <w:i/>
          </w:rPr>
          <w:t>ToR – page 6)</w:t>
        </w:r>
      </w:hyperlink>
    </w:p>
    <w:p w14:paraId="2C51E070" w14:textId="2E45F253" w:rsidR="0090395A" w:rsidRPr="006647C5" w:rsidRDefault="000E1DBD" w:rsidP="001C5DDA">
      <w:pPr>
        <w:pStyle w:val="Heading3"/>
      </w:pPr>
      <w:bookmarkStart w:id="87" w:name="_Toc157029045"/>
      <w:r w:rsidRPr="006647C5">
        <w:t>Public Consultation 1</w:t>
      </w:r>
      <w:bookmarkEnd w:id="87"/>
    </w:p>
    <w:p w14:paraId="3B3CA5DA" w14:textId="3FA3287C" w:rsidR="007A6528" w:rsidRPr="007A6528" w:rsidRDefault="007A6528" w:rsidP="008C10BB">
      <w:pPr>
        <w:spacing w:after="120"/>
        <w:rPr>
          <w:rFonts w:cs="Segoe UI"/>
          <w:bCs/>
        </w:rPr>
      </w:pPr>
      <w:r w:rsidRPr="007A6528">
        <w:rPr>
          <w:rFonts w:cs="Segoe UI"/>
          <w:bCs/>
        </w:rPr>
        <w:t>The first public consultation (Consultation 1) for the HTA Review was open from 11 April 2023 to 16 June 2023.</w:t>
      </w:r>
    </w:p>
    <w:p w14:paraId="5329600C" w14:textId="636457B0" w:rsidR="00093A65" w:rsidRPr="007A6528" w:rsidRDefault="007A6528" w:rsidP="008C10BB">
      <w:pPr>
        <w:spacing w:after="120"/>
        <w:rPr>
          <w:rFonts w:cs="Segoe UI"/>
          <w:bCs/>
        </w:rPr>
      </w:pPr>
      <w:r w:rsidRPr="007A6528">
        <w:rPr>
          <w:rFonts w:cs="Segoe UI"/>
          <w:bCs/>
        </w:rPr>
        <w:t xml:space="preserve">Consultation 1 received 114 submissions, which included </w:t>
      </w:r>
      <w:hyperlink r:id="rId108" w:history="1">
        <w:r w:rsidRPr="001B6EC0">
          <w:rPr>
            <w:rStyle w:val="Hyperlink"/>
            <w:rFonts w:cs="Segoe UI"/>
            <w:bCs/>
          </w:rPr>
          <w:t>responses to the online survey</w:t>
        </w:r>
      </w:hyperlink>
      <w:r w:rsidRPr="007A6528">
        <w:rPr>
          <w:rFonts w:cs="Segoe UI"/>
          <w:bCs/>
        </w:rPr>
        <w:t xml:space="preserve"> through the Office of Health Technology Assessment Consultation Hub (Consultation Hub), emailed submissions, and online video forums with the Reference Committee.</w:t>
      </w:r>
    </w:p>
    <w:p w14:paraId="3ED1EEC4" w14:textId="0B9E4E2A" w:rsidR="006647C5" w:rsidRPr="006647C5" w:rsidRDefault="006647C5" w:rsidP="00BE59B7">
      <w:pPr>
        <w:pStyle w:val="Heading4"/>
      </w:pPr>
      <w:r w:rsidRPr="006647C5">
        <w:t>Insights from Consultation 1:</w:t>
      </w:r>
    </w:p>
    <w:p w14:paraId="1899B768" w14:textId="17FBE202" w:rsidR="0090395A" w:rsidRPr="006647C5" w:rsidRDefault="0090395A" w:rsidP="008C10BB">
      <w:pPr>
        <w:spacing w:after="120"/>
        <w:rPr>
          <w:rFonts w:cs="Segoe UI"/>
          <w:szCs w:val="20"/>
        </w:rPr>
      </w:pPr>
      <w:r w:rsidRPr="006647C5">
        <w:rPr>
          <w:rFonts w:cs="Segoe UI"/>
          <w:szCs w:val="20"/>
        </w:rPr>
        <w:t xml:space="preserve">The University of Technology Sydney’s Centre for Health Economics Research and Evaluation (CHERE) was engaged to produce a </w:t>
      </w:r>
      <w:hyperlink r:id="rId109" w:history="1">
        <w:r w:rsidRPr="00D063E6">
          <w:rPr>
            <w:rStyle w:val="Hyperlink"/>
            <w:rFonts w:cs="Segoe UI"/>
            <w:szCs w:val="20"/>
          </w:rPr>
          <w:t>report on the public submissions received for the first round of submissions</w:t>
        </w:r>
      </w:hyperlink>
      <w:r w:rsidRPr="006647C5">
        <w:rPr>
          <w:rFonts w:cs="Segoe UI"/>
          <w:szCs w:val="20"/>
        </w:rPr>
        <w:t>.</w:t>
      </w:r>
    </w:p>
    <w:p w14:paraId="00A51F9F" w14:textId="6477C89C" w:rsidR="0090395A" w:rsidRPr="006647C5" w:rsidRDefault="0090395A" w:rsidP="008C10BB">
      <w:pPr>
        <w:spacing w:after="120"/>
        <w:rPr>
          <w:rFonts w:cs="Segoe UI"/>
          <w:lang w:val="en-US"/>
        </w:rPr>
      </w:pPr>
      <w:r w:rsidRPr="006647C5">
        <w:rPr>
          <w:rFonts w:cs="Segoe UI"/>
          <w:szCs w:val="20"/>
        </w:rPr>
        <w:t>CHERE noted that a</w:t>
      </w:r>
      <w:proofErr w:type="spellStart"/>
      <w:r w:rsidRPr="006647C5">
        <w:rPr>
          <w:rFonts w:cs="Segoe UI"/>
          <w:lang w:val="en-US"/>
        </w:rPr>
        <w:t>ll</w:t>
      </w:r>
      <w:proofErr w:type="spellEnd"/>
      <w:r w:rsidRPr="006647C5">
        <w:rPr>
          <w:rFonts w:cs="Segoe UI"/>
          <w:lang w:val="en-US"/>
        </w:rPr>
        <w:t xml:space="preserve"> stakeholder sectors </w:t>
      </w:r>
      <w:r w:rsidR="007712F1">
        <w:rPr>
          <w:rFonts w:cs="Segoe UI"/>
          <w:lang w:val="en-US"/>
        </w:rPr>
        <w:t>indicated support for</w:t>
      </w:r>
      <w:r w:rsidRPr="006647C5">
        <w:rPr>
          <w:rFonts w:cs="Segoe UI"/>
          <w:lang w:val="en-US"/>
        </w:rPr>
        <w:t xml:space="preserve"> the rigor applied to the data and processes of HTA, the inclusion of consumer representatives and inputs into that process, and flexibility in decision-making in most cases.</w:t>
      </w:r>
    </w:p>
    <w:p w14:paraId="6E5D72C9" w14:textId="1AA77D7C" w:rsidR="0090395A" w:rsidRPr="006647C5" w:rsidRDefault="00F224DD" w:rsidP="008C10BB">
      <w:pPr>
        <w:spacing w:after="120"/>
        <w:rPr>
          <w:rFonts w:cs="Segoe UI"/>
          <w:lang w:val="en-US"/>
        </w:rPr>
      </w:pPr>
      <w:r>
        <w:rPr>
          <w:rFonts w:cs="Segoe UI"/>
          <w:lang w:val="en-US"/>
        </w:rPr>
        <w:t xml:space="preserve">A </w:t>
      </w:r>
      <w:r w:rsidR="00E931B9">
        <w:rPr>
          <w:rFonts w:cs="Segoe UI"/>
          <w:lang w:val="en-US"/>
        </w:rPr>
        <w:t xml:space="preserve">consistent theme </w:t>
      </w:r>
      <w:r>
        <w:rPr>
          <w:rFonts w:cs="Segoe UI"/>
          <w:lang w:val="en-US"/>
        </w:rPr>
        <w:t xml:space="preserve">expressed was </w:t>
      </w:r>
      <w:r w:rsidR="00CD5904">
        <w:rPr>
          <w:rFonts w:cs="Segoe UI"/>
          <w:lang w:val="en-US"/>
        </w:rPr>
        <w:t>that th</w:t>
      </w:r>
      <w:r w:rsidR="00EC2EB7">
        <w:rPr>
          <w:rFonts w:cs="Segoe UI"/>
          <w:lang w:val="en-US"/>
        </w:rPr>
        <w:t xml:space="preserve">ere </w:t>
      </w:r>
      <w:r w:rsidR="00495226">
        <w:rPr>
          <w:rFonts w:cs="Segoe UI"/>
          <w:lang w:val="en-US"/>
        </w:rPr>
        <w:t xml:space="preserve">were </w:t>
      </w:r>
      <w:r w:rsidR="0090395A" w:rsidRPr="006647C5">
        <w:rPr>
          <w:rFonts w:cs="Segoe UI"/>
          <w:lang w:val="en-US"/>
        </w:rPr>
        <w:t>numerous barriers to people’s timely access to care. These included:</w:t>
      </w:r>
    </w:p>
    <w:p w14:paraId="12098CF9" w14:textId="59801F37" w:rsidR="0090395A" w:rsidRPr="00B05E55" w:rsidRDefault="0090395A" w:rsidP="008505D7">
      <w:pPr>
        <w:pStyle w:val="ListParagraph"/>
        <w:numPr>
          <w:ilvl w:val="0"/>
          <w:numId w:val="146"/>
        </w:numPr>
        <w:spacing w:after="120"/>
        <w:rPr>
          <w:rFonts w:cs="Segoe UI"/>
          <w:i/>
          <w:lang w:val="en-US"/>
        </w:rPr>
      </w:pPr>
      <w:r w:rsidRPr="00B05E55">
        <w:rPr>
          <w:rFonts w:cs="Segoe UI"/>
          <w:i/>
          <w:lang w:val="en-US"/>
        </w:rPr>
        <w:lastRenderedPageBreak/>
        <w:t xml:space="preserve">that the delays in access to care, particularly the time from registration to funded access for drugs, were too long relative to other comparable </w:t>
      </w:r>
      <w:proofErr w:type="gramStart"/>
      <w:r w:rsidRPr="00B05E55">
        <w:rPr>
          <w:rFonts w:cs="Segoe UI"/>
          <w:i/>
          <w:lang w:val="en-US"/>
        </w:rPr>
        <w:t>countries</w:t>
      </w:r>
      <w:proofErr w:type="gramEnd"/>
    </w:p>
    <w:p w14:paraId="1371DAFE" w14:textId="233A57BD" w:rsidR="0090395A" w:rsidRPr="00B05E55" w:rsidRDefault="0090395A" w:rsidP="008505D7">
      <w:pPr>
        <w:pStyle w:val="ListParagraph"/>
        <w:numPr>
          <w:ilvl w:val="0"/>
          <w:numId w:val="146"/>
        </w:numPr>
        <w:spacing w:after="120"/>
        <w:rPr>
          <w:rFonts w:cs="Segoe UI"/>
          <w:i/>
          <w:lang w:val="en-US"/>
        </w:rPr>
      </w:pPr>
      <w:r w:rsidRPr="00B05E55">
        <w:rPr>
          <w:rFonts w:cs="Segoe UI"/>
          <w:i/>
          <w:lang w:val="en-US"/>
        </w:rPr>
        <w:t xml:space="preserve">delays in (or having no) access to care for those with rare/orphan </w:t>
      </w:r>
      <w:proofErr w:type="gramStart"/>
      <w:r w:rsidRPr="00B05E55">
        <w:rPr>
          <w:rFonts w:cs="Segoe UI"/>
          <w:i/>
          <w:lang w:val="en-US"/>
        </w:rPr>
        <w:t>conditions</w:t>
      </w:r>
      <w:proofErr w:type="gramEnd"/>
    </w:p>
    <w:p w14:paraId="11EAEE09" w14:textId="6A64D798" w:rsidR="0090395A" w:rsidRPr="00B05E55" w:rsidRDefault="0090395A" w:rsidP="008505D7">
      <w:pPr>
        <w:pStyle w:val="ListParagraph"/>
        <w:numPr>
          <w:ilvl w:val="0"/>
          <w:numId w:val="146"/>
        </w:numPr>
        <w:spacing w:after="120"/>
        <w:rPr>
          <w:rFonts w:cs="Segoe UI"/>
          <w:i/>
          <w:lang w:val="en-US"/>
        </w:rPr>
      </w:pPr>
      <w:r w:rsidRPr="00B05E55">
        <w:rPr>
          <w:rFonts w:cs="Segoe UI"/>
          <w:i/>
          <w:lang w:val="en-US"/>
        </w:rPr>
        <w:t xml:space="preserve">a system that is overly focused on </w:t>
      </w:r>
      <w:proofErr w:type="spellStart"/>
      <w:r w:rsidRPr="00B05E55">
        <w:rPr>
          <w:rFonts w:cs="Segoe UI"/>
          <w:i/>
          <w:lang w:val="en-US"/>
        </w:rPr>
        <w:t>randomised</w:t>
      </w:r>
      <w:proofErr w:type="spellEnd"/>
      <w:r w:rsidRPr="00B05E55">
        <w:rPr>
          <w:rFonts w:cs="Segoe UI"/>
          <w:i/>
          <w:lang w:val="en-US"/>
        </w:rPr>
        <w:t xml:space="preserve"> controlled trials </w:t>
      </w:r>
      <w:r w:rsidR="00614F34" w:rsidRPr="00B05E55">
        <w:rPr>
          <w:rFonts w:cs="Segoe UI"/>
          <w:i/>
          <w:lang w:val="en-US"/>
        </w:rPr>
        <w:t xml:space="preserve">(RCTs) </w:t>
      </w:r>
      <w:r w:rsidRPr="00B05E55">
        <w:rPr>
          <w:rFonts w:cs="Segoe UI"/>
          <w:i/>
          <w:lang w:val="en-US"/>
        </w:rPr>
        <w:t>and the 'economic value'</w:t>
      </w:r>
      <w:r w:rsidR="00C22DA5" w:rsidRPr="00B05E55">
        <w:rPr>
          <w:rFonts w:cs="Segoe UI"/>
          <w:i/>
          <w:iCs/>
          <w:lang w:val="en-US"/>
        </w:rPr>
        <w:t>, and</w:t>
      </w:r>
    </w:p>
    <w:p w14:paraId="1AA9A5E3" w14:textId="505359BD" w:rsidR="0090395A" w:rsidRPr="00B05E55" w:rsidRDefault="0090395A" w:rsidP="008505D7">
      <w:pPr>
        <w:pStyle w:val="ListParagraph"/>
        <w:numPr>
          <w:ilvl w:val="0"/>
          <w:numId w:val="146"/>
        </w:numPr>
        <w:spacing w:after="120"/>
        <w:rPr>
          <w:rFonts w:cs="Segoe UI"/>
          <w:i/>
          <w:lang w:val="en-US"/>
        </w:rPr>
      </w:pPr>
      <w:r w:rsidRPr="00B05E55">
        <w:rPr>
          <w:rFonts w:cs="Segoe UI"/>
          <w:i/>
          <w:lang w:val="en-US"/>
        </w:rPr>
        <w:t xml:space="preserve">a lack of consistent HTA across the Australian healthcare system. </w:t>
      </w:r>
    </w:p>
    <w:p w14:paraId="3756492F" w14:textId="708C5F02" w:rsidR="0090395A" w:rsidRPr="006647C5" w:rsidRDefault="0090395A" w:rsidP="008C10BB">
      <w:pPr>
        <w:spacing w:after="120"/>
        <w:rPr>
          <w:rFonts w:cs="Segoe UI"/>
          <w:lang w:val="en-US"/>
        </w:rPr>
      </w:pPr>
      <w:r w:rsidRPr="006647C5">
        <w:rPr>
          <w:rFonts w:cs="Segoe UI"/>
          <w:szCs w:val="20"/>
        </w:rPr>
        <w:t>CHERE reported stakeholders</w:t>
      </w:r>
      <w:r w:rsidRPr="006647C5">
        <w:rPr>
          <w:rFonts w:cs="Segoe UI"/>
          <w:lang w:val="en-US"/>
        </w:rPr>
        <w:t xml:space="preserve"> provided </w:t>
      </w:r>
      <w:proofErr w:type="gramStart"/>
      <w:r w:rsidRPr="006647C5">
        <w:rPr>
          <w:rFonts w:cs="Segoe UI"/>
          <w:lang w:val="en-US"/>
        </w:rPr>
        <w:t>a large number of</w:t>
      </w:r>
      <w:proofErr w:type="gramEnd"/>
      <w:r w:rsidRPr="006647C5">
        <w:rPr>
          <w:rFonts w:cs="Segoe UI"/>
          <w:lang w:val="en-US"/>
        </w:rPr>
        <w:t xml:space="preserve"> options they believed could improve HTA processes. These included:</w:t>
      </w:r>
    </w:p>
    <w:p w14:paraId="04426054" w14:textId="39500F0D" w:rsidR="0090395A" w:rsidRPr="006647C5" w:rsidRDefault="0090395A" w:rsidP="008505D7">
      <w:pPr>
        <w:pStyle w:val="ListParagraph"/>
        <w:numPr>
          <w:ilvl w:val="0"/>
          <w:numId w:val="147"/>
        </w:numPr>
        <w:spacing w:after="120"/>
        <w:rPr>
          <w:rFonts w:cs="Segoe UI"/>
          <w:lang w:val="en-US"/>
        </w:rPr>
      </w:pPr>
      <w:r w:rsidRPr="006647C5">
        <w:rPr>
          <w:rFonts w:cs="Segoe UI"/>
        </w:rPr>
        <w:t>implementing alternative approaches for subsidising technologies (including subsidising some/all technologies at the time of registration, with HTA assessment to follow)</w:t>
      </w:r>
    </w:p>
    <w:p w14:paraId="0176183D" w14:textId="5DB6DF0E" w:rsidR="0090395A" w:rsidRPr="006647C5" w:rsidRDefault="0090395A" w:rsidP="008505D7">
      <w:pPr>
        <w:pStyle w:val="ListParagraph"/>
        <w:numPr>
          <w:ilvl w:val="0"/>
          <w:numId w:val="147"/>
        </w:numPr>
        <w:spacing w:after="120"/>
        <w:rPr>
          <w:rFonts w:cs="Segoe UI"/>
          <w:lang w:val="en-US"/>
        </w:rPr>
      </w:pPr>
      <w:r w:rsidRPr="006647C5">
        <w:rPr>
          <w:rFonts w:cs="Segoe UI"/>
        </w:rPr>
        <w:t>expanding the scope of evidence considered to give more weight to the inclusion of observational data (</w:t>
      </w:r>
      <w:r w:rsidR="001D4552">
        <w:rPr>
          <w:rFonts w:cs="Segoe UI"/>
        </w:rPr>
        <w:t>RWE</w:t>
      </w:r>
      <w:r w:rsidR="00B57BCC">
        <w:rPr>
          <w:rFonts w:cs="Segoe UI"/>
        </w:rPr>
        <w:fldChar w:fldCharType="begin"/>
      </w:r>
      <w:r w:rsidR="00B57BCC">
        <w:instrText xml:space="preserve"> XE "</w:instrText>
      </w:r>
      <w:r w:rsidR="00B57BCC" w:rsidRPr="002D7ECA">
        <w:rPr>
          <w:rFonts w:cs="Segoe UI"/>
        </w:rPr>
        <w:instrText>real-world evidence</w:instrText>
      </w:r>
      <w:r w:rsidR="00B57BCC">
        <w:instrText xml:space="preserve">" \b </w:instrText>
      </w:r>
      <w:r w:rsidR="00B57BCC">
        <w:rPr>
          <w:rFonts w:cs="Segoe UI"/>
        </w:rPr>
        <w:fldChar w:fldCharType="end"/>
      </w:r>
      <w:r w:rsidR="00D33C5E">
        <w:rPr>
          <w:rFonts w:cs="Segoe UI"/>
        </w:rPr>
        <w:t>)</w:t>
      </w:r>
    </w:p>
    <w:p w14:paraId="2A8C8599" w14:textId="4B9810F9" w:rsidR="0090395A" w:rsidRPr="006647C5" w:rsidRDefault="0090395A" w:rsidP="008505D7">
      <w:pPr>
        <w:pStyle w:val="ListParagraph"/>
        <w:numPr>
          <w:ilvl w:val="0"/>
          <w:numId w:val="147"/>
        </w:numPr>
        <w:spacing w:after="120"/>
        <w:rPr>
          <w:rFonts w:cs="Segoe UI"/>
          <w:lang w:val="en-US"/>
        </w:rPr>
      </w:pPr>
      <w:r w:rsidRPr="006647C5">
        <w:rPr>
          <w:rFonts w:cs="Segoe UI"/>
        </w:rPr>
        <w:t xml:space="preserve">incorporating broader aspects of value, in particular patient-reported experience measures </w:t>
      </w:r>
      <w:r w:rsidR="00D73B8B">
        <w:rPr>
          <w:rFonts w:cs="Segoe UI"/>
        </w:rPr>
        <w:t>(PREMs)</w:t>
      </w:r>
      <w:r w:rsidRPr="006647C5">
        <w:rPr>
          <w:rFonts w:cs="Segoe UI"/>
        </w:rPr>
        <w:t xml:space="preserve"> and patient-reported outcome measures </w:t>
      </w:r>
      <w:r w:rsidR="00D73B8B">
        <w:rPr>
          <w:rFonts w:cs="Segoe UI"/>
        </w:rPr>
        <w:t xml:space="preserve">(PROMs) </w:t>
      </w:r>
      <w:r w:rsidRPr="006647C5">
        <w:rPr>
          <w:rFonts w:cs="Segoe UI"/>
        </w:rPr>
        <w:t>in assessments of technologies</w:t>
      </w:r>
    </w:p>
    <w:p w14:paraId="6BEE0337" w14:textId="23D00816" w:rsidR="0090395A" w:rsidRPr="006647C5" w:rsidRDefault="0090395A" w:rsidP="008505D7">
      <w:pPr>
        <w:pStyle w:val="ListParagraph"/>
        <w:numPr>
          <w:ilvl w:val="0"/>
          <w:numId w:val="147"/>
        </w:numPr>
        <w:spacing w:after="120"/>
        <w:rPr>
          <w:rFonts w:cs="Segoe UI"/>
          <w:lang w:val="en-US"/>
        </w:rPr>
      </w:pPr>
      <w:r w:rsidRPr="006647C5">
        <w:rPr>
          <w:rFonts w:cs="Segoe UI"/>
        </w:rPr>
        <w:t>facilitating greater community participation HTA</w:t>
      </w:r>
    </w:p>
    <w:p w14:paraId="24FE4902" w14:textId="008FD537" w:rsidR="0090395A" w:rsidRPr="006647C5" w:rsidRDefault="0090395A" w:rsidP="008505D7">
      <w:pPr>
        <w:pStyle w:val="ListParagraph"/>
        <w:numPr>
          <w:ilvl w:val="0"/>
          <w:numId w:val="147"/>
        </w:numPr>
        <w:spacing w:after="120"/>
        <w:rPr>
          <w:rFonts w:cs="Segoe UI"/>
          <w:lang w:val="en-US"/>
        </w:rPr>
      </w:pPr>
      <w:r w:rsidRPr="006647C5">
        <w:rPr>
          <w:rFonts w:cs="Segoe UI"/>
        </w:rPr>
        <w:t>moving away from a one-size-fits-all approach to HTA to recognise specific technologies and indications</w:t>
      </w:r>
      <w:r w:rsidR="00C22DA5">
        <w:rPr>
          <w:rFonts w:cs="Segoe UI"/>
        </w:rPr>
        <w:t>, and</w:t>
      </w:r>
    </w:p>
    <w:p w14:paraId="364263AC" w14:textId="172ADACD" w:rsidR="0090395A" w:rsidRPr="009B7ABE" w:rsidRDefault="0090395A" w:rsidP="008505D7">
      <w:pPr>
        <w:pStyle w:val="ListParagraph"/>
        <w:numPr>
          <w:ilvl w:val="0"/>
          <w:numId w:val="147"/>
        </w:numPr>
        <w:spacing w:after="120"/>
        <w:rPr>
          <w:rFonts w:cs="Segoe UI"/>
          <w:lang w:val="en-US"/>
        </w:rPr>
      </w:pPr>
      <w:r w:rsidRPr="006647C5">
        <w:rPr>
          <w:rFonts w:cs="Segoe UI"/>
        </w:rPr>
        <w:t>refining the overarching HTA processes to better align them across agencies and allow for non-sponsor</w:t>
      </w:r>
      <w:r w:rsidR="00C22DA5">
        <w:rPr>
          <w:rFonts w:cs="Segoe UI"/>
        </w:rPr>
        <w:t>-</w:t>
      </w:r>
      <w:r w:rsidRPr="006647C5">
        <w:rPr>
          <w:rFonts w:cs="Segoe UI"/>
        </w:rPr>
        <w:t>initiated submissions.</w:t>
      </w:r>
    </w:p>
    <w:p w14:paraId="0710F0E4" w14:textId="3B4F4867" w:rsidR="000E1DBD" w:rsidRPr="006647C5" w:rsidRDefault="000E1DBD" w:rsidP="001C5DDA">
      <w:pPr>
        <w:pStyle w:val="Heading3"/>
      </w:pPr>
      <w:bookmarkStart w:id="88" w:name="_Toc157029046"/>
      <w:r w:rsidRPr="006647C5">
        <w:t>Consultation deep</w:t>
      </w:r>
      <w:r w:rsidR="009A61C2">
        <w:t>-</w:t>
      </w:r>
      <w:r w:rsidRPr="006647C5">
        <w:t>dives</w:t>
      </w:r>
      <w:bookmarkEnd w:id="88"/>
    </w:p>
    <w:p w14:paraId="6EA92725" w14:textId="3A6D3E58" w:rsidR="00282A8D" w:rsidRPr="006647C5" w:rsidRDefault="00282A8D" w:rsidP="008C10BB">
      <w:pPr>
        <w:spacing w:after="120"/>
        <w:rPr>
          <w:rFonts w:cs="Segoe UI"/>
        </w:rPr>
      </w:pPr>
      <w:r>
        <w:rPr>
          <w:rFonts w:cs="Segoe UI"/>
          <w:color w:val="313131"/>
          <w:shd w:val="clear" w:color="auto" w:fill="FFFFFF"/>
        </w:rPr>
        <w:t>The Reference Committee held 26 deep dives with individuals from the health technology industry, peak bodies representing consumers, patient advocacy groups, Aboriginal and Torres Strait Islander</w:t>
      </w:r>
      <w:r w:rsidR="00C86C74">
        <w:rPr>
          <w:rFonts w:cs="Segoe UI"/>
          <w:color w:val="313131"/>
          <w:shd w:val="clear" w:color="auto" w:fill="FFFFFF"/>
        </w:rPr>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rPr>
          <w:rFonts w:cs="Segoe UI"/>
          <w:color w:val="313131"/>
          <w:shd w:val="clear" w:color="auto" w:fill="FFFFFF"/>
        </w:rPr>
        <w:fldChar w:fldCharType="end"/>
      </w:r>
      <w:r>
        <w:rPr>
          <w:rFonts w:cs="Segoe UI"/>
          <w:color w:val="313131"/>
          <w:shd w:val="clear" w:color="auto" w:fill="FFFFFF"/>
        </w:rPr>
        <w:t xml:space="preserve"> peoples, clinicians and clinical groups, and state and territory governments</w:t>
      </w:r>
      <w:r w:rsidR="00FC6010">
        <w:rPr>
          <w:rFonts w:cs="Segoe UI"/>
          <w:color w:val="313131"/>
          <w:shd w:val="clear" w:color="auto" w:fill="FFFFFF"/>
        </w:rPr>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rPr>
          <w:rFonts w:cs="Segoe UI"/>
          <w:color w:val="313131"/>
          <w:shd w:val="clear" w:color="auto" w:fill="FFFFFF"/>
        </w:rPr>
        <w:fldChar w:fldCharType="end"/>
      </w:r>
      <w:r>
        <w:rPr>
          <w:rFonts w:cs="Segoe UI"/>
          <w:color w:val="313131"/>
          <w:shd w:val="clear" w:color="auto" w:fill="FFFFFF"/>
        </w:rPr>
        <w:t xml:space="preserve">. </w:t>
      </w:r>
    </w:p>
    <w:p w14:paraId="2DCD6030" w14:textId="76E5D64E" w:rsidR="0090395A" w:rsidRDefault="0064182B" w:rsidP="008C10BB">
      <w:pPr>
        <w:spacing w:after="120"/>
        <w:rPr>
          <w:rFonts w:cs="Segoe UI"/>
          <w:color w:val="313131"/>
          <w:shd w:val="clear" w:color="auto" w:fill="FFFFFF"/>
        </w:rPr>
      </w:pPr>
      <w:r>
        <w:rPr>
          <w:rFonts w:cs="Segoe UI"/>
          <w:color w:val="313131"/>
          <w:shd w:val="clear" w:color="auto" w:fill="FFFFFF"/>
        </w:rPr>
        <w:t>Deep</w:t>
      </w:r>
      <w:r w:rsidR="009A61C2">
        <w:rPr>
          <w:rFonts w:cs="Segoe UI"/>
          <w:color w:val="313131"/>
          <w:shd w:val="clear" w:color="auto" w:fill="FFFFFF"/>
        </w:rPr>
        <w:t>-</w:t>
      </w:r>
      <w:r>
        <w:rPr>
          <w:rFonts w:cs="Segoe UI"/>
          <w:color w:val="313131"/>
          <w:shd w:val="clear" w:color="auto" w:fill="FFFFFF"/>
        </w:rPr>
        <w:t xml:space="preserve">dive discussions were aimed at assisting the </w:t>
      </w:r>
      <w:r w:rsidR="00FE5B5F">
        <w:rPr>
          <w:rFonts w:cs="Segoe UI"/>
          <w:color w:val="313131"/>
          <w:shd w:val="clear" w:color="auto" w:fill="FFFFFF"/>
        </w:rPr>
        <w:t>R</w:t>
      </w:r>
      <w:r>
        <w:rPr>
          <w:rFonts w:cs="Segoe UI"/>
          <w:color w:val="313131"/>
          <w:shd w:val="clear" w:color="auto" w:fill="FFFFFF"/>
        </w:rPr>
        <w:t xml:space="preserve">eference </w:t>
      </w:r>
      <w:r w:rsidR="00FE5B5F">
        <w:rPr>
          <w:rFonts w:cs="Segoe UI"/>
          <w:color w:val="313131"/>
          <w:shd w:val="clear" w:color="auto" w:fill="FFFFFF"/>
        </w:rPr>
        <w:t>C</w:t>
      </w:r>
      <w:r>
        <w:rPr>
          <w:rFonts w:cs="Segoe UI"/>
          <w:color w:val="313131"/>
          <w:shd w:val="clear" w:color="auto" w:fill="FFFFFF"/>
        </w:rPr>
        <w:t xml:space="preserve">ommittee to gain an in-depth understanding </w:t>
      </w:r>
      <w:r w:rsidR="004C3F17">
        <w:rPr>
          <w:rFonts w:cs="Segoe UI"/>
          <w:color w:val="313131"/>
          <w:shd w:val="clear" w:color="auto" w:fill="FFFFFF"/>
        </w:rPr>
        <w:t xml:space="preserve">of </w:t>
      </w:r>
      <w:r>
        <w:rPr>
          <w:rFonts w:cs="Segoe UI"/>
          <w:color w:val="313131"/>
          <w:shd w:val="clear" w:color="auto" w:fill="FFFFFF"/>
        </w:rPr>
        <w:t>specific complex topics, issues, challenges, and opportunities for HTA.</w:t>
      </w:r>
      <w:r w:rsidR="00B64DCA">
        <w:rPr>
          <w:rFonts w:cs="Segoe UI"/>
          <w:color w:val="313131"/>
          <w:shd w:val="clear" w:color="auto" w:fill="FFFFFF"/>
        </w:rPr>
        <w:t xml:space="preserve"> Expressions of interest for deep</w:t>
      </w:r>
      <w:r w:rsidR="00AC2722">
        <w:rPr>
          <w:rFonts w:cs="Segoe UI"/>
          <w:color w:val="313131"/>
          <w:shd w:val="clear" w:color="auto" w:fill="FFFFFF"/>
        </w:rPr>
        <w:t xml:space="preserve"> </w:t>
      </w:r>
      <w:r w:rsidR="00B64DCA">
        <w:rPr>
          <w:rFonts w:cs="Segoe UI"/>
          <w:color w:val="313131"/>
          <w:shd w:val="clear" w:color="auto" w:fill="FFFFFF"/>
        </w:rPr>
        <w:t xml:space="preserve">dive discussions with the </w:t>
      </w:r>
      <w:r w:rsidR="00FB1DCE">
        <w:rPr>
          <w:rFonts w:cs="Segoe UI"/>
          <w:color w:val="313131"/>
          <w:shd w:val="clear" w:color="auto" w:fill="FFFFFF"/>
        </w:rPr>
        <w:t>R</w:t>
      </w:r>
      <w:r w:rsidR="00B64DCA">
        <w:rPr>
          <w:rFonts w:cs="Segoe UI"/>
          <w:color w:val="313131"/>
          <w:shd w:val="clear" w:color="auto" w:fill="FFFFFF"/>
        </w:rPr>
        <w:t xml:space="preserve">eference </w:t>
      </w:r>
      <w:r w:rsidR="00FB1DCE">
        <w:rPr>
          <w:rFonts w:cs="Segoe UI"/>
          <w:color w:val="313131"/>
          <w:shd w:val="clear" w:color="auto" w:fill="FFFFFF"/>
        </w:rPr>
        <w:t>C</w:t>
      </w:r>
      <w:r w:rsidR="00B64DCA">
        <w:rPr>
          <w:rFonts w:cs="Segoe UI"/>
          <w:color w:val="313131"/>
          <w:shd w:val="clear" w:color="auto" w:fill="FFFFFF"/>
        </w:rPr>
        <w:t>ommittee were open to all stakeholders from 16 May 2023 to 1</w:t>
      </w:r>
      <w:r w:rsidR="00FB1DCE">
        <w:rPr>
          <w:rFonts w:cs="Segoe UI"/>
          <w:color w:val="313131"/>
          <w:shd w:val="clear" w:color="auto" w:fill="FFFFFF"/>
        </w:rPr>
        <w:t> </w:t>
      </w:r>
      <w:r w:rsidR="00B64DCA">
        <w:rPr>
          <w:rFonts w:cs="Segoe UI"/>
          <w:color w:val="313131"/>
          <w:shd w:val="clear" w:color="auto" w:fill="FFFFFF"/>
        </w:rPr>
        <w:t>September 2023.</w:t>
      </w:r>
    </w:p>
    <w:p w14:paraId="2FF61041" w14:textId="3AEFE2E3" w:rsidR="000E1DBD" w:rsidRPr="006647C5" w:rsidRDefault="000E1DBD" w:rsidP="001C5DDA">
      <w:pPr>
        <w:pStyle w:val="Heading3"/>
      </w:pPr>
      <w:bookmarkStart w:id="89" w:name="_Toc157029047"/>
      <w:r w:rsidRPr="006647C5">
        <w:t>Research and Analysis (HTA Expert papers)</w:t>
      </w:r>
      <w:bookmarkEnd w:id="89"/>
    </w:p>
    <w:p w14:paraId="1FDFE2F4" w14:textId="65FCD4AF" w:rsidR="0090395A" w:rsidRDefault="00983224" w:rsidP="00BE59B7">
      <w:pPr>
        <w:rPr>
          <w:rFonts w:cs="Segoe UI"/>
        </w:rPr>
      </w:pPr>
      <w:r>
        <w:rPr>
          <w:rFonts w:cs="Segoe UI"/>
        </w:rPr>
        <w:t xml:space="preserve">Three </w:t>
      </w:r>
      <w:r w:rsidR="00BA4DAC">
        <w:rPr>
          <w:rFonts w:cs="Segoe UI"/>
        </w:rPr>
        <w:t>HTA expert groups were engaged to undertake research and analysis to support the</w:t>
      </w:r>
      <w:r w:rsidR="0054672F">
        <w:rPr>
          <w:rFonts w:cs="Segoe UI"/>
        </w:rPr>
        <w:t xml:space="preserve"> </w:t>
      </w:r>
      <w:r w:rsidR="00BA4DAC">
        <w:rPr>
          <w:rFonts w:cs="Segoe UI"/>
        </w:rPr>
        <w:t xml:space="preserve">Review. </w:t>
      </w:r>
      <w:r w:rsidR="003C7D67">
        <w:rPr>
          <w:rFonts w:cs="Segoe UI"/>
        </w:rPr>
        <w:t xml:space="preserve">These groups </w:t>
      </w:r>
      <w:r w:rsidR="00674316">
        <w:rPr>
          <w:rFonts w:cs="Segoe UI"/>
        </w:rPr>
        <w:t xml:space="preserve">analysed </w:t>
      </w:r>
      <w:r w:rsidR="003C7D67">
        <w:rPr>
          <w:rFonts w:cs="Segoe UI"/>
        </w:rPr>
        <w:t xml:space="preserve">current methods used by Australia’s HTA advisory committees </w:t>
      </w:r>
      <w:r w:rsidR="005406E8">
        <w:rPr>
          <w:rFonts w:cs="Segoe UI"/>
        </w:rPr>
        <w:t>(</w:t>
      </w:r>
      <w:r w:rsidR="003C7D67">
        <w:rPr>
          <w:rFonts w:cs="Segoe UI"/>
        </w:rPr>
        <w:t>including the PBA</w:t>
      </w:r>
      <w:r w:rsidR="00D4237A">
        <w:rPr>
          <w:rFonts w:cs="Segoe UI"/>
        </w:rPr>
        <w:t>C</w:t>
      </w:r>
      <w:r w:rsidR="005406E8">
        <w:rPr>
          <w:rFonts w:cs="Segoe UI"/>
        </w:rPr>
        <w:t>)</w:t>
      </w:r>
      <w:r w:rsidR="003C7D67">
        <w:rPr>
          <w:rFonts w:cs="Segoe UI"/>
        </w:rPr>
        <w:t xml:space="preserve">, </w:t>
      </w:r>
      <w:r w:rsidR="00D4237A">
        <w:rPr>
          <w:rFonts w:cs="Segoe UI"/>
        </w:rPr>
        <w:t>contemporary</w:t>
      </w:r>
      <w:r w:rsidR="003C7D67">
        <w:rPr>
          <w:rFonts w:cs="Segoe UI"/>
        </w:rPr>
        <w:t xml:space="preserve"> research and relevant methodologies and pur</w:t>
      </w:r>
      <w:r w:rsidR="00D4237A">
        <w:rPr>
          <w:rFonts w:cs="Segoe UI"/>
        </w:rPr>
        <w:t xml:space="preserve">chasing practices used by </w:t>
      </w:r>
      <w:r w:rsidR="0098682D">
        <w:rPr>
          <w:rFonts w:cs="Segoe UI"/>
        </w:rPr>
        <w:t xml:space="preserve">other </w:t>
      </w:r>
      <w:r w:rsidR="00D4237A">
        <w:rPr>
          <w:rFonts w:cs="Segoe UI"/>
        </w:rPr>
        <w:t>comparable</w:t>
      </w:r>
      <w:r w:rsidR="0098682D">
        <w:rPr>
          <w:rFonts w:cs="Segoe UI"/>
        </w:rPr>
        <w:t xml:space="preserve"> countries</w:t>
      </w:r>
      <w:r w:rsidR="00D4237A">
        <w:rPr>
          <w:rFonts w:cs="Segoe UI"/>
        </w:rPr>
        <w:t>.</w:t>
      </w:r>
      <w:r w:rsidR="00C656B3">
        <w:rPr>
          <w:rFonts w:cs="Segoe UI"/>
        </w:rPr>
        <w:t xml:space="preserve"> </w:t>
      </w:r>
      <w:r w:rsidR="0019474A">
        <w:rPr>
          <w:rFonts w:cs="Segoe UI"/>
        </w:rPr>
        <w:t xml:space="preserve">The organisations and the research they </w:t>
      </w:r>
      <w:r w:rsidR="00D4237A">
        <w:rPr>
          <w:rFonts w:cs="Segoe UI"/>
        </w:rPr>
        <w:t>produced</w:t>
      </w:r>
      <w:r w:rsidR="0019474A">
        <w:rPr>
          <w:rFonts w:cs="Segoe UI"/>
        </w:rPr>
        <w:t xml:space="preserve"> are listed below</w:t>
      </w:r>
      <w:r w:rsidR="00E43396">
        <w:rPr>
          <w:rFonts w:cs="Segoe UI"/>
        </w:rPr>
        <w:t>.</w:t>
      </w:r>
      <w:r w:rsidR="0019474A">
        <w:rPr>
          <w:rFonts w:cs="Segoe UI"/>
        </w:rPr>
        <w:t xml:space="preserve"> </w:t>
      </w:r>
    </w:p>
    <w:p w14:paraId="203BC7D8" w14:textId="77777777" w:rsidR="00514023" w:rsidRPr="00514023" w:rsidRDefault="00514023" w:rsidP="00BE59B7">
      <w:pPr>
        <w:rPr>
          <w:rFonts w:cs="Segoe UI"/>
        </w:rPr>
      </w:pPr>
      <w:r w:rsidRPr="00514023">
        <w:rPr>
          <w:rFonts w:cs="Segoe UI"/>
        </w:rPr>
        <w:lastRenderedPageBreak/>
        <w:t>Adelaide Health Technology Assessment (AHTA), papers include:</w:t>
      </w:r>
    </w:p>
    <w:p w14:paraId="306E64E3" w14:textId="48A442C4" w:rsidR="00514023" w:rsidRPr="00514023" w:rsidRDefault="00E73C9F" w:rsidP="008505D7">
      <w:pPr>
        <w:pStyle w:val="ListParagraph"/>
        <w:numPr>
          <w:ilvl w:val="0"/>
          <w:numId w:val="156"/>
        </w:numPr>
        <w:rPr>
          <w:rFonts w:cs="Segoe UI"/>
        </w:rPr>
      </w:pPr>
      <w:hyperlink r:id="rId110" w:history="1">
        <w:r w:rsidR="001E5F5A" w:rsidRPr="00292C36">
          <w:rPr>
            <w:rStyle w:val="Hyperlink"/>
            <w:rFonts w:cs="Segoe UI"/>
          </w:rPr>
          <w:t xml:space="preserve">Paper 1. </w:t>
        </w:r>
        <w:r w:rsidR="00514023" w:rsidRPr="00292C36">
          <w:rPr>
            <w:rStyle w:val="Hyperlink"/>
            <w:rFonts w:cs="Segoe UI"/>
          </w:rPr>
          <w:t xml:space="preserve">International health technology market approval, </w:t>
        </w:r>
        <w:proofErr w:type="gramStart"/>
        <w:r w:rsidR="00514023" w:rsidRPr="00292C36">
          <w:rPr>
            <w:rStyle w:val="Hyperlink"/>
            <w:rFonts w:cs="Segoe UI"/>
          </w:rPr>
          <w:t>funding</w:t>
        </w:r>
        <w:proofErr w:type="gramEnd"/>
        <w:r w:rsidR="00514023" w:rsidRPr="00292C36">
          <w:rPr>
            <w:rStyle w:val="Hyperlink"/>
            <w:rFonts w:cs="Segoe UI"/>
          </w:rPr>
          <w:t xml:space="preserve"> and assessment pathways</w:t>
        </w:r>
      </w:hyperlink>
      <w:r w:rsidR="00514023" w:rsidRPr="00514023">
        <w:rPr>
          <w:rFonts w:cs="Segoe UI"/>
        </w:rPr>
        <w:t xml:space="preserve"> </w:t>
      </w:r>
    </w:p>
    <w:p w14:paraId="162133E1" w14:textId="687DD5E3" w:rsidR="00514023" w:rsidRPr="00514023" w:rsidRDefault="00E73C9F" w:rsidP="008505D7">
      <w:pPr>
        <w:pStyle w:val="ListParagraph"/>
        <w:numPr>
          <w:ilvl w:val="0"/>
          <w:numId w:val="156"/>
        </w:numPr>
        <w:rPr>
          <w:rFonts w:cs="Segoe UI"/>
        </w:rPr>
      </w:pPr>
      <w:hyperlink r:id="rId111" w:history="1">
        <w:r w:rsidR="00E80362" w:rsidRPr="00B86CB0">
          <w:rPr>
            <w:rStyle w:val="Hyperlink"/>
            <w:rFonts w:cs="Segoe UI"/>
          </w:rPr>
          <w:t xml:space="preserve">Paper 2. </w:t>
        </w:r>
        <w:r w:rsidR="001E5F5A" w:rsidRPr="00B86CB0">
          <w:rPr>
            <w:rStyle w:val="Hyperlink"/>
            <w:rFonts w:cs="Segoe UI"/>
          </w:rPr>
          <w:t>Horizon scanning and early value assessment</w:t>
        </w:r>
      </w:hyperlink>
    </w:p>
    <w:p w14:paraId="3E2D9457" w14:textId="362E42A2" w:rsidR="00E63E8F" w:rsidRPr="00514023" w:rsidRDefault="00E73C9F" w:rsidP="008505D7">
      <w:pPr>
        <w:pStyle w:val="ListParagraph"/>
        <w:numPr>
          <w:ilvl w:val="0"/>
          <w:numId w:val="156"/>
        </w:numPr>
        <w:rPr>
          <w:rFonts w:cs="Segoe UI"/>
        </w:rPr>
      </w:pPr>
      <w:hyperlink r:id="rId112" w:history="1">
        <w:r w:rsidR="00E63E8F" w:rsidRPr="00901D9D">
          <w:rPr>
            <w:rStyle w:val="Hyperlink"/>
            <w:rFonts w:cs="Segoe UI"/>
          </w:rPr>
          <w:t>Paper</w:t>
        </w:r>
        <w:r w:rsidR="00E80362" w:rsidRPr="00901D9D">
          <w:rPr>
            <w:rStyle w:val="Hyperlink"/>
            <w:rFonts w:cs="Segoe UI"/>
          </w:rPr>
          <w:t xml:space="preserve"> 3. </w:t>
        </w:r>
        <w:r w:rsidR="00E63E8F" w:rsidRPr="00901D9D">
          <w:rPr>
            <w:rStyle w:val="Hyperlink"/>
            <w:rFonts w:cs="Segoe UI"/>
          </w:rPr>
          <w:t>HTA Methods: Determination of Population Intervention Comparator Outcome (PICO</w:t>
        </w:r>
        <w:r w:rsidR="0068258A">
          <w:rPr>
            <w:rStyle w:val="Hyperlink"/>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Hyperlink"/>
            <w:rFonts w:cs="Segoe UI"/>
          </w:rPr>
          <w:fldChar w:fldCharType="end"/>
        </w:r>
        <w:r w:rsidR="00E63E8F" w:rsidRPr="00901D9D">
          <w:rPr>
            <w:rStyle w:val="Hyperlink"/>
            <w:rFonts w:cs="Segoe UI"/>
          </w:rPr>
          <w:t>)</w:t>
        </w:r>
      </w:hyperlink>
    </w:p>
    <w:p w14:paraId="12D0094C" w14:textId="31FA7F19" w:rsidR="00514023" w:rsidRPr="00514023" w:rsidRDefault="00E73C9F" w:rsidP="008505D7">
      <w:pPr>
        <w:pStyle w:val="ListParagraph"/>
        <w:numPr>
          <w:ilvl w:val="0"/>
          <w:numId w:val="156"/>
        </w:numPr>
        <w:rPr>
          <w:rFonts w:cs="Segoe UI"/>
        </w:rPr>
      </w:pPr>
      <w:hyperlink r:id="rId113" w:history="1">
        <w:r w:rsidR="00E80362" w:rsidRPr="0015509E">
          <w:rPr>
            <w:rStyle w:val="Hyperlink"/>
            <w:rFonts w:cs="Segoe UI"/>
          </w:rPr>
          <w:t xml:space="preserve">Paper 4. </w:t>
        </w:r>
        <w:r w:rsidR="00514023" w:rsidRPr="0015509E">
          <w:rPr>
            <w:rStyle w:val="Hyperlink"/>
            <w:rFonts w:cs="Segoe UI"/>
          </w:rPr>
          <w:t>HTA Methods: Clinical Evaluation</w:t>
        </w:r>
      </w:hyperlink>
    </w:p>
    <w:p w14:paraId="27B6C980" w14:textId="40462478" w:rsidR="00514023" w:rsidRPr="00514023" w:rsidRDefault="00514023" w:rsidP="00BE59B7">
      <w:pPr>
        <w:rPr>
          <w:rFonts w:cs="Segoe UI"/>
        </w:rPr>
      </w:pPr>
      <w:r w:rsidRPr="00514023">
        <w:rPr>
          <w:rFonts w:cs="Segoe UI"/>
        </w:rPr>
        <w:t>CHERE, papers include:</w:t>
      </w:r>
    </w:p>
    <w:p w14:paraId="2A5D0074" w14:textId="61009794" w:rsidR="00514023" w:rsidRPr="00514023" w:rsidRDefault="00E73C9F" w:rsidP="008505D7">
      <w:pPr>
        <w:pStyle w:val="ListParagraph"/>
        <w:numPr>
          <w:ilvl w:val="0"/>
          <w:numId w:val="157"/>
        </w:numPr>
        <w:rPr>
          <w:rFonts w:cs="Segoe UI"/>
        </w:rPr>
      </w:pPr>
      <w:hyperlink r:id="rId114" w:history="1">
        <w:r w:rsidR="008F2018" w:rsidRPr="00F03BAE">
          <w:rPr>
            <w:rStyle w:val="Hyperlink"/>
            <w:rFonts w:cs="Segoe UI"/>
          </w:rPr>
          <w:t xml:space="preserve">Paper 5. </w:t>
        </w:r>
        <w:r w:rsidR="00514023" w:rsidRPr="00F03BAE">
          <w:rPr>
            <w:rStyle w:val="Hyperlink"/>
            <w:rFonts w:cs="Segoe UI"/>
          </w:rPr>
          <w:t>HTA Methods: Economic Evaluation</w:t>
        </w:r>
      </w:hyperlink>
    </w:p>
    <w:p w14:paraId="42E43013" w14:textId="6EEB3BD0" w:rsidR="008F2018" w:rsidRPr="008F2018" w:rsidRDefault="00E73C9F" w:rsidP="008505D7">
      <w:pPr>
        <w:pStyle w:val="ListParagraph"/>
        <w:numPr>
          <w:ilvl w:val="0"/>
          <w:numId w:val="157"/>
        </w:numPr>
        <w:rPr>
          <w:rFonts w:cs="Segoe UI"/>
        </w:rPr>
      </w:pPr>
      <w:hyperlink r:id="rId115" w:history="1">
        <w:r w:rsidR="008F2018" w:rsidRPr="001C4042">
          <w:rPr>
            <w:rStyle w:val="Hyperlink"/>
            <w:rFonts w:cs="Segoe UI"/>
          </w:rPr>
          <w:t xml:space="preserve">Paper 6. Funding and purchasing decisions and </w:t>
        </w:r>
        <w:r w:rsidR="00E63E8F" w:rsidRPr="001C4042">
          <w:rPr>
            <w:rStyle w:val="Hyperlink"/>
            <w:rFonts w:cs="Segoe UI"/>
          </w:rPr>
          <w:t>m</w:t>
        </w:r>
        <w:r w:rsidR="008F2018" w:rsidRPr="001C4042">
          <w:rPr>
            <w:rStyle w:val="Hyperlink"/>
            <w:rFonts w:cs="Segoe UI"/>
          </w:rPr>
          <w:t xml:space="preserve">anaging </w:t>
        </w:r>
        <w:r w:rsidR="00E63E8F" w:rsidRPr="001C4042">
          <w:rPr>
            <w:rStyle w:val="Hyperlink"/>
            <w:rFonts w:cs="Segoe UI"/>
          </w:rPr>
          <w:t>u</w:t>
        </w:r>
        <w:r w:rsidR="008F2018" w:rsidRPr="001C4042">
          <w:rPr>
            <w:rStyle w:val="Hyperlink"/>
            <w:rFonts w:cs="Segoe UI"/>
          </w:rPr>
          <w:t>ncertainty</w:t>
        </w:r>
        <w:r w:rsidR="0077493C">
          <w:rPr>
            <w:rStyle w:val="Hyperlink"/>
            <w:rFonts w:cs="Segoe UI"/>
          </w:rPr>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rPr>
            <w:rStyle w:val="Hyperlink"/>
            <w:rFonts w:cs="Segoe UI"/>
          </w:rPr>
          <w:fldChar w:fldCharType="end"/>
        </w:r>
      </w:hyperlink>
    </w:p>
    <w:p w14:paraId="36A7EFD8" w14:textId="77777777" w:rsidR="00514023" w:rsidRPr="00514023" w:rsidRDefault="00514023" w:rsidP="00BE59B7">
      <w:pPr>
        <w:rPr>
          <w:rFonts w:cs="Segoe UI"/>
        </w:rPr>
      </w:pPr>
      <w:r w:rsidRPr="00514023">
        <w:rPr>
          <w:rFonts w:cs="Segoe UI"/>
        </w:rPr>
        <w:t>Centre of Research Excellence in Medicines Intelligence (MI-CRE), papers include:</w:t>
      </w:r>
    </w:p>
    <w:p w14:paraId="63A90ADB" w14:textId="2427DDEA" w:rsidR="00514023" w:rsidRPr="00514023" w:rsidRDefault="00E73C9F" w:rsidP="008505D7">
      <w:pPr>
        <w:pStyle w:val="ListParagraph"/>
        <w:numPr>
          <w:ilvl w:val="0"/>
          <w:numId w:val="158"/>
        </w:numPr>
        <w:rPr>
          <w:rFonts w:cs="Segoe UI"/>
        </w:rPr>
      </w:pPr>
      <w:hyperlink r:id="rId116" w:history="1">
        <w:r w:rsidR="00264A24" w:rsidRPr="000A2279">
          <w:rPr>
            <w:rStyle w:val="Hyperlink"/>
            <w:rFonts w:cs="Segoe UI"/>
            <w:shd w:val="clear" w:color="auto" w:fill="FFFFFF"/>
          </w:rPr>
          <w:t>Paper 7. Optimising the availability and use of real</w:t>
        </w:r>
        <w:r w:rsidR="00DE0409">
          <w:rPr>
            <w:rStyle w:val="Hyperlink"/>
            <w:rFonts w:cs="Segoe UI"/>
            <w:shd w:val="clear" w:color="auto" w:fill="FFFFFF"/>
          </w:rPr>
          <w:t>-</w:t>
        </w:r>
        <w:r w:rsidR="00264A24" w:rsidRPr="000A2279">
          <w:rPr>
            <w:rStyle w:val="Hyperlink"/>
            <w:rFonts w:cs="Segoe UI"/>
            <w:shd w:val="clear" w:color="auto" w:fill="FFFFFF"/>
          </w:rPr>
          <w:t>world data and real</w:t>
        </w:r>
        <w:r w:rsidR="00DE0409">
          <w:rPr>
            <w:rStyle w:val="Hyperlink"/>
            <w:rFonts w:cs="Segoe UI"/>
            <w:shd w:val="clear" w:color="auto" w:fill="FFFFFF"/>
          </w:rPr>
          <w:t>-</w:t>
        </w:r>
        <w:r w:rsidR="00264A24" w:rsidRPr="000A2279">
          <w:rPr>
            <w:rStyle w:val="Hyperlink"/>
            <w:rFonts w:cs="Segoe UI"/>
            <w:shd w:val="clear" w:color="auto" w:fill="FFFFFF"/>
          </w:rPr>
          <w:t>world evidence to support health technology assessment in Australia</w:t>
        </w:r>
      </w:hyperlink>
      <w:r w:rsidR="002E0F87">
        <w:rPr>
          <w:rStyle w:val="Hyperlink"/>
          <w:rFonts w:cs="Segoe UI"/>
          <w:shd w:val="clear" w:color="auto" w:fill="FFFFFF"/>
        </w:rPr>
        <w:t>.</w:t>
      </w:r>
    </w:p>
    <w:p w14:paraId="0DDA54A6" w14:textId="6B125EDD" w:rsidR="000E1DBD" w:rsidRPr="006647C5" w:rsidRDefault="000E1DBD" w:rsidP="001C5DDA">
      <w:pPr>
        <w:pStyle w:val="Heading3"/>
      </w:pPr>
      <w:bookmarkStart w:id="90" w:name="_Toc157029048"/>
      <w:r w:rsidRPr="006647C5">
        <w:t>Public Consultation 2 (this consultation)</w:t>
      </w:r>
      <w:bookmarkEnd w:id="90"/>
    </w:p>
    <w:p w14:paraId="3ACE3547" w14:textId="58573E87" w:rsidR="0090395A" w:rsidRPr="006647C5" w:rsidRDefault="00840F2C" w:rsidP="008C10BB">
      <w:pPr>
        <w:spacing w:after="120"/>
        <w:rPr>
          <w:rFonts w:cs="Segoe UI"/>
        </w:rPr>
      </w:pPr>
      <w:r>
        <w:rPr>
          <w:rFonts w:cs="Segoe UI"/>
        </w:rPr>
        <w:t xml:space="preserve">This </w:t>
      </w:r>
      <w:r w:rsidR="00E438F9">
        <w:rPr>
          <w:rFonts w:cs="Segoe UI"/>
        </w:rPr>
        <w:t xml:space="preserve">consultation seeks to workshop with stakeholders </w:t>
      </w:r>
      <w:r w:rsidR="00D8689D">
        <w:rPr>
          <w:rFonts w:cs="Segoe UI"/>
        </w:rPr>
        <w:t xml:space="preserve">the various </w:t>
      </w:r>
      <w:r w:rsidR="00E438F9">
        <w:rPr>
          <w:rFonts w:cs="Segoe UI"/>
        </w:rPr>
        <w:t xml:space="preserve">options for reform the Reference Committee has heard and developed through </w:t>
      </w:r>
      <w:r w:rsidR="009D6E02">
        <w:rPr>
          <w:rFonts w:cs="Segoe UI"/>
        </w:rPr>
        <w:t>C</w:t>
      </w:r>
      <w:r w:rsidR="00C656B3">
        <w:rPr>
          <w:rFonts w:cs="Segoe UI"/>
        </w:rPr>
        <w:t xml:space="preserve">onsultation 1, deep dives and in the research and analysis papers. </w:t>
      </w:r>
    </w:p>
    <w:p w14:paraId="0BEE1F47" w14:textId="13DEBB57" w:rsidR="000E1DBD" w:rsidRPr="006647C5" w:rsidRDefault="000E1DBD" w:rsidP="001C5DDA">
      <w:pPr>
        <w:pStyle w:val="Heading3"/>
      </w:pPr>
      <w:bookmarkStart w:id="91" w:name="_Toc157029049"/>
      <w:r w:rsidRPr="006647C5">
        <w:t>Next Steps</w:t>
      </w:r>
      <w:bookmarkEnd w:id="91"/>
    </w:p>
    <w:p w14:paraId="16DFC735" w14:textId="77777777" w:rsidR="00566319" w:rsidRDefault="00FB1DCE" w:rsidP="008C10BB">
      <w:pPr>
        <w:spacing w:after="120"/>
        <w:rPr>
          <w:rFonts w:cs="Segoe UI"/>
        </w:rPr>
        <w:sectPr w:rsidR="00566319" w:rsidSect="00AF354B">
          <w:headerReference w:type="even" r:id="rId117"/>
          <w:headerReference w:type="default" r:id="rId118"/>
          <w:type w:val="continuous"/>
          <w:pgSz w:w="11906" w:h="16838"/>
          <w:pgMar w:top="709" w:right="1440" w:bottom="1440" w:left="1440" w:header="284" w:footer="708" w:gutter="0"/>
          <w:cols w:space="708"/>
          <w:docGrid w:linePitch="360"/>
        </w:sectPr>
      </w:pPr>
      <w:r>
        <w:rPr>
          <w:rFonts w:cs="Segoe UI"/>
        </w:rPr>
        <w:t xml:space="preserve">Following </w:t>
      </w:r>
      <w:r w:rsidR="164421F6" w:rsidRPr="72F20BEE">
        <w:rPr>
          <w:rFonts w:cs="Segoe UI"/>
        </w:rPr>
        <w:t xml:space="preserve">the second </w:t>
      </w:r>
      <w:r w:rsidR="164421F6" w:rsidRPr="4F9FF5E7">
        <w:rPr>
          <w:rFonts w:cs="Segoe UI"/>
        </w:rPr>
        <w:t xml:space="preserve">round of </w:t>
      </w:r>
      <w:r w:rsidR="164421F6" w:rsidRPr="1D6F4102">
        <w:rPr>
          <w:rFonts w:cs="Segoe UI"/>
        </w:rPr>
        <w:t>consultation (</w:t>
      </w:r>
      <w:r>
        <w:rPr>
          <w:rFonts w:cs="Segoe UI"/>
        </w:rPr>
        <w:t>Consultation 2</w:t>
      </w:r>
      <w:r w:rsidR="70806654" w:rsidRPr="1D6F4102">
        <w:rPr>
          <w:rFonts w:cs="Segoe UI"/>
        </w:rPr>
        <w:t>)</w:t>
      </w:r>
      <w:r w:rsidR="009D6E02" w:rsidRPr="1D6F4102">
        <w:rPr>
          <w:rFonts w:cs="Segoe UI"/>
        </w:rPr>
        <w:t>,</w:t>
      </w:r>
      <w:r>
        <w:rPr>
          <w:rFonts w:cs="Segoe UI"/>
        </w:rPr>
        <w:t xml:space="preserve"> the Reference Committee will prepare </w:t>
      </w:r>
      <w:r w:rsidR="00487A7D">
        <w:rPr>
          <w:rFonts w:cs="Segoe UI"/>
        </w:rPr>
        <w:t>a final report with recommendations. Th</w:t>
      </w:r>
      <w:r w:rsidR="009D6E02">
        <w:rPr>
          <w:rFonts w:cs="Segoe UI"/>
        </w:rPr>
        <w:t xml:space="preserve">is report </w:t>
      </w:r>
      <w:r w:rsidR="00487A7D">
        <w:rPr>
          <w:rFonts w:cs="Segoe UI"/>
        </w:rPr>
        <w:t xml:space="preserve">will be provided to the PBAC and the Australian </w:t>
      </w:r>
      <w:r w:rsidR="00194FF4">
        <w:rPr>
          <w:rFonts w:cs="Segoe UI"/>
        </w:rPr>
        <w:t xml:space="preserve">Government for consideration. </w:t>
      </w:r>
      <w:bookmarkStart w:id="92" w:name="_Ref155728775"/>
    </w:p>
    <w:p w14:paraId="3CEB6E28" w14:textId="6BBA2D89" w:rsidR="00BA47F6" w:rsidRPr="001C5DDA" w:rsidRDefault="00BA47F6" w:rsidP="008C10BB">
      <w:pPr>
        <w:pStyle w:val="Heading1"/>
        <w:spacing w:line="259" w:lineRule="auto"/>
      </w:pPr>
      <w:bookmarkStart w:id="93" w:name="_Toc157029050"/>
      <w:bookmarkStart w:id="94" w:name="_Toc157029483"/>
      <w:bookmarkStart w:id="95" w:name="_Toc157030175"/>
      <w:r w:rsidRPr="001C5DDA">
        <w:lastRenderedPageBreak/>
        <w:t>Transparency</w:t>
      </w:r>
      <w:r w:rsidR="00A06F28">
        <w:t xml:space="preserve">, </w:t>
      </w:r>
      <w:r w:rsidR="0048434A">
        <w:t>c</w:t>
      </w:r>
      <w:r w:rsidR="0048434A" w:rsidRPr="001C5DDA">
        <w:t>ommunication</w:t>
      </w:r>
      <w:r w:rsidR="00570001">
        <w:fldChar w:fldCharType="begin"/>
      </w:r>
      <w:r w:rsidR="00570001">
        <w:instrText xml:space="preserve"> XE "</w:instrText>
      </w:r>
      <w:r w:rsidR="00570001" w:rsidRPr="00E61E42">
        <w:rPr>
          <w:color w:val="auto"/>
        </w:rPr>
        <w:instrText>communication</w:instrText>
      </w:r>
      <w:r w:rsidR="00570001">
        <w:instrText xml:space="preserve">" \b </w:instrText>
      </w:r>
      <w:r w:rsidR="00570001">
        <w:fldChar w:fldCharType="end"/>
      </w:r>
      <w:r w:rsidR="0048434A" w:rsidRPr="001C5DDA">
        <w:t>,</w:t>
      </w:r>
      <w:r w:rsidRPr="001C5DDA">
        <w:t xml:space="preserve"> </w:t>
      </w:r>
      <w:r w:rsidR="00A06F28">
        <w:t xml:space="preserve">and stakeholder involvement </w:t>
      </w:r>
      <w:r w:rsidR="00DD52C0">
        <w:t xml:space="preserve">in </w:t>
      </w:r>
      <w:r w:rsidRPr="001C5DDA">
        <w:t>HTA</w:t>
      </w:r>
      <w:bookmarkEnd w:id="93"/>
      <w:bookmarkEnd w:id="94"/>
      <w:bookmarkEnd w:id="95"/>
    </w:p>
    <w:p w14:paraId="46E12709" w14:textId="5190C79B" w:rsidR="0090395A" w:rsidRPr="001C5DDA" w:rsidRDefault="000E1DBD" w:rsidP="008C10BB">
      <w:pPr>
        <w:pStyle w:val="Heading2"/>
        <w:spacing w:line="259" w:lineRule="auto"/>
        <w:ind w:left="851" w:hanging="851"/>
      </w:pPr>
      <w:bookmarkStart w:id="96" w:name="_Toc157029051"/>
      <w:bookmarkStart w:id="97" w:name="_Toc157029484"/>
      <w:bookmarkStart w:id="98" w:name="_Toc157030176"/>
      <w:r w:rsidRPr="001C5DDA">
        <w:t>Transparency</w:t>
      </w:r>
      <w:r w:rsidR="0090395A" w:rsidRPr="001C5DDA">
        <w:t xml:space="preserve"> and </w:t>
      </w:r>
      <w:r w:rsidR="00F71B52">
        <w:t>c</w:t>
      </w:r>
      <w:r w:rsidRPr="001C5DDA">
        <w:t>ommunication</w:t>
      </w:r>
      <w:r w:rsidR="00570001">
        <w:fldChar w:fldCharType="begin"/>
      </w:r>
      <w:r w:rsidR="00570001">
        <w:instrText xml:space="preserve"> XE "</w:instrText>
      </w:r>
      <w:r w:rsidR="00570001" w:rsidRPr="00E61E42">
        <w:rPr>
          <w:color w:val="auto"/>
        </w:rPr>
        <w:instrText>communication</w:instrText>
      </w:r>
      <w:r w:rsidR="00570001">
        <w:instrText xml:space="preserve">" \b </w:instrText>
      </w:r>
      <w:r w:rsidR="00570001">
        <w:fldChar w:fldCharType="end"/>
      </w:r>
      <w:r w:rsidRPr="001C5DDA">
        <w:t xml:space="preserve"> </w:t>
      </w:r>
      <w:r w:rsidR="0090395A" w:rsidRPr="001C5DDA">
        <w:t xml:space="preserve">of HTA pathways, </w:t>
      </w:r>
      <w:proofErr w:type="gramStart"/>
      <w:r w:rsidR="0090395A" w:rsidRPr="001C5DDA">
        <w:t>processes</w:t>
      </w:r>
      <w:proofErr w:type="gramEnd"/>
      <w:r w:rsidR="0090395A" w:rsidRPr="001C5DDA">
        <w:t xml:space="preserve"> and decisions</w:t>
      </w:r>
      <w:bookmarkEnd w:id="92"/>
      <w:bookmarkEnd w:id="96"/>
      <w:bookmarkEnd w:id="97"/>
      <w:bookmarkEnd w:id="98"/>
      <w:r w:rsidR="0090395A" w:rsidRPr="001C5DDA">
        <w:t xml:space="preserve"> </w:t>
      </w:r>
    </w:p>
    <w:p w14:paraId="5CCB7E0E" w14:textId="328A745C" w:rsidR="0090395A" w:rsidRDefault="006672CB" w:rsidP="00DF557A">
      <w:pPr>
        <w:pStyle w:val="Heading3"/>
      </w:pPr>
      <w:bookmarkStart w:id="99" w:name="_Toc157029052"/>
      <w:r>
        <w:t>C</w:t>
      </w:r>
      <w:r w:rsidR="00F80FBF">
        <w:t>urrent state</w:t>
      </w:r>
      <w:bookmarkEnd w:id="99"/>
    </w:p>
    <w:p w14:paraId="384CEEE3" w14:textId="65490032" w:rsidR="00A4769B" w:rsidRDefault="001B55D9" w:rsidP="0059385D">
      <w:r>
        <w:t>In Australia, i</w:t>
      </w:r>
      <w:r w:rsidR="00F159D7">
        <w:t xml:space="preserve">nformation about HTA pathways, processes and decisions is published on </w:t>
      </w:r>
      <w:r w:rsidR="007F3DC2">
        <w:t>various</w:t>
      </w:r>
      <w:r w:rsidR="00F159D7">
        <w:t xml:space="preserve"> websites</w:t>
      </w:r>
      <w:r w:rsidR="00D02BC5">
        <w:t xml:space="preserve">, including those for the </w:t>
      </w:r>
      <w:r w:rsidR="003C02A7">
        <w:t>PBS</w:t>
      </w:r>
      <w:r w:rsidR="00697FAF">
        <w:t xml:space="preserve"> (and Medicines Status)</w:t>
      </w:r>
      <w:r w:rsidR="00D02BC5">
        <w:t xml:space="preserve">, </w:t>
      </w:r>
      <w:r w:rsidR="003C02A7">
        <w:t>MBS</w:t>
      </w:r>
      <w:r w:rsidR="00D02BC5">
        <w:t xml:space="preserve">, </w:t>
      </w:r>
      <w:r w:rsidR="003C02A7">
        <w:t>the PBAC</w:t>
      </w:r>
      <w:r w:rsidR="00436928">
        <w:t xml:space="preserve">, the </w:t>
      </w:r>
      <w:r w:rsidR="003C02A7">
        <w:t>MSAC</w:t>
      </w:r>
      <w:r w:rsidR="008F08C7">
        <w:t>,</w:t>
      </w:r>
      <w:r w:rsidR="00B226ED">
        <w:t xml:space="preserve"> and</w:t>
      </w:r>
      <w:r w:rsidR="008F08C7">
        <w:t xml:space="preserve"> the </w:t>
      </w:r>
      <w:r w:rsidR="050486E3">
        <w:t>C</w:t>
      </w:r>
      <w:r w:rsidR="008F08C7">
        <w:t xml:space="preserve">onsultation </w:t>
      </w:r>
      <w:r w:rsidR="349D840D">
        <w:t>H</w:t>
      </w:r>
      <w:r w:rsidR="008F08C7">
        <w:t>ub</w:t>
      </w:r>
      <w:r w:rsidR="00F159D7">
        <w:t>.</w:t>
      </w:r>
      <w:r w:rsidR="00C70BE5">
        <w:t xml:space="preserve"> There is information targeted to patients, </w:t>
      </w:r>
      <w:r w:rsidR="008F08C7">
        <w:t>clinicians,</w:t>
      </w:r>
      <w:r w:rsidR="00972F40">
        <w:t xml:space="preserve"> and </w:t>
      </w:r>
      <w:r w:rsidR="00D73EE4">
        <w:t>sponsors</w:t>
      </w:r>
      <w:r w:rsidR="00972F40">
        <w:t xml:space="preserve">. </w:t>
      </w:r>
      <w:r w:rsidR="00872DD0">
        <w:t xml:space="preserve">The different information sources </w:t>
      </w:r>
      <w:r w:rsidR="00605EC4">
        <w:t>on HTA pathways</w:t>
      </w:r>
      <w:r w:rsidR="00910E6C">
        <w:t>,</w:t>
      </w:r>
      <w:r w:rsidR="00605EC4">
        <w:t xml:space="preserve"> processes and decisions </w:t>
      </w:r>
      <w:r w:rsidR="004265F6">
        <w:t>are</w:t>
      </w:r>
      <w:r w:rsidR="00605EC4">
        <w:t xml:space="preserve"> set out in the table below. </w:t>
      </w:r>
    </w:p>
    <w:tbl>
      <w:tblPr>
        <w:tblpPr w:leftFromText="181" w:rightFromText="181" w:bottomFromText="142" w:vertAnchor="text" w:tblpY="1"/>
        <w:tblOverlap w:val="never"/>
        <w:tblW w:w="0" w:type="auto"/>
        <w:tblCellMar>
          <w:left w:w="0" w:type="dxa"/>
          <w:right w:w="0" w:type="dxa"/>
        </w:tblCellMar>
        <w:tblLook w:val="0420" w:firstRow="1" w:lastRow="0" w:firstColumn="0" w:lastColumn="0" w:noHBand="0" w:noVBand="1"/>
      </w:tblPr>
      <w:tblGrid>
        <w:gridCol w:w="4148"/>
        <w:gridCol w:w="4858"/>
      </w:tblGrid>
      <w:tr w:rsidR="007F567F" w:rsidRPr="006647C5" w14:paraId="3BACEC6B" w14:textId="0E6517E3" w:rsidTr="0052396D">
        <w:trPr>
          <w:cantSplit/>
          <w:trHeight w:val="419"/>
          <w:tblHeader/>
        </w:trPr>
        <w:tc>
          <w:tcPr>
            <w:tcW w:w="4148" w:type="dxa"/>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0805306E" w14:textId="7D9ED0A7" w:rsidR="007F567F" w:rsidRPr="005F065C" w:rsidRDefault="007F567F" w:rsidP="008C10BB">
            <w:pPr>
              <w:spacing w:after="120"/>
              <w:jc w:val="center"/>
              <w:rPr>
                <w:rFonts w:eastAsia="Times New Roman" w:cs="Segoe UI"/>
                <w:sz w:val="36"/>
                <w:szCs w:val="36"/>
                <w:lang w:eastAsia="en-AU"/>
              </w:rPr>
            </w:pPr>
            <w:r>
              <w:rPr>
                <w:rFonts w:eastAsia="Times New Roman" w:cs="Segoe UI"/>
                <w:b/>
                <w:bCs/>
                <w:color w:val="FFFFFF"/>
                <w:kern w:val="24"/>
                <w:lang w:eastAsia="en-AU"/>
              </w:rPr>
              <w:t>Web page / target audience</w:t>
            </w:r>
          </w:p>
        </w:tc>
        <w:tc>
          <w:tcPr>
            <w:tcW w:w="4868" w:type="dxa"/>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575228E5" w14:textId="7BBBAEE2" w:rsidR="007F567F" w:rsidRDefault="007F567F" w:rsidP="008C10BB">
            <w:pPr>
              <w:spacing w:after="120"/>
              <w:jc w:val="center"/>
              <w:rPr>
                <w:rFonts w:eastAsia="Times New Roman" w:cs="Segoe UI"/>
                <w:b/>
                <w:bCs/>
                <w:color w:val="FFFFFF"/>
                <w:kern w:val="24"/>
                <w:lang w:eastAsia="en-AU"/>
              </w:rPr>
            </w:pPr>
            <w:r>
              <w:rPr>
                <w:rFonts w:eastAsia="Times New Roman" w:cs="Segoe UI"/>
                <w:b/>
                <w:bCs/>
                <w:color w:val="FFFFFF"/>
                <w:kern w:val="24"/>
                <w:lang w:eastAsia="en-AU"/>
              </w:rPr>
              <w:t>Content</w:t>
            </w:r>
          </w:p>
        </w:tc>
      </w:tr>
      <w:tr w:rsidR="007F567F" w:rsidRPr="006647C5" w14:paraId="613C3806" w14:textId="51F7E484" w:rsidTr="0052396D">
        <w:trPr>
          <w:trHeight w:val="996"/>
        </w:trPr>
        <w:tc>
          <w:tcPr>
            <w:tcW w:w="414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BF7567B" w14:textId="77777777" w:rsidR="007F567F" w:rsidRDefault="007F567F"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Medicines Status Website</w:t>
            </w:r>
          </w:p>
          <w:p w14:paraId="7AEE7B5D" w14:textId="16320A11" w:rsidR="007F567F" w:rsidRDefault="00E73C9F" w:rsidP="008C10BB">
            <w:pPr>
              <w:spacing w:after="120"/>
              <w:rPr>
                <w:rFonts w:eastAsia="Times New Roman" w:cs="Segoe UI"/>
                <w:color w:val="222A35"/>
                <w:kern w:val="24"/>
                <w:sz w:val="20"/>
                <w:szCs w:val="20"/>
                <w:lang w:eastAsia="en-AU"/>
              </w:rPr>
            </w:pPr>
            <w:hyperlink r:id="rId119" w:history="1">
              <w:r w:rsidR="007F567F" w:rsidRPr="009973B2">
                <w:rPr>
                  <w:rStyle w:val="Hyperlink"/>
                  <w:rFonts w:eastAsia="Times New Roman" w:cs="Segoe UI"/>
                  <w:kern w:val="24"/>
                  <w:sz w:val="20"/>
                  <w:szCs w:val="20"/>
                  <w:lang w:eastAsia="en-AU"/>
                </w:rPr>
                <w:t>www.pbs.gov.au/medicinestatus/home.html</w:t>
              </w:r>
            </w:hyperlink>
          </w:p>
          <w:p w14:paraId="6799BE8C" w14:textId="590BF092" w:rsidR="007F567F" w:rsidRPr="00A55BB8" w:rsidRDefault="007F567F" w:rsidP="008C10BB">
            <w:pPr>
              <w:spacing w:after="120"/>
              <w:rPr>
                <w:rFonts w:eastAsia="Times New Roman" w:cs="Segoe UI"/>
                <w:b/>
                <w:bCs/>
                <w:color w:val="222A35"/>
                <w:kern w:val="24"/>
                <w:sz w:val="20"/>
                <w:szCs w:val="20"/>
                <w:lang w:eastAsia="en-AU"/>
              </w:rPr>
            </w:pPr>
            <w:r w:rsidRPr="00A55BB8">
              <w:rPr>
                <w:rFonts w:eastAsia="Times New Roman" w:cs="Segoe UI"/>
                <w:b/>
                <w:bCs/>
                <w:color w:val="222A35"/>
                <w:kern w:val="24"/>
                <w:sz w:val="20"/>
                <w:szCs w:val="20"/>
                <w:lang w:eastAsia="en-AU"/>
              </w:rPr>
              <w:t>Target audience: Consumers</w:t>
            </w:r>
            <w:r w:rsidR="00152BEB">
              <w:rPr>
                <w:rFonts w:eastAsia="Times New Roman" w:cs="Segoe UI"/>
                <w:b/>
                <w:bCs/>
                <w:color w:val="222A35"/>
                <w:kern w:val="24"/>
                <w:sz w:val="20"/>
                <w:szCs w:val="20"/>
                <w:lang w:eastAsia="en-AU"/>
              </w:rPr>
              <w:t xml:space="preserve"> </w:t>
            </w:r>
            <w:r w:rsidR="00DA1ADF">
              <w:rPr>
                <w:rFonts w:eastAsia="Times New Roman" w:cs="Segoe UI"/>
                <w:b/>
                <w:bCs/>
                <w:color w:val="222A35"/>
                <w:kern w:val="24"/>
                <w:sz w:val="20"/>
                <w:szCs w:val="20"/>
                <w:lang w:eastAsia="en-AU"/>
              </w:rPr>
              <w:t>/ patients</w:t>
            </w:r>
          </w:p>
        </w:tc>
        <w:tc>
          <w:tcPr>
            <w:tcW w:w="486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67BD6F8" w14:textId="77777777" w:rsidR="00427E24" w:rsidRDefault="00A55BB8" w:rsidP="008C10BB">
            <w:pPr>
              <w:spacing w:after="120"/>
              <w:rPr>
                <w:rFonts w:eastAsia="Times New Roman" w:cs="Segoe UI"/>
                <w:color w:val="222A35"/>
                <w:kern w:val="24"/>
                <w:sz w:val="20"/>
                <w:szCs w:val="20"/>
                <w:lang w:eastAsia="en-AU"/>
              </w:rPr>
            </w:pPr>
            <w:r w:rsidRPr="00427E24">
              <w:rPr>
                <w:rFonts w:eastAsia="Times New Roman" w:cs="Segoe UI"/>
                <w:b/>
                <w:bCs/>
                <w:color w:val="222A35"/>
                <w:kern w:val="24"/>
                <w:sz w:val="20"/>
                <w:szCs w:val="20"/>
                <w:lang w:eastAsia="en-AU"/>
              </w:rPr>
              <w:t>Information about the PBS listing process</w:t>
            </w:r>
            <w:r w:rsidR="00260D5F">
              <w:rPr>
                <w:rFonts w:eastAsia="Times New Roman" w:cs="Segoe UI"/>
                <w:color w:val="222A35"/>
                <w:kern w:val="24"/>
                <w:sz w:val="20"/>
                <w:szCs w:val="20"/>
                <w:lang w:eastAsia="en-AU"/>
              </w:rPr>
              <w:t xml:space="preserve"> </w:t>
            </w:r>
          </w:p>
          <w:p w14:paraId="5EBBFC3D" w14:textId="7E591348" w:rsidR="007F567F" w:rsidRDefault="00427E24"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H</w:t>
            </w:r>
            <w:r w:rsidR="00260D5F">
              <w:rPr>
                <w:rFonts w:eastAsia="Times New Roman" w:cs="Segoe UI"/>
                <w:color w:val="222A35"/>
                <w:kern w:val="24"/>
                <w:sz w:val="20"/>
                <w:szCs w:val="20"/>
                <w:lang w:eastAsia="en-AU"/>
              </w:rPr>
              <w:t xml:space="preserve">igh level and detailed information about each listing step </w:t>
            </w:r>
          </w:p>
          <w:p w14:paraId="186484E7" w14:textId="67628C25" w:rsidR="00D73A94" w:rsidRDefault="00D73A94"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Information about the different decisions that the PBAC may make in relation to </w:t>
            </w:r>
            <w:proofErr w:type="gramStart"/>
            <w:r>
              <w:rPr>
                <w:rFonts w:eastAsia="Times New Roman" w:cs="Segoe UI"/>
                <w:color w:val="222A35"/>
                <w:kern w:val="24"/>
                <w:sz w:val="20"/>
                <w:szCs w:val="20"/>
                <w:lang w:eastAsia="en-AU"/>
              </w:rPr>
              <w:t>submissions</w:t>
            </w:r>
            <w:proofErr w:type="gramEnd"/>
          </w:p>
          <w:p w14:paraId="4F9566C0" w14:textId="011284DE" w:rsidR="0002193F" w:rsidRPr="0002193F" w:rsidRDefault="0002193F" w:rsidP="008C10BB">
            <w:pPr>
              <w:spacing w:after="120"/>
              <w:rPr>
                <w:rFonts w:eastAsia="Times New Roman" w:cs="Segoe UI"/>
                <w:b/>
                <w:bCs/>
                <w:color w:val="222A35"/>
                <w:kern w:val="24"/>
                <w:sz w:val="20"/>
                <w:szCs w:val="20"/>
                <w:lang w:eastAsia="en-AU"/>
              </w:rPr>
            </w:pPr>
            <w:r w:rsidRPr="0002193F">
              <w:rPr>
                <w:rFonts w:eastAsia="Times New Roman" w:cs="Segoe UI"/>
                <w:b/>
                <w:bCs/>
                <w:color w:val="222A35"/>
                <w:kern w:val="24"/>
                <w:sz w:val="20"/>
                <w:szCs w:val="20"/>
                <w:lang w:eastAsia="en-AU"/>
              </w:rPr>
              <w:t>Submission information</w:t>
            </w:r>
          </w:p>
          <w:p w14:paraId="2F33BFBE" w14:textId="08C92138" w:rsidR="001A4B1A" w:rsidRDefault="00557346"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The status</w:t>
            </w:r>
            <w:r w:rsidR="00D73A94">
              <w:rPr>
                <w:rFonts w:eastAsia="Times New Roman" w:cs="Segoe UI"/>
                <w:color w:val="222A35"/>
                <w:kern w:val="24"/>
                <w:sz w:val="20"/>
                <w:szCs w:val="20"/>
                <w:lang w:eastAsia="en-AU"/>
              </w:rPr>
              <w:t xml:space="preserve"> (stage of the PBS listing process)</w:t>
            </w:r>
            <w:r>
              <w:rPr>
                <w:rFonts w:eastAsia="Times New Roman" w:cs="Segoe UI"/>
                <w:color w:val="222A35"/>
                <w:kern w:val="24"/>
                <w:sz w:val="20"/>
                <w:szCs w:val="20"/>
                <w:lang w:eastAsia="en-AU"/>
              </w:rPr>
              <w:t xml:space="preserve"> of all submissions considered by the PBAC </w:t>
            </w:r>
            <w:r w:rsidR="004E29C4">
              <w:rPr>
                <w:rFonts w:eastAsia="Times New Roman" w:cs="Segoe UI"/>
                <w:color w:val="222A35"/>
                <w:kern w:val="24"/>
                <w:sz w:val="20"/>
                <w:szCs w:val="20"/>
                <w:lang w:eastAsia="en-AU"/>
              </w:rPr>
              <w:t xml:space="preserve">from </w:t>
            </w:r>
            <w:r>
              <w:rPr>
                <w:rFonts w:eastAsia="Times New Roman" w:cs="Segoe UI"/>
                <w:color w:val="222A35"/>
                <w:kern w:val="24"/>
                <w:sz w:val="20"/>
                <w:szCs w:val="20"/>
                <w:lang w:eastAsia="en-AU"/>
              </w:rPr>
              <w:t xml:space="preserve">July 2019 </w:t>
            </w:r>
            <w:proofErr w:type="gramStart"/>
            <w:r>
              <w:rPr>
                <w:rFonts w:eastAsia="Times New Roman" w:cs="Segoe UI"/>
                <w:color w:val="222A35"/>
                <w:kern w:val="24"/>
                <w:sz w:val="20"/>
                <w:szCs w:val="20"/>
                <w:lang w:eastAsia="en-AU"/>
              </w:rPr>
              <w:t>onwards</w:t>
            </w:r>
            <w:proofErr w:type="gramEnd"/>
          </w:p>
          <w:p w14:paraId="2E0672A6" w14:textId="41D8C05D" w:rsidR="0086189A" w:rsidRPr="002F7457" w:rsidRDefault="0086189A"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Link to public summary of the PBAC’s consideration</w:t>
            </w:r>
          </w:p>
        </w:tc>
      </w:tr>
      <w:tr w:rsidR="00260D5F" w:rsidRPr="006647C5" w14:paraId="55AFF8D8" w14:textId="77777777" w:rsidTr="0052396D">
        <w:trPr>
          <w:trHeight w:val="996"/>
        </w:trPr>
        <w:tc>
          <w:tcPr>
            <w:tcW w:w="414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A25DE79" w14:textId="3A77F137" w:rsidR="00260D5F" w:rsidRDefault="00CF0C6D"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 </w:t>
            </w:r>
            <w:r w:rsidR="136B9475">
              <w:rPr>
                <w:rFonts w:eastAsia="Times New Roman" w:cs="Segoe UI"/>
                <w:color w:val="222A35"/>
                <w:kern w:val="24"/>
                <w:sz w:val="20"/>
                <w:szCs w:val="20"/>
                <w:lang w:eastAsia="en-AU"/>
              </w:rPr>
              <w:t>C</w:t>
            </w:r>
            <w:r w:rsidR="0FBBED04">
              <w:rPr>
                <w:rFonts w:eastAsia="Times New Roman" w:cs="Segoe UI"/>
                <w:color w:val="222A35"/>
                <w:kern w:val="24"/>
                <w:sz w:val="20"/>
                <w:szCs w:val="20"/>
                <w:lang w:eastAsia="en-AU"/>
              </w:rPr>
              <w:t xml:space="preserve">onsultation </w:t>
            </w:r>
            <w:r w:rsidR="336E1693">
              <w:rPr>
                <w:rFonts w:eastAsia="Times New Roman" w:cs="Segoe UI"/>
                <w:color w:val="222A35"/>
                <w:kern w:val="24"/>
                <w:sz w:val="20"/>
                <w:szCs w:val="20"/>
                <w:lang w:eastAsia="en-AU"/>
              </w:rPr>
              <w:t>H</w:t>
            </w:r>
            <w:r>
              <w:rPr>
                <w:rFonts w:eastAsia="Times New Roman" w:cs="Segoe UI"/>
                <w:color w:val="222A35"/>
                <w:kern w:val="24"/>
                <w:sz w:val="20"/>
                <w:szCs w:val="20"/>
                <w:lang w:eastAsia="en-AU"/>
              </w:rPr>
              <w:t>ub</w:t>
            </w:r>
          </w:p>
          <w:p w14:paraId="468F9485" w14:textId="099DE286" w:rsidR="00B71624" w:rsidRPr="005F79C7" w:rsidRDefault="005F79C7" w:rsidP="008C10BB">
            <w:pPr>
              <w:spacing w:after="120"/>
              <w:rPr>
                <w:rStyle w:val="Hyperlink"/>
                <w:sz w:val="21"/>
                <w:szCs w:val="21"/>
              </w:rPr>
            </w:pPr>
            <w:r w:rsidRPr="005F79C7">
              <w:rPr>
                <w:rStyle w:val="Hyperlink"/>
                <w:sz w:val="21"/>
                <w:szCs w:val="21"/>
                <w:lang w:eastAsia="en-AU"/>
              </w:rPr>
              <w:t>ohta-consultations.health.gov.au</w:t>
            </w:r>
            <w:r w:rsidRPr="005F79C7">
              <w:rPr>
                <w:rStyle w:val="Hyperlink"/>
                <w:sz w:val="21"/>
                <w:szCs w:val="21"/>
              </w:rPr>
              <w:t xml:space="preserve"> </w:t>
            </w:r>
          </w:p>
          <w:p w14:paraId="0FA6DB5F" w14:textId="252BAD64" w:rsidR="00152BEB" w:rsidRPr="00152BEB" w:rsidRDefault="00152BEB" w:rsidP="008C10BB">
            <w:pPr>
              <w:spacing w:after="120"/>
              <w:rPr>
                <w:rFonts w:eastAsia="Times New Roman" w:cs="Segoe UI"/>
                <w:b/>
                <w:bCs/>
                <w:color w:val="222A35"/>
                <w:kern w:val="24"/>
                <w:sz w:val="20"/>
                <w:szCs w:val="20"/>
                <w:lang w:eastAsia="en-AU"/>
              </w:rPr>
            </w:pPr>
            <w:r w:rsidRPr="00152BEB">
              <w:rPr>
                <w:rFonts w:eastAsia="Times New Roman" w:cs="Segoe UI"/>
                <w:b/>
                <w:bCs/>
                <w:color w:val="222A35"/>
                <w:kern w:val="24"/>
                <w:sz w:val="20"/>
                <w:szCs w:val="20"/>
                <w:lang w:eastAsia="en-AU"/>
              </w:rPr>
              <w:t>Target audience</w:t>
            </w:r>
            <w:r>
              <w:rPr>
                <w:rFonts w:eastAsia="Times New Roman" w:cs="Segoe UI"/>
                <w:b/>
                <w:bCs/>
                <w:color w:val="222A35"/>
                <w:kern w:val="24"/>
                <w:sz w:val="20"/>
                <w:szCs w:val="20"/>
                <w:lang w:eastAsia="en-AU"/>
              </w:rPr>
              <w:t xml:space="preserve">: </w:t>
            </w:r>
            <w:r w:rsidR="00407494">
              <w:rPr>
                <w:rFonts w:eastAsia="Times New Roman" w:cs="Segoe UI"/>
                <w:b/>
                <w:bCs/>
                <w:color w:val="222A35"/>
                <w:kern w:val="24"/>
                <w:sz w:val="20"/>
                <w:szCs w:val="20"/>
                <w:lang w:eastAsia="en-AU"/>
              </w:rPr>
              <w:t>A</w:t>
            </w:r>
            <w:r w:rsidR="005227B5">
              <w:rPr>
                <w:rFonts w:eastAsia="Times New Roman" w:cs="Segoe UI"/>
                <w:b/>
                <w:bCs/>
                <w:color w:val="222A35"/>
                <w:kern w:val="24"/>
                <w:sz w:val="20"/>
                <w:szCs w:val="20"/>
                <w:lang w:eastAsia="en-AU"/>
              </w:rPr>
              <w:t>ll</w:t>
            </w:r>
            <w:r w:rsidR="00DD6BB6">
              <w:rPr>
                <w:rFonts w:eastAsia="Times New Roman" w:cs="Segoe UI"/>
                <w:b/>
                <w:bCs/>
                <w:color w:val="222A35"/>
                <w:kern w:val="24"/>
                <w:sz w:val="20"/>
                <w:szCs w:val="20"/>
                <w:lang w:eastAsia="en-AU"/>
              </w:rPr>
              <w:t xml:space="preserve"> </w:t>
            </w:r>
          </w:p>
        </w:tc>
        <w:tc>
          <w:tcPr>
            <w:tcW w:w="486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BE84E6E" w14:textId="11226810" w:rsidR="00427E24" w:rsidRPr="00BD5A73" w:rsidRDefault="00BD5A73" w:rsidP="008C10BB">
            <w:pPr>
              <w:spacing w:after="120"/>
              <w:rPr>
                <w:rFonts w:eastAsia="Times New Roman" w:cs="Segoe UI"/>
                <w:b/>
                <w:bCs/>
                <w:color w:val="222A35"/>
                <w:kern w:val="24"/>
                <w:sz w:val="20"/>
                <w:szCs w:val="20"/>
                <w:lang w:eastAsia="en-AU"/>
              </w:rPr>
            </w:pPr>
            <w:r w:rsidRPr="00BD5A73">
              <w:rPr>
                <w:rFonts w:eastAsia="Times New Roman" w:cs="Segoe UI"/>
                <w:b/>
                <w:bCs/>
                <w:color w:val="222A35"/>
                <w:kern w:val="24"/>
                <w:sz w:val="20"/>
                <w:szCs w:val="20"/>
                <w:lang w:eastAsia="en-AU"/>
              </w:rPr>
              <w:t xml:space="preserve">Items considered by advisory </w:t>
            </w:r>
            <w:proofErr w:type="gramStart"/>
            <w:r w:rsidRPr="00BD5A73">
              <w:rPr>
                <w:rFonts w:eastAsia="Times New Roman" w:cs="Segoe UI"/>
                <w:b/>
                <w:bCs/>
                <w:color w:val="222A35"/>
                <w:kern w:val="24"/>
                <w:sz w:val="20"/>
                <w:szCs w:val="20"/>
                <w:lang w:eastAsia="en-AU"/>
              </w:rPr>
              <w:t>committees</w:t>
            </w:r>
            <w:proofErr w:type="gramEnd"/>
          </w:p>
          <w:p w14:paraId="20F92108" w14:textId="266DAE1D" w:rsidR="000C756E" w:rsidRDefault="000C756E"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Information about </w:t>
            </w:r>
            <w:r w:rsidR="002D5CD1">
              <w:rPr>
                <w:rFonts w:eastAsia="Times New Roman" w:cs="Segoe UI"/>
                <w:color w:val="222A35"/>
                <w:kern w:val="24"/>
                <w:sz w:val="20"/>
                <w:szCs w:val="20"/>
                <w:lang w:eastAsia="en-AU"/>
              </w:rPr>
              <w:t>consultations for items to be considered at PBAC and MSAC meetings</w:t>
            </w:r>
            <w:r>
              <w:rPr>
                <w:rFonts w:eastAsia="Times New Roman" w:cs="Segoe UI"/>
                <w:color w:val="222A35"/>
                <w:kern w:val="24"/>
                <w:sz w:val="20"/>
                <w:szCs w:val="20"/>
                <w:lang w:eastAsia="en-AU"/>
              </w:rPr>
              <w:t xml:space="preserve"> including how to make a submission</w:t>
            </w:r>
            <w:r w:rsidR="00590C56">
              <w:rPr>
                <w:rFonts w:eastAsia="Times New Roman" w:cs="Segoe UI"/>
                <w:color w:val="222A35"/>
                <w:kern w:val="24"/>
                <w:sz w:val="20"/>
                <w:szCs w:val="20"/>
                <w:lang w:eastAsia="en-AU"/>
              </w:rPr>
              <w:t xml:space="preserve"> and questionnaires where </w:t>
            </w:r>
            <w:proofErr w:type="gramStart"/>
            <w:r w:rsidR="00590C56">
              <w:rPr>
                <w:rFonts w:eastAsia="Times New Roman" w:cs="Segoe UI"/>
                <w:color w:val="222A35"/>
                <w:kern w:val="24"/>
                <w:sz w:val="20"/>
                <w:szCs w:val="20"/>
                <w:lang w:eastAsia="en-AU"/>
              </w:rPr>
              <w:t>applicable</w:t>
            </w:r>
            <w:proofErr w:type="gramEnd"/>
          </w:p>
          <w:p w14:paraId="5083824E" w14:textId="443CAE2B" w:rsidR="00260D5F" w:rsidRDefault="000C756E"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Links to agendas for upcoming meetings</w:t>
            </w:r>
            <w:r w:rsidR="002D5CD1">
              <w:rPr>
                <w:rFonts w:eastAsia="Times New Roman" w:cs="Segoe UI"/>
                <w:color w:val="222A35"/>
                <w:kern w:val="24"/>
                <w:sz w:val="20"/>
                <w:szCs w:val="20"/>
                <w:lang w:eastAsia="en-AU"/>
              </w:rPr>
              <w:t xml:space="preserve"> </w:t>
            </w:r>
          </w:p>
          <w:p w14:paraId="20D07D27" w14:textId="56F93EC1" w:rsidR="00BD5A73" w:rsidRPr="00BD5A73" w:rsidRDefault="00BD5A73" w:rsidP="008C10BB">
            <w:pPr>
              <w:spacing w:after="120"/>
              <w:rPr>
                <w:rFonts w:eastAsia="Times New Roman" w:cs="Segoe UI"/>
                <w:b/>
                <w:bCs/>
                <w:color w:val="222A35"/>
                <w:kern w:val="24"/>
                <w:sz w:val="20"/>
                <w:szCs w:val="20"/>
                <w:lang w:eastAsia="en-AU"/>
              </w:rPr>
            </w:pPr>
            <w:r w:rsidRPr="00BD5A73">
              <w:rPr>
                <w:rFonts w:eastAsia="Times New Roman" w:cs="Segoe UI"/>
                <w:b/>
                <w:bCs/>
                <w:color w:val="222A35"/>
                <w:kern w:val="24"/>
                <w:sz w:val="20"/>
                <w:szCs w:val="20"/>
                <w:lang w:eastAsia="en-AU"/>
              </w:rPr>
              <w:t>Policy consultations</w:t>
            </w:r>
          </w:p>
          <w:p w14:paraId="1CF1F008" w14:textId="58BD4DEC" w:rsidR="00146765" w:rsidRDefault="000C756E"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Information about</w:t>
            </w:r>
            <w:r w:rsidR="00146765">
              <w:rPr>
                <w:rFonts w:eastAsia="Times New Roman" w:cs="Segoe UI"/>
                <w:color w:val="222A35"/>
                <w:kern w:val="24"/>
                <w:sz w:val="20"/>
                <w:szCs w:val="20"/>
                <w:lang w:eastAsia="en-AU"/>
              </w:rPr>
              <w:t xml:space="preserve"> consultations for </w:t>
            </w:r>
            <w:r w:rsidR="00820BA4">
              <w:rPr>
                <w:rFonts w:eastAsia="Times New Roman" w:cs="Segoe UI"/>
                <w:color w:val="222A35"/>
                <w:kern w:val="24"/>
                <w:sz w:val="20"/>
                <w:szCs w:val="20"/>
                <w:lang w:eastAsia="en-AU"/>
              </w:rPr>
              <w:t>HTA policy matters such as the HTA Review and the Conversations for Change consultations</w:t>
            </w:r>
            <w:r w:rsidR="00590C56">
              <w:rPr>
                <w:rFonts w:eastAsia="Times New Roman" w:cs="Segoe UI"/>
                <w:color w:val="222A35"/>
                <w:kern w:val="24"/>
                <w:sz w:val="20"/>
                <w:szCs w:val="20"/>
                <w:lang w:eastAsia="en-AU"/>
              </w:rPr>
              <w:t xml:space="preserve"> including </w:t>
            </w:r>
            <w:r w:rsidR="00590C56">
              <w:rPr>
                <w:rFonts w:eastAsia="Times New Roman" w:cs="Segoe UI"/>
                <w:color w:val="222A35"/>
                <w:kern w:val="24"/>
                <w:sz w:val="20"/>
                <w:szCs w:val="20"/>
                <w:lang w:eastAsia="en-AU"/>
              </w:rPr>
              <w:lastRenderedPageBreak/>
              <w:t xml:space="preserve">how to make a submission and questionnaires where </w:t>
            </w:r>
            <w:proofErr w:type="gramStart"/>
            <w:r w:rsidR="00590C56">
              <w:rPr>
                <w:rFonts w:eastAsia="Times New Roman" w:cs="Segoe UI"/>
                <w:color w:val="222A35"/>
                <w:kern w:val="24"/>
                <w:sz w:val="20"/>
                <w:szCs w:val="20"/>
                <w:lang w:eastAsia="en-AU"/>
              </w:rPr>
              <w:t>applicable</w:t>
            </w:r>
            <w:proofErr w:type="gramEnd"/>
          </w:p>
          <w:p w14:paraId="0F3A9698" w14:textId="09225CD9" w:rsidR="00152BEB" w:rsidRDefault="00DA2FA1"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Stores previous consultations and</w:t>
            </w:r>
            <w:r w:rsidR="00B61CD9">
              <w:rPr>
                <w:rFonts w:eastAsia="Times New Roman" w:cs="Segoe UI"/>
                <w:color w:val="222A35"/>
                <w:kern w:val="24"/>
                <w:sz w:val="20"/>
                <w:szCs w:val="20"/>
                <w:lang w:eastAsia="en-AU"/>
              </w:rPr>
              <w:t xml:space="preserve"> </w:t>
            </w:r>
            <w:r>
              <w:rPr>
                <w:rFonts w:eastAsia="Times New Roman" w:cs="Segoe UI"/>
                <w:color w:val="222A35"/>
                <w:kern w:val="24"/>
                <w:sz w:val="20"/>
                <w:szCs w:val="20"/>
                <w:lang w:eastAsia="en-AU"/>
              </w:rPr>
              <w:t>submissions</w:t>
            </w:r>
            <w:r w:rsidR="00152BEB">
              <w:rPr>
                <w:rFonts w:eastAsia="Times New Roman" w:cs="Segoe UI"/>
                <w:color w:val="222A35"/>
                <w:kern w:val="24"/>
                <w:sz w:val="20"/>
                <w:szCs w:val="20"/>
                <w:lang w:eastAsia="en-AU"/>
              </w:rPr>
              <w:t xml:space="preserve"> </w:t>
            </w:r>
          </w:p>
        </w:tc>
      </w:tr>
      <w:tr w:rsidR="00590C56" w:rsidRPr="006647C5" w14:paraId="7C1F108D" w14:textId="77777777" w:rsidTr="0052396D">
        <w:trPr>
          <w:trHeight w:val="996"/>
        </w:trPr>
        <w:tc>
          <w:tcPr>
            <w:tcW w:w="414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9895AC5" w14:textId="77777777" w:rsidR="00590C56" w:rsidRDefault="00586BA8"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lastRenderedPageBreak/>
              <w:t xml:space="preserve">PBS website </w:t>
            </w:r>
            <w:r w:rsidR="00A21EF2">
              <w:rPr>
                <w:rFonts w:eastAsia="Times New Roman" w:cs="Segoe UI"/>
                <w:color w:val="222A35"/>
                <w:kern w:val="24"/>
                <w:sz w:val="20"/>
                <w:szCs w:val="20"/>
                <w:lang w:eastAsia="en-AU"/>
              </w:rPr>
              <w:t>(HTA pages)</w:t>
            </w:r>
          </w:p>
          <w:p w14:paraId="794441B5" w14:textId="0B7DFF85" w:rsidR="00A21EF2" w:rsidRDefault="00E73C9F" w:rsidP="008C10BB">
            <w:pPr>
              <w:spacing w:after="120"/>
              <w:rPr>
                <w:rStyle w:val="Hyperlink"/>
                <w:sz w:val="21"/>
                <w:szCs w:val="21"/>
              </w:rPr>
            </w:pPr>
            <w:hyperlink r:id="rId120" w:history="1">
              <w:r w:rsidR="00DD6BB6" w:rsidRPr="009973B2">
                <w:rPr>
                  <w:rStyle w:val="Hyperlink"/>
                  <w:sz w:val="21"/>
                  <w:szCs w:val="21"/>
                </w:rPr>
                <w:t>www.pbs.gov.au</w:t>
              </w:r>
            </w:hyperlink>
          </w:p>
          <w:p w14:paraId="60816142" w14:textId="1D3BA187" w:rsidR="00DD6BB6" w:rsidRPr="00DD6BB6" w:rsidRDefault="00DD6BB6" w:rsidP="008C10BB">
            <w:pPr>
              <w:spacing w:after="120"/>
              <w:rPr>
                <w:rFonts w:eastAsia="Times New Roman" w:cs="Segoe UI"/>
                <w:b/>
                <w:bCs/>
                <w:kern w:val="24"/>
                <w:sz w:val="20"/>
                <w:szCs w:val="20"/>
                <w:lang w:eastAsia="en-AU"/>
              </w:rPr>
            </w:pPr>
            <w:r w:rsidRPr="00DD6BB6">
              <w:rPr>
                <w:rFonts w:eastAsia="Times New Roman" w:cs="Segoe UI"/>
                <w:b/>
                <w:bCs/>
                <w:kern w:val="24"/>
                <w:sz w:val="20"/>
                <w:szCs w:val="20"/>
                <w:lang w:eastAsia="en-AU"/>
              </w:rPr>
              <w:t>Target audience</w:t>
            </w:r>
            <w:r>
              <w:rPr>
                <w:rFonts w:eastAsia="Times New Roman" w:cs="Segoe UI"/>
                <w:b/>
                <w:bCs/>
                <w:kern w:val="24"/>
                <w:sz w:val="20"/>
                <w:szCs w:val="20"/>
                <w:lang w:eastAsia="en-AU"/>
              </w:rPr>
              <w:t xml:space="preserve">: </w:t>
            </w:r>
            <w:r w:rsidR="00EA103D">
              <w:rPr>
                <w:rFonts w:eastAsia="Times New Roman" w:cs="Segoe UI"/>
                <w:b/>
                <w:bCs/>
                <w:kern w:val="24"/>
                <w:sz w:val="20"/>
                <w:szCs w:val="20"/>
                <w:lang w:eastAsia="en-AU"/>
              </w:rPr>
              <w:t>A</w:t>
            </w:r>
            <w:r w:rsidR="005227B5">
              <w:rPr>
                <w:rFonts w:eastAsia="Times New Roman" w:cs="Segoe UI"/>
                <w:b/>
                <w:bCs/>
                <w:kern w:val="24"/>
                <w:sz w:val="20"/>
                <w:szCs w:val="20"/>
                <w:lang w:eastAsia="en-AU"/>
              </w:rPr>
              <w:t xml:space="preserve">ll (different </w:t>
            </w:r>
            <w:r w:rsidR="00756CDC">
              <w:rPr>
                <w:rFonts w:eastAsia="Times New Roman" w:cs="Segoe UI"/>
                <w:b/>
                <w:bCs/>
                <w:kern w:val="24"/>
                <w:sz w:val="20"/>
                <w:szCs w:val="20"/>
                <w:lang w:eastAsia="en-AU"/>
              </w:rPr>
              <w:t>documents have different target audiences)</w:t>
            </w:r>
            <w:r w:rsidR="00EA103D">
              <w:rPr>
                <w:rFonts w:eastAsia="Times New Roman" w:cs="Segoe UI"/>
                <w:b/>
                <w:bCs/>
                <w:kern w:val="24"/>
                <w:sz w:val="20"/>
                <w:szCs w:val="20"/>
                <w:lang w:eastAsia="en-AU"/>
              </w:rPr>
              <w:t xml:space="preserve"> </w:t>
            </w:r>
          </w:p>
        </w:tc>
        <w:tc>
          <w:tcPr>
            <w:tcW w:w="486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BE88392" w14:textId="75924AA1" w:rsidR="00537E20" w:rsidRDefault="00537E20" w:rsidP="008C10BB">
            <w:pPr>
              <w:spacing w:after="120"/>
              <w:rPr>
                <w:rFonts w:eastAsia="Times New Roman" w:cs="Segoe UI"/>
                <w:b/>
                <w:bCs/>
                <w:color w:val="222A35"/>
                <w:kern w:val="24"/>
                <w:sz w:val="20"/>
                <w:szCs w:val="20"/>
                <w:lang w:eastAsia="en-AU"/>
              </w:rPr>
            </w:pPr>
            <w:r>
              <w:rPr>
                <w:rFonts w:eastAsia="Times New Roman" w:cs="Segoe UI"/>
                <w:b/>
                <w:bCs/>
                <w:color w:val="222A35"/>
                <w:kern w:val="24"/>
                <w:sz w:val="20"/>
                <w:szCs w:val="20"/>
                <w:lang w:eastAsia="en-AU"/>
              </w:rPr>
              <w:t xml:space="preserve">Information about making a submission to </w:t>
            </w:r>
            <w:r w:rsidR="006514FE">
              <w:rPr>
                <w:rFonts w:eastAsia="Times New Roman" w:cs="Segoe UI"/>
                <w:b/>
                <w:bCs/>
                <w:color w:val="222A35"/>
                <w:kern w:val="24"/>
                <w:sz w:val="20"/>
                <w:szCs w:val="20"/>
                <w:lang w:eastAsia="en-AU"/>
              </w:rPr>
              <w:t xml:space="preserve">the </w:t>
            </w:r>
            <w:proofErr w:type="gramStart"/>
            <w:r>
              <w:rPr>
                <w:rFonts w:eastAsia="Times New Roman" w:cs="Segoe UI"/>
                <w:b/>
                <w:bCs/>
                <w:color w:val="222A35"/>
                <w:kern w:val="24"/>
                <w:sz w:val="20"/>
                <w:szCs w:val="20"/>
                <w:lang w:eastAsia="en-AU"/>
              </w:rPr>
              <w:t>PBAC</w:t>
            </w:r>
            <w:proofErr w:type="gramEnd"/>
          </w:p>
          <w:p w14:paraId="0A0E3EAF" w14:textId="2879102F" w:rsidR="00537E20" w:rsidRPr="00EA103D" w:rsidRDefault="00EA103D" w:rsidP="008C10BB">
            <w:pPr>
              <w:spacing w:after="120"/>
              <w:rPr>
                <w:rFonts w:eastAsia="Times New Roman" w:cs="Segoe UI"/>
                <w:color w:val="222A35"/>
                <w:sz w:val="20"/>
                <w:szCs w:val="20"/>
                <w:lang w:eastAsia="en-AU"/>
              </w:rPr>
            </w:pPr>
            <w:r>
              <w:rPr>
                <w:rFonts w:eastAsia="Times New Roman" w:cs="Segoe UI"/>
                <w:color w:val="222A35"/>
                <w:kern w:val="24"/>
                <w:sz w:val="20"/>
                <w:szCs w:val="20"/>
                <w:lang w:eastAsia="en-AU"/>
              </w:rPr>
              <w:t>Procedure guidance for listing medicines on the PBS and vaccines</w:t>
            </w:r>
            <w:r w:rsidR="004D283C">
              <w:rPr>
                <w:rFonts w:eastAsia="Times New Roman" w:cs="Segoe UI"/>
                <w:color w:val="222A35"/>
                <w:kern w:val="24"/>
                <w:sz w:val="20"/>
                <w:szCs w:val="20"/>
                <w:lang w:eastAsia="en-AU"/>
              </w:rPr>
              <w:fldChar w:fldCharType="begin"/>
            </w:r>
            <w:r w:rsidR="004D283C">
              <w:instrText xml:space="preserve"> XE "</w:instrText>
            </w:r>
            <w:r w:rsidR="004D283C" w:rsidRPr="0001709C">
              <w:instrText>vaccines</w:instrText>
            </w:r>
            <w:r w:rsidR="004D283C">
              <w:instrText xml:space="preserve">" \b </w:instrText>
            </w:r>
            <w:r w:rsidR="004D283C">
              <w:rPr>
                <w:rFonts w:eastAsia="Times New Roman" w:cs="Segoe UI"/>
                <w:color w:val="222A35"/>
                <w:kern w:val="24"/>
                <w:sz w:val="20"/>
                <w:szCs w:val="20"/>
                <w:lang w:eastAsia="en-AU"/>
              </w:rPr>
              <w:fldChar w:fldCharType="end"/>
            </w:r>
            <w:r>
              <w:rPr>
                <w:rFonts w:eastAsia="Times New Roman" w:cs="Segoe UI"/>
                <w:color w:val="222A35"/>
                <w:kern w:val="24"/>
                <w:sz w:val="20"/>
                <w:szCs w:val="20"/>
                <w:lang w:eastAsia="en-AU"/>
              </w:rPr>
              <w:t xml:space="preserve"> for the </w:t>
            </w:r>
            <w:r w:rsidR="189E8314" w:rsidRPr="182C0C83">
              <w:rPr>
                <w:rFonts w:eastAsia="Times New Roman" w:cs="Segoe UI"/>
                <w:color w:val="222A35"/>
                <w:sz w:val="20"/>
                <w:szCs w:val="20"/>
                <w:lang w:eastAsia="en-AU"/>
              </w:rPr>
              <w:t>NIP</w:t>
            </w:r>
          </w:p>
          <w:p w14:paraId="4C315E3F" w14:textId="4DA15D08" w:rsidR="00537E20" w:rsidRPr="00537E20" w:rsidRDefault="00537E20" w:rsidP="008C10BB">
            <w:pPr>
              <w:spacing w:after="120"/>
              <w:rPr>
                <w:rFonts w:eastAsia="Times New Roman" w:cs="Segoe UI"/>
                <w:b/>
                <w:bCs/>
                <w:color w:val="222A35"/>
                <w:kern w:val="24"/>
                <w:sz w:val="20"/>
                <w:szCs w:val="20"/>
                <w:lang w:eastAsia="en-AU"/>
              </w:rPr>
            </w:pPr>
            <w:r w:rsidRPr="00537E20">
              <w:rPr>
                <w:rFonts w:eastAsia="Times New Roman" w:cs="Segoe UI"/>
                <w:b/>
                <w:bCs/>
                <w:color w:val="222A35"/>
                <w:kern w:val="24"/>
                <w:sz w:val="20"/>
                <w:szCs w:val="20"/>
                <w:lang w:eastAsia="en-AU"/>
              </w:rPr>
              <w:t>Information about PBAC</w:t>
            </w:r>
            <w:r w:rsidR="00AB5C74">
              <w:rPr>
                <w:rFonts w:eastAsia="Times New Roman" w:cs="Segoe UI"/>
                <w:b/>
                <w:bCs/>
                <w:color w:val="222A35"/>
                <w:kern w:val="24"/>
                <w:sz w:val="20"/>
                <w:szCs w:val="20"/>
                <w:lang w:eastAsia="en-AU"/>
              </w:rPr>
              <w:t xml:space="preserve"> consideration</w:t>
            </w:r>
          </w:p>
          <w:p w14:paraId="5E7CFDBC" w14:textId="5E818A2A" w:rsidR="00590C56" w:rsidRDefault="00DD6BB6"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PBAC agendas, outcomes, public summar</w:t>
            </w:r>
            <w:r w:rsidR="0077402E">
              <w:rPr>
                <w:rFonts w:eastAsia="Times New Roman" w:cs="Segoe UI"/>
                <w:color w:val="222A35"/>
                <w:kern w:val="24"/>
                <w:sz w:val="20"/>
                <w:szCs w:val="20"/>
                <w:lang w:eastAsia="en-AU"/>
              </w:rPr>
              <w:t xml:space="preserve">ies of PBAC </w:t>
            </w:r>
            <w:r w:rsidR="00AB5C74">
              <w:rPr>
                <w:rFonts w:eastAsia="Times New Roman" w:cs="Segoe UI"/>
                <w:color w:val="222A35"/>
                <w:kern w:val="24"/>
                <w:sz w:val="20"/>
                <w:szCs w:val="20"/>
                <w:lang w:eastAsia="en-AU"/>
              </w:rPr>
              <w:t>considerations</w:t>
            </w:r>
            <w:r w:rsidR="0077402E">
              <w:rPr>
                <w:rFonts w:eastAsia="Times New Roman" w:cs="Segoe UI"/>
                <w:color w:val="222A35"/>
                <w:kern w:val="24"/>
                <w:sz w:val="20"/>
                <w:szCs w:val="20"/>
                <w:lang w:eastAsia="en-AU"/>
              </w:rPr>
              <w:t xml:space="preserve">, </w:t>
            </w:r>
            <w:r w:rsidR="00537E20">
              <w:rPr>
                <w:rFonts w:eastAsia="Times New Roman" w:cs="Segoe UI"/>
                <w:color w:val="222A35"/>
                <w:kern w:val="24"/>
                <w:sz w:val="20"/>
                <w:szCs w:val="20"/>
                <w:lang w:eastAsia="en-AU"/>
              </w:rPr>
              <w:t xml:space="preserve">guidelines for initiating </w:t>
            </w:r>
            <w:r w:rsidR="00B651C1">
              <w:rPr>
                <w:rFonts w:eastAsia="Times New Roman" w:cs="Segoe UI"/>
                <w:color w:val="222A35"/>
                <w:kern w:val="24"/>
                <w:sz w:val="20"/>
                <w:szCs w:val="20"/>
                <w:lang w:eastAsia="en-AU"/>
              </w:rPr>
              <w:t xml:space="preserve">stakeholder meetings, </w:t>
            </w:r>
            <w:r w:rsidR="00CE2349">
              <w:rPr>
                <w:rFonts w:eastAsia="Times New Roman" w:cs="Segoe UI"/>
                <w:color w:val="222A35"/>
                <w:kern w:val="24"/>
                <w:sz w:val="20"/>
                <w:szCs w:val="20"/>
                <w:lang w:eastAsia="en-AU"/>
              </w:rPr>
              <w:t xml:space="preserve">records of stakeholder meetings </w:t>
            </w:r>
          </w:p>
        </w:tc>
      </w:tr>
      <w:tr w:rsidR="000F11F1" w:rsidRPr="006647C5" w14:paraId="525E470F" w14:textId="77777777" w:rsidTr="0052396D">
        <w:trPr>
          <w:trHeight w:val="996"/>
        </w:trPr>
        <w:tc>
          <w:tcPr>
            <w:tcW w:w="414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0A5171F" w14:textId="5652B41B" w:rsidR="000F11F1" w:rsidRDefault="00C7510D"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PBAC website</w:t>
            </w:r>
          </w:p>
          <w:p w14:paraId="6629145F" w14:textId="77777777" w:rsidR="00C7510D" w:rsidRDefault="00C7510D" w:rsidP="008C10BB">
            <w:pPr>
              <w:spacing w:after="120"/>
              <w:rPr>
                <w:rStyle w:val="Hyperlink"/>
                <w:sz w:val="21"/>
                <w:szCs w:val="21"/>
              </w:rPr>
            </w:pPr>
            <w:r w:rsidRPr="00C7510D">
              <w:rPr>
                <w:rStyle w:val="Hyperlink"/>
                <w:sz w:val="21"/>
                <w:szCs w:val="21"/>
              </w:rPr>
              <w:t>pbac.pbs.gov.au</w:t>
            </w:r>
          </w:p>
          <w:p w14:paraId="0CF2D5E5" w14:textId="4A1110D7" w:rsidR="00C7510D" w:rsidRDefault="00C7510D" w:rsidP="008C10BB">
            <w:pPr>
              <w:spacing w:after="120"/>
              <w:rPr>
                <w:rFonts w:eastAsia="Times New Roman" w:cs="Segoe UI"/>
                <w:color w:val="222A35"/>
                <w:kern w:val="24"/>
                <w:sz w:val="20"/>
                <w:szCs w:val="20"/>
                <w:lang w:eastAsia="en-AU"/>
              </w:rPr>
            </w:pPr>
            <w:r w:rsidRPr="00DD6BB6">
              <w:rPr>
                <w:rFonts w:eastAsia="Times New Roman" w:cs="Segoe UI"/>
                <w:b/>
                <w:bCs/>
                <w:kern w:val="24"/>
                <w:sz w:val="20"/>
                <w:szCs w:val="20"/>
                <w:lang w:eastAsia="en-AU"/>
              </w:rPr>
              <w:t>Target audience</w:t>
            </w:r>
            <w:r>
              <w:rPr>
                <w:rFonts w:eastAsia="Times New Roman" w:cs="Segoe UI"/>
                <w:b/>
                <w:bCs/>
                <w:kern w:val="24"/>
                <w:sz w:val="20"/>
                <w:szCs w:val="20"/>
                <w:lang w:eastAsia="en-AU"/>
              </w:rPr>
              <w:t xml:space="preserve">: </w:t>
            </w:r>
            <w:r w:rsidR="00D73EE4">
              <w:rPr>
                <w:rFonts w:eastAsia="Times New Roman" w:cs="Segoe UI"/>
                <w:b/>
                <w:bCs/>
                <w:kern w:val="24"/>
                <w:sz w:val="20"/>
                <w:szCs w:val="20"/>
                <w:lang w:eastAsia="en-AU"/>
              </w:rPr>
              <w:t>s</w:t>
            </w:r>
            <w:r w:rsidR="00B96339">
              <w:rPr>
                <w:rFonts w:eastAsia="Times New Roman" w:cs="Segoe UI"/>
                <w:b/>
                <w:bCs/>
                <w:kern w:val="24"/>
                <w:sz w:val="20"/>
                <w:szCs w:val="20"/>
                <w:lang w:eastAsia="en-AU"/>
              </w:rPr>
              <w:t>ponsors (usually health technology companies)</w:t>
            </w:r>
          </w:p>
        </w:tc>
        <w:tc>
          <w:tcPr>
            <w:tcW w:w="4868"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B046331" w14:textId="6C189995" w:rsidR="000F11F1" w:rsidRPr="00247D07" w:rsidRDefault="009A07F6"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PBAC guidelines which provide information on how to prepare a submission</w:t>
            </w:r>
            <w:r w:rsidR="00EF0F9E">
              <w:rPr>
                <w:rFonts w:eastAsia="Times New Roman" w:cs="Segoe UI"/>
                <w:color w:val="222A35"/>
                <w:kern w:val="24"/>
                <w:sz w:val="20"/>
                <w:szCs w:val="20"/>
                <w:lang w:eastAsia="en-AU"/>
              </w:rPr>
              <w:t>,</w:t>
            </w:r>
            <w:r w:rsidR="00154A8D">
              <w:rPr>
                <w:rFonts w:eastAsia="Times New Roman" w:cs="Segoe UI"/>
                <w:color w:val="222A35"/>
                <w:kern w:val="24"/>
                <w:sz w:val="20"/>
                <w:szCs w:val="20"/>
                <w:lang w:eastAsia="en-AU"/>
              </w:rPr>
              <w:t xml:space="preserve"> including: proposed use of a medicine, clinical evidence, economic evaluation, </w:t>
            </w:r>
            <w:r w:rsidR="0099449F">
              <w:rPr>
                <w:rFonts w:eastAsia="Times New Roman" w:cs="Segoe UI"/>
                <w:color w:val="222A35"/>
                <w:kern w:val="24"/>
                <w:sz w:val="20"/>
                <w:szCs w:val="20"/>
                <w:lang w:eastAsia="en-AU"/>
              </w:rPr>
              <w:t xml:space="preserve">extent of use and financial estimates, additional relevant information </w:t>
            </w:r>
            <w:r w:rsidR="00235F38">
              <w:rPr>
                <w:rFonts w:eastAsia="Times New Roman" w:cs="Segoe UI"/>
                <w:color w:val="222A35"/>
                <w:kern w:val="24"/>
                <w:sz w:val="20"/>
                <w:szCs w:val="20"/>
                <w:lang w:eastAsia="en-AU"/>
              </w:rPr>
              <w:t>that may influence decision</w:t>
            </w:r>
            <w:r w:rsidR="009868F2">
              <w:rPr>
                <w:rFonts w:eastAsia="Times New Roman" w:cs="Segoe UI"/>
                <w:color w:val="222A35"/>
                <w:kern w:val="24"/>
                <w:sz w:val="20"/>
                <w:szCs w:val="20"/>
                <w:lang w:eastAsia="en-AU"/>
              </w:rPr>
              <w:t>-</w:t>
            </w:r>
            <w:r w:rsidR="00235F38">
              <w:rPr>
                <w:rFonts w:eastAsia="Times New Roman" w:cs="Segoe UI"/>
                <w:color w:val="222A35"/>
                <w:kern w:val="24"/>
                <w:sz w:val="20"/>
                <w:szCs w:val="20"/>
                <w:lang w:eastAsia="en-AU"/>
              </w:rPr>
              <w:t>making such as equity</w:t>
            </w:r>
            <w:r w:rsidR="00A67FBB">
              <w:rPr>
                <w:rFonts w:eastAsia="Times New Roman" w:cs="Segoe UI"/>
                <w:color w:val="222A35"/>
                <w:kern w:val="24"/>
                <w:sz w:val="20"/>
                <w:szCs w:val="20"/>
                <w:lang w:eastAsia="en-AU"/>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rFonts w:eastAsia="Times New Roman" w:cs="Segoe UI"/>
                <w:color w:val="222A35"/>
                <w:kern w:val="24"/>
                <w:sz w:val="20"/>
                <w:szCs w:val="20"/>
                <w:lang w:eastAsia="en-AU"/>
              </w:rPr>
              <w:fldChar w:fldCharType="end"/>
            </w:r>
            <w:r w:rsidR="00235F38">
              <w:rPr>
                <w:rFonts w:eastAsia="Times New Roman" w:cs="Segoe UI"/>
                <w:color w:val="222A35"/>
                <w:kern w:val="24"/>
                <w:sz w:val="20"/>
                <w:szCs w:val="20"/>
                <w:lang w:eastAsia="en-AU"/>
              </w:rPr>
              <w:t xml:space="preserve"> and access issues</w:t>
            </w:r>
            <w:r w:rsidR="00A05D22">
              <w:rPr>
                <w:rFonts w:eastAsia="Times New Roman" w:cs="Segoe UI"/>
                <w:color w:val="222A35"/>
                <w:kern w:val="24"/>
                <w:sz w:val="20"/>
                <w:szCs w:val="20"/>
                <w:lang w:eastAsia="en-AU"/>
              </w:rPr>
              <w:t xml:space="preserve"> and use of expert opinion</w:t>
            </w:r>
            <w:r w:rsidR="006113AA">
              <w:rPr>
                <w:rFonts w:eastAsia="Times New Roman" w:cs="Segoe UI"/>
                <w:color w:val="222A35"/>
                <w:kern w:val="24"/>
                <w:sz w:val="20"/>
                <w:szCs w:val="20"/>
                <w:lang w:eastAsia="en-AU"/>
              </w:rPr>
              <w:t xml:space="preserve"> (from clinicians or consumers)</w:t>
            </w:r>
            <w:r w:rsidR="00235F38">
              <w:rPr>
                <w:rFonts w:eastAsia="Times New Roman" w:cs="Segoe UI"/>
                <w:color w:val="222A35"/>
                <w:kern w:val="24"/>
                <w:sz w:val="20"/>
                <w:szCs w:val="20"/>
                <w:lang w:eastAsia="en-AU"/>
              </w:rPr>
              <w:t xml:space="preserve"> </w:t>
            </w:r>
          </w:p>
        </w:tc>
      </w:tr>
      <w:tr w:rsidR="00152F7C" w:rsidRPr="006647C5" w14:paraId="751ED3ED" w14:textId="77777777" w:rsidTr="0052396D">
        <w:trPr>
          <w:cantSplit/>
          <w:trHeight w:val="996"/>
        </w:trPr>
        <w:tc>
          <w:tcPr>
            <w:tcW w:w="4148" w:type="dxa"/>
            <w:tcBorders>
              <w:top w:val="single" w:sz="4" w:space="0" w:color="E7E6E6" w:themeColor="background2"/>
              <w:bottom w:val="single" w:sz="4" w:space="0" w:color="008A96" w:themeColor="accent3"/>
            </w:tcBorders>
            <w:shd w:val="clear" w:color="auto" w:fill="FFFFFF" w:themeFill="background1"/>
            <w:tcMar>
              <w:top w:w="72" w:type="dxa"/>
              <w:left w:w="144" w:type="dxa"/>
              <w:bottom w:w="72" w:type="dxa"/>
              <w:right w:w="144" w:type="dxa"/>
            </w:tcMar>
          </w:tcPr>
          <w:p w14:paraId="51AEBF52" w14:textId="77777777" w:rsidR="00152F7C" w:rsidRDefault="00152F7C"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MSAC website</w:t>
            </w:r>
          </w:p>
          <w:p w14:paraId="3455E263" w14:textId="3C87EFB5" w:rsidR="00152F7C" w:rsidRDefault="00E73C9F" w:rsidP="008C10BB">
            <w:pPr>
              <w:spacing w:after="120"/>
              <w:rPr>
                <w:rFonts w:eastAsia="Times New Roman" w:cs="Segoe UI"/>
                <w:color w:val="222A35"/>
                <w:kern w:val="24"/>
                <w:sz w:val="20"/>
                <w:szCs w:val="20"/>
                <w:lang w:eastAsia="en-AU"/>
              </w:rPr>
            </w:pPr>
            <w:hyperlink r:id="rId121" w:history="1">
              <w:r w:rsidR="00152F7C" w:rsidRPr="009973B2">
                <w:rPr>
                  <w:rStyle w:val="Hyperlink"/>
                  <w:rFonts w:eastAsia="Times New Roman" w:cs="Segoe UI"/>
                  <w:kern w:val="24"/>
                  <w:sz w:val="20"/>
                  <w:szCs w:val="20"/>
                  <w:lang w:eastAsia="en-AU"/>
                </w:rPr>
                <w:t>http://www.msac.gov.au/</w:t>
              </w:r>
            </w:hyperlink>
          </w:p>
          <w:p w14:paraId="2CEBCD7E" w14:textId="0E6D7553" w:rsidR="00152F7C" w:rsidRPr="00FF135C" w:rsidRDefault="00152F7C" w:rsidP="008C10BB">
            <w:pPr>
              <w:spacing w:after="120"/>
              <w:rPr>
                <w:rFonts w:eastAsia="Times New Roman" w:cs="Segoe UI"/>
                <w:b/>
                <w:bCs/>
                <w:color w:val="222A35"/>
                <w:kern w:val="24"/>
                <w:sz w:val="20"/>
                <w:szCs w:val="20"/>
                <w:lang w:eastAsia="en-AU"/>
              </w:rPr>
            </w:pPr>
            <w:r w:rsidRPr="00687095">
              <w:rPr>
                <w:rFonts w:eastAsia="Times New Roman" w:cs="Segoe UI"/>
                <w:b/>
                <w:color w:val="222A35"/>
                <w:kern w:val="24"/>
                <w:sz w:val="20"/>
                <w:szCs w:val="20"/>
                <w:lang w:eastAsia="en-AU"/>
              </w:rPr>
              <w:t xml:space="preserve">Target audience: </w:t>
            </w:r>
            <w:r w:rsidR="009901CF" w:rsidRPr="00687095">
              <w:rPr>
                <w:rFonts w:eastAsia="Times New Roman" w:cs="Segoe UI"/>
                <w:b/>
                <w:color w:val="222A35"/>
                <w:kern w:val="24"/>
                <w:sz w:val="20"/>
                <w:szCs w:val="20"/>
                <w:lang w:eastAsia="en-AU"/>
              </w:rPr>
              <w:t>All (different documents have different target audiences)</w:t>
            </w:r>
          </w:p>
        </w:tc>
        <w:tc>
          <w:tcPr>
            <w:tcW w:w="4868" w:type="dxa"/>
            <w:tcBorders>
              <w:top w:val="single" w:sz="4" w:space="0" w:color="E7E6E6" w:themeColor="background2"/>
              <w:bottom w:val="single" w:sz="4" w:space="0" w:color="008A96" w:themeColor="accent3"/>
            </w:tcBorders>
            <w:shd w:val="clear" w:color="auto" w:fill="FFFFFF" w:themeFill="background1"/>
            <w:tcMar>
              <w:top w:w="72" w:type="dxa"/>
              <w:left w:w="144" w:type="dxa"/>
              <w:bottom w:w="72" w:type="dxa"/>
              <w:right w:w="144" w:type="dxa"/>
            </w:tcMar>
          </w:tcPr>
          <w:p w14:paraId="22A14840" w14:textId="0B0A3E67" w:rsidR="00727F62" w:rsidRPr="002D3D17" w:rsidRDefault="002D3D17" w:rsidP="008C10BB">
            <w:pPr>
              <w:spacing w:after="120"/>
              <w:rPr>
                <w:rFonts w:eastAsia="Times New Roman" w:cs="Segoe UI"/>
                <w:b/>
                <w:bCs/>
                <w:color w:val="222A35"/>
                <w:kern w:val="24"/>
                <w:sz w:val="20"/>
                <w:szCs w:val="20"/>
                <w:lang w:eastAsia="en-AU"/>
              </w:rPr>
            </w:pPr>
            <w:r w:rsidRPr="002D3D17">
              <w:rPr>
                <w:rFonts w:eastAsia="Times New Roman" w:cs="Segoe UI"/>
                <w:b/>
                <w:bCs/>
                <w:color w:val="222A35"/>
                <w:kern w:val="24"/>
                <w:sz w:val="20"/>
                <w:szCs w:val="20"/>
                <w:lang w:eastAsia="en-AU"/>
              </w:rPr>
              <w:t>Information about the listing process</w:t>
            </w:r>
          </w:p>
          <w:p w14:paraId="53329FE0" w14:textId="22296703" w:rsidR="006D305B" w:rsidRDefault="002D3D17"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H</w:t>
            </w:r>
            <w:r w:rsidR="006D305B">
              <w:rPr>
                <w:rFonts w:eastAsia="Times New Roman" w:cs="Segoe UI"/>
                <w:color w:val="222A35"/>
                <w:kern w:val="24"/>
                <w:sz w:val="20"/>
                <w:szCs w:val="20"/>
                <w:lang w:eastAsia="en-AU"/>
              </w:rPr>
              <w:t>igh level and detailed information</w:t>
            </w:r>
            <w:r w:rsidR="0058503E">
              <w:rPr>
                <w:rFonts w:eastAsia="Times New Roman" w:cs="Segoe UI"/>
                <w:color w:val="222A35"/>
                <w:kern w:val="24"/>
                <w:sz w:val="20"/>
                <w:szCs w:val="20"/>
                <w:lang w:eastAsia="en-AU"/>
              </w:rPr>
              <w:t xml:space="preserve"> about each listing step</w:t>
            </w:r>
          </w:p>
          <w:p w14:paraId="71CB93E6" w14:textId="1D618947" w:rsidR="00727F62" w:rsidRPr="007962D1" w:rsidRDefault="002D3D17" w:rsidP="008C10BB">
            <w:pPr>
              <w:spacing w:after="120"/>
              <w:rPr>
                <w:rFonts w:eastAsia="Times New Roman" w:cs="Segoe UI"/>
                <w:b/>
                <w:bCs/>
                <w:color w:val="222A35"/>
                <w:kern w:val="24"/>
                <w:sz w:val="20"/>
                <w:szCs w:val="20"/>
                <w:lang w:eastAsia="en-AU"/>
              </w:rPr>
            </w:pPr>
            <w:r w:rsidRPr="007962D1">
              <w:rPr>
                <w:rFonts w:eastAsia="Times New Roman" w:cs="Segoe UI"/>
                <w:b/>
                <w:bCs/>
                <w:color w:val="222A35"/>
                <w:kern w:val="24"/>
                <w:sz w:val="20"/>
                <w:szCs w:val="20"/>
                <w:lang w:eastAsia="en-AU"/>
              </w:rPr>
              <w:t>Information about how to make a</w:t>
            </w:r>
            <w:r w:rsidR="007962D1" w:rsidRPr="007962D1">
              <w:rPr>
                <w:rFonts w:eastAsia="Times New Roman" w:cs="Segoe UI"/>
                <w:b/>
                <w:bCs/>
                <w:color w:val="222A35"/>
                <w:kern w:val="24"/>
                <w:sz w:val="20"/>
                <w:szCs w:val="20"/>
                <w:lang w:eastAsia="en-AU"/>
              </w:rPr>
              <w:t xml:space="preserve">n application for MBS </w:t>
            </w:r>
            <w:proofErr w:type="gramStart"/>
            <w:r w:rsidR="007962D1" w:rsidRPr="007962D1">
              <w:rPr>
                <w:rFonts w:eastAsia="Times New Roman" w:cs="Segoe UI"/>
                <w:b/>
                <w:bCs/>
                <w:color w:val="222A35"/>
                <w:kern w:val="24"/>
                <w:sz w:val="20"/>
                <w:szCs w:val="20"/>
                <w:lang w:eastAsia="en-AU"/>
              </w:rPr>
              <w:t>funding</w:t>
            </w:r>
            <w:proofErr w:type="gramEnd"/>
          </w:p>
          <w:p w14:paraId="3B0FBBFD" w14:textId="023BF00E" w:rsidR="006A6692" w:rsidRDefault="007962D1"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Procedures for making applications and guidelines on preparing applications</w:t>
            </w:r>
            <w:r w:rsidR="00C93BC1">
              <w:rPr>
                <w:rFonts w:eastAsia="Times New Roman" w:cs="Segoe UI"/>
                <w:color w:val="222A35"/>
                <w:kern w:val="24"/>
                <w:sz w:val="20"/>
                <w:szCs w:val="20"/>
                <w:lang w:eastAsia="en-AU"/>
              </w:rPr>
              <w:t xml:space="preserve">; </w:t>
            </w:r>
            <w:r w:rsidR="00E756D2">
              <w:rPr>
                <w:rFonts w:eastAsia="Times New Roman" w:cs="Segoe UI"/>
                <w:color w:val="222A35"/>
                <w:kern w:val="24"/>
                <w:sz w:val="20"/>
                <w:szCs w:val="20"/>
                <w:lang w:eastAsia="en-AU"/>
              </w:rPr>
              <w:t xml:space="preserve">MSAC guidelines </w:t>
            </w:r>
            <w:r w:rsidR="00D37E97">
              <w:rPr>
                <w:rFonts w:eastAsia="Times New Roman" w:cs="Segoe UI"/>
                <w:color w:val="222A35"/>
                <w:kern w:val="24"/>
                <w:sz w:val="20"/>
                <w:szCs w:val="20"/>
                <w:lang w:eastAsia="en-AU"/>
              </w:rPr>
              <w:t>provide information on how to prepare a submission</w:t>
            </w:r>
            <w:r w:rsidR="00B515B9">
              <w:rPr>
                <w:rFonts w:eastAsia="Times New Roman" w:cs="Segoe UI"/>
                <w:color w:val="222A35"/>
                <w:kern w:val="24"/>
                <w:sz w:val="20"/>
                <w:szCs w:val="20"/>
                <w:lang w:eastAsia="en-AU"/>
              </w:rPr>
              <w:t>,</w:t>
            </w:r>
            <w:r w:rsidR="00D37E97">
              <w:rPr>
                <w:rFonts w:eastAsia="Times New Roman" w:cs="Segoe UI"/>
                <w:color w:val="222A35"/>
                <w:kern w:val="24"/>
                <w:sz w:val="20"/>
                <w:szCs w:val="20"/>
                <w:lang w:eastAsia="en-AU"/>
              </w:rPr>
              <w:t xml:space="preserve"> </w:t>
            </w:r>
            <w:r w:rsidR="00BD00E0">
              <w:rPr>
                <w:rFonts w:eastAsia="Times New Roman" w:cs="Segoe UI"/>
                <w:color w:val="222A35"/>
                <w:kern w:val="24"/>
                <w:sz w:val="20"/>
                <w:szCs w:val="20"/>
                <w:lang w:eastAsia="en-AU"/>
              </w:rPr>
              <w:t xml:space="preserve">including: proposed use of the technology, clinical evidence, </w:t>
            </w:r>
            <w:r w:rsidR="00892342">
              <w:rPr>
                <w:rFonts w:eastAsia="Times New Roman" w:cs="Segoe UI"/>
                <w:color w:val="222A35"/>
                <w:kern w:val="24"/>
                <w:sz w:val="20"/>
                <w:szCs w:val="20"/>
                <w:lang w:eastAsia="en-AU"/>
              </w:rPr>
              <w:t xml:space="preserve">economic evaluation, extent of use and financial estimates, additional relevant information </w:t>
            </w:r>
            <w:r w:rsidR="00C359BF">
              <w:rPr>
                <w:rFonts w:eastAsia="Times New Roman" w:cs="Segoe UI"/>
                <w:color w:val="222A35"/>
                <w:kern w:val="24"/>
                <w:sz w:val="20"/>
                <w:szCs w:val="20"/>
                <w:lang w:eastAsia="en-AU"/>
              </w:rPr>
              <w:t xml:space="preserve">such as </w:t>
            </w:r>
            <w:r w:rsidR="00163584">
              <w:rPr>
                <w:rFonts w:eastAsia="Times New Roman" w:cs="Segoe UI"/>
                <w:color w:val="222A35"/>
                <w:kern w:val="24"/>
                <w:sz w:val="20"/>
                <w:szCs w:val="20"/>
                <w:lang w:eastAsia="en-AU"/>
              </w:rPr>
              <w:t>ethical</w:t>
            </w:r>
            <w:r w:rsidR="00BE69A9">
              <w:rPr>
                <w:rFonts w:eastAsia="Times New Roman" w:cs="Segoe UI"/>
                <w:color w:val="222A35"/>
                <w:kern w:val="24"/>
                <w:sz w:val="20"/>
                <w:szCs w:val="20"/>
                <w:lang w:eastAsia="en-AU"/>
              </w:rPr>
              <w:t xml:space="preserve"> issues, and consumer evidence</w:t>
            </w:r>
            <w:r w:rsidR="00B40903">
              <w:rPr>
                <w:rFonts w:eastAsia="Times New Roman" w:cs="Segoe UI"/>
                <w:color w:val="222A35"/>
                <w:kern w:val="24"/>
                <w:sz w:val="20"/>
                <w:szCs w:val="20"/>
                <w:lang w:eastAsia="en-AU"/>
              </w:rPr>
              <w:fldChar w:fldCharType="begin"/>
            </w:r>
            <w:r w:rsidR="00B40903">
              <w:instrText xml:space="preserve"> XE "</w:instrText>
            </w:r>
            <w:r w:rsidR="00B40903" w:rsidRPr="00E62860">
              <w:rPr>
                <w:rStyle w:val="cf01"/>
                <w:sz w:val="20"/>
                <w:szCs w:val="20"/>
              </w:rPr>
              <w:instrText>consumer evidence</w:instrText>
            </w:r>
            <w:r w:rsidR="00B40903">
              <w:instrText xml:space="preserve">" \b </w:instrText>
            </w:r>
            <w:r w:rsidR="00B40903">
              <w:rPr>
                <w:rFonts w:eastAsia="Times New Roman" w:cs="Segoe UI"/>
                <w:color w:val="222A35"/>
                <w:kern w:val="24"/>
                <w:sz w:val="20"/>
                <w:szCs w:val="20"/>
                <w:lang w:eastAsia="en-AU"/>
              </w:rPr>
              <w:fldChar w:fldCharType="end"/>
            </w:r>
            <w:r w:rsidR="00BE69A9">
              <w:rPr>
                <w:rFonts w:eastAsia="Times New Roman" w:cs="Segoe UI"/>
                <w:color w:val="222A35"/>
                <w:kern w:val="24"/>
                <w:sz w:val="20"/>
                <w:szCs w:val="20"/>
                <w:lang w:eastAsia="en-AU"/>
              </w:rPr>
              <w:t xml:space="preserve"> and input</w:t>
            </w:r>
            <w:r w:rsidR="00C45CFE">
              <w:rPr>
                <w:rFonts w:eastAsia="Times New Roman" w:cs="Segoe UI"/>
                <w:color w:val="222A35"/>
                <w:kern w:val="24"/>
                <w:sz w:val="20"/>
                <w:szCs w:val="20"/>
                <w:lang w:eastAsia="en-AU"/>
              </w:rPr>
              <w:t>.</w:t>
            </w:r>
            <w:r w:rsidR="00BE69A9">
              <w:rPr>
                <w:rFonts w:eastAsia="Times New Roman" w:cs="Segoe UI"/>
                <w:color w:val="222A35"/>
                <w:kern w:val="24"/>
                <w:sz w:val="20"/>
                <w:szCs w:val="20"/>
                <w:lang w:eastAsia="en-AU"/>
              </w:rPr>
              <w:t xml:space="preserve"> </w:t>
            </w:r>
          </w:p>
          <w:p w14:paraId="2F0AB74F" w14:textId="4A601F17" w:rsidR="000354D3" w:rsidRPr="00A44E2D" w:rsidRDefault="000354D3" w:rsidP="008C10BB">
            <w:pPr>
              <w:spacing w:after="120"/>
              <w:rPr>
                <w:rFonts w:eastAsia="Times New Roman" w:cs="Segoe UI"/>
                <w:b/>
                <w:bCs/>
                <w:color w:val="222A35"/>
                <w:kern w:val="24"/>
                <w:sz w:val="20"/>
                <w:szCs w:val="20"/>
                <w:lang w:eastAsia="en-AU"/>
              </w:rPr>
            </w:pPr>
            <w:r w:rsidRPr="00A44E2D">
              <w:rPr>
                <w:rFonts w:eastAsia="Times New Roman" w:cs="Segoe UI"/>
                <w:b/>
                <w:bCs/>
                <w:color w:val="222A35"/>
                <w:kern w:val="24"/>
                <w:sz w:val="20"/>
                <w:szCs w:val="20"/>
                <w:lang w:eastAsia="en-AU"/>
              </w:rPr>
              <w:t xml:space="preserve">Information about MSAC </w:t>
            </w:r>
            <w:r w:rsidR="00A44E2D" w:rsidRPr="00A44E2D">
              <w:rPr>
                <w:rFonts w:eastAsia="Times New Roman" w:cs="Segoe UI"/>
                <w:b/>
                <w:bCs/>
                <w:color w:val="222A35"/>
                <w:kern w:val="24"/>
                <w:sz w:val="20"/>
                <w:szCs w:val="20"/>
                <w:lang w:eastAsia="en-AU"/>
              </w:rPr>
              <w:t>consideration</w:t>
            </w:r>
          </w:p>
          <w:p w14:paraId="6D37149E" w14:textId="3F8DED6A" w:rsidR="007833D2" w:rsidRPr="00510905" w:rsidRDefault="0037270A" w:rsidP="008C10BB">
            <w:pPr>
              <w:spacing w:after="120"/>
              <w:rPr>
                <w:rFonts w:eastAsia="Times New Roman" w:cs="Segoe UI"/>
                <w:color w:val="222A35"/>
                <w:kern w:val="24"/>
                <w:sz w:val="20"/>
                <w:szCs w:val="20"/>
                <w:lang w:eastAsia="en-AU"/>
              </w:rPr>
            </w:pPr>
            <w:r>
              <w:rPr>
                <w:rFonts w:eastAsia="Times New Roman" w:cs="Segoe UI"/>
                <w:color w:val="222A35"/>
                <w:kern w:val="24"/>
                <w:sz w:val="20"/>
                <w:szCs w:val="20"/>
                <w:lang w:eastAsia="en-AU"/>
              </w:rPr>
              <w:t xml:space="preserve">MSAC agendas, </w:t>
            </w:r>
            <w:r w:rsidR="001C3189">
              <w:rPr>
                <w:rFonts w:eastAsia="Times New Roman" w:cs="Segoe UI"/>
                <w:color w:val="222A35"/>
                <w:kern w:val="24"/>
                <w:sz w:val="20"/>
                <w:szCs w:val="20"/>
                <w:lang w:eastAsia="en-AU"/>
              </w:rPr>
              <w:t>application summaries</w:t>
            </w:r>
            <w:r w:rsidR="00CF1DBE">
              <w:rPr>
                <w:rFonts w:eastAsia="Times New Roman" w:cs="Segoe UI"/>
                <w:color w:val="222A35"/>
                <w:kern w:val="24"/>
                <w:sz w:val="20"/>
                <w:szCs w:val="20"/>
                <w:lang w:eastAsia="en-AU"/>
              </w:rPr>
              <w:t>,</w:t>
            </w:r>
            <w:r w:rsidR="00407C81">
              <w:rPr>
                <w:rFonts w:eastAsia="Times New Roman" w:cs="Segoe UI"/>
                <w:color w:val="222A35"/>
                <w:kern w:val="24"/>
                <w:sz w:val="20"/>
                <w:szCs w:val="20"/>
                <w:lang w:eastAsia="en-AU"/>
              </w:rPr>
              <w:t xml:space="preserve"> public summaries of MSAC consideration</w:t>
            </w:r>
            <w:r w:rsidR="00D648B8">
              <w:rPr>
                <w:rFonts w:eastAsia="Times New Roman" w:cs="Segoe UI"/>
                <w:color w:val="222A35"/>
                <w:kern w:val="24"/>
                <w:sz w:val="20"/>
                <w:szCs w:val="20"/>
                <w:lang w:eastAsia="en-AU"/>
              </w:rPr>
              <w:t>,</w:t>
            </w:r>
            <w:r w:rsidR="00CF1DBE">
              <w:rPr>
                <w:rFonts w:eastAsia="Times New Roman" w:cs="Segoe UI"/>
                <w:color w:val="222A35"/>
                <w:kern w:val="24"/>
                <w:sz w:val="20"/>
                <w:szCs w:val="20"/>
                <w:lang w:eastAsia="en-AU"/>
              </w:rPr>
              <w:t xml:space="preserve"> </w:t>
            </w:r>
            <w:r w:rsidR="00407C81">
              <w:rPr>
                <w:rFonts w:eastAsia="Times New Roman" w:cs="Segoe UI"/>
                <w:color w:val="222A35"/>
                <w:kern w:val="24"/>
                <w:sz w:val="20"/>
                <w:szCs w:val="20"/>
                <w:lang w:eastAsia="en-AU"/>
              </w:rPr>
              <w:t>records of stakeholder meetings</w:t>
            </w:r>
            <w:r w:rsidR="00CF1DBE">
              <w:rPr>
                <w:rFonts w:eastAsia="Times New Roman" w:cs="Segoe UI"/>
                <w:color w:val="222A35"/>
                <w:kern w:val="24"/>
                <w:sz w:val="20"/>
                <w:szCs w:val="20"/>
                <w:lang w:eastAsia="en-AU"/>
              </w:rPr>
              <w:t xml:space="preserve"> </w:t>
            </w:r>
          </w:p>
        </w:tc>
      </w:tr>
    </w:tbl>
    <w:p w14:paraId="78152DDF" w14:textId="5E1E07CB" w:rsidR="00652B14" w:rsidRDefault="00A75D3B" w:rsidP="00280856">
      <w:r>
        <w:lastRenderedPageBreak/>
        <w:t xml:space="preserve">The literature review on </w:t>
      </w:r>
      <w:hyperlink r:id="rId122" w:history="1">
        <w:r w:rsidR="00406AC5" w:rsidRPr="00A000AB">
          <w:rPr>
            <w:rStyle w:val="Hyperlink"/>
          </w:rPr>
          <w:t>international health technology market approval, funding and assessment pathways</w:t>
        </w:r>
        <w:r w:rsidR="00C816F4" w:rsidRPr="00A000AB">
          <w:rPr>
            <w:rStyle w:val="Hyperlink"/>
          </w:rPr>
          <w:t xml:space="preserve"> (paper 1)</w:t>
        </w:r>
      </w:hyperlink>
      <w:r w:rsidR="00406AC5">
        <w:t xml:space="preserve"> found that </w:t>
      </w:r>
      <w:r w:rsidR="000745DB">
        <w:t>decisions were completely transparent for sponsors and partially transparent for patients in</w:t>
      </w:r>
      <w:r w:rsidR="00260F1B">
        <w:t xml:space="preserve"> Australia, Canada - CADTH, Ireland, Japan, </w:t>
      </w:r>
      <w:r w:rsidR="000140A0">
        <w:t xml:space="preserve">Norway, Singapore, Spain, Switzerland, </w:t>
      </w:r>
      <w:r w:rsidR="005F61B9">
        <w:t xml:space="preserve">and the </w:t>
      </w:r>
      <w:r w:rsidR="000140A0">
        <w:t>UK</w:t>
      </w:r>
      <w:r w:rsidR="00FF20AB">
        <w:t xml:space="preserve">. </w:t>
      </w:r>
    </w:p>
    <w:p w14:paraId="7EB75315" w14:textId="2A1F4177" w:rsidR="00481AAC" w:rsidRDefault="00FF20AB" w:rsidP="00280856">
      <w:r>
        <w:t>In Australia</w:t>
      </w:r>
      <w:r w:rsidR="006239DF">
        <w:t>,</w:t>
      </w:r>
      <w:r>
        <w:t xml:space="preserve"> </w:t>
      </w:r>
      <w:r w:rsidR="17C6595B">
        <w:t>P</w:t>
      </w:r>
      <w:r>
        <w:t xml:space="preserve">ublic </w:t>
      </w:r>
      <w:r w:rsidR="6F9E2666">
        <w:t>S</w:t>
      </w:r>
      <w:r>
        <w:t xml:space="preserve">ummary </w:t>
      </w:r>
      <w:r w:rsidR="646C6930">
        <w:t>D</w:t>
      </w:r>
      <w:r>
        <w:t>ocuments commonly contain redactions of clinical and economic evidence.</w:t>
      </w:r>
      <w:r w:rsidR="00260F1B">
        <w:t xml:space="preserve"> </w:t>
      </w:r>
    </w:p>
    <w:p w14:paraId="4DBDC999" w14:textId="18B9E68B" w:rsidR="00280856" w:rsidRDefault="00FF20AB" w:rsidP="00280856">
      <w:r>
        <w:t xml:space="preserve">The literature review found that </w:t>
      </w:r>
      <w:r w:rsidR="006E4F82">
        <w:t>the Institute for Clinical and Economic Review</w:t>
      </w:r>
      <w:r w:rsidR="710A6ADA">
        <w:t xml:space="preserve"> (</w:t>
      </w:r>
      <w:r w:rsidR="006E3BB1">
        <w:t xml:space="preserve">also known as </w:t>
      </w:r>
      <w:r w:rsidR="000D55DF">
        <w:t>ICER</w:t>
      </w:r>
      <w:r w:rsidR="61C02EF9">
        <w:t>)</w:t>
      </w:r>
      <w:r w:rsidR="000D55DF">
        <w:t xml:space="preserve"> in the </w:t>
      </w:r>
      <w:r w:rsidR="0010516D">
        <w:t>US</w:t>
      </w:r>
      <w:r w:rsidR="72177D63">
        <w:t xml:space="preserve"> </w:t>
      </w:r>
      <w:r w:rsidR="000D55DF">
        <w:t xml:space="preserve">and </w:t>
      </w:r>
      <w:r w:rsidR="74AEF18E">
        <w:t>Belgian Health Care Knowledge Centre</w:t>
      </w:r>
      <w:r w:rsidR="000D55DF">
        <w:t xml:space="preserve"> in Belgium had complete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0D55DF">
        <w:t xml:space="preserve"> for both patients and </w:t>
      </w:r>
      <w:r w:rsidR="00EA7498">
        <w:t xml:space="preserve">sponsors, </w:t>
      </w:r>
      <w:r w:rsidR="00355500">
        <w:t xml:space="preserve">but also </w:t>
      </w:r>
      <w:r w:rsidR="00EA7498">
        <w:t>not</w:t>
      </w:r>
      <w:r w:rsidR="00355500">
        <w:t>ed</w:t>
      </w:r>
      <w:r w:rsidR="00EA7498">
        <w:t xml:space="preserve"> that assessments by these agencies might not directly inform the funding decisions of their payers. </w:t>
      </w:r>
    </w:p>
    <w:p w14:paraId="5EA7F321" w14:textId="200A0C4F" w:rsidR="005031F2" w:rsidRPr="00280856" w:rsidRDefault="005031F2" w:rsidP="00280856">
      <w:r>
        <w:t>The literature review found that most of the HTA reports</w:t>
      </w:r>
      <w:r w:rsidR="00D61381">
        <w:t xml:space="preserve"> </w:t>
      </w:r>
      <w:r>
        <w:t>relevant to funding decisions are summarised and published with an account of the assessment and the HTA funding recommendations</w:t>
      </w:r>
      <w:r w:rsidR="00D61381">
        <w:t>, including in Australia</w:t>
      </w:r>
      <w:r>
        <w:t xml:space="preserve">. </w:t>
      </w:r>
    </w:p>
    <w:p w14:paraId="58C1FB83" w14:textId="17774093" w:rsidR="00E05FF8" w:rsidRPr="006647C5" w:rsidRDefault="00E05FF8" w:rsidP="00DF557A">
      <w:pPr>
        <w:pStyle w:val="Heading3"/>
      </w:pPr>
      <w:bookmarkStart w:id="100" w:name="_Toc157029053"/>
      <w:r w:rsidRPr="006647C5">
        <w:t>What we heard from stakeholders</w:t>
      </w:r>
      <w:bookmarkEnd w:id="100"/>
      <w:r w:rsidRPr="006647C5">
        <w:t xml:space="preserve"> </w:t>
      </w:r>
    </w:p>
    <w:p w14:paraId="406B5D81" w14:textId="4BEDEC7F" w:rsidR="00FE1701" w:rsidRDefault="00B134E7" w:rsidP="00B95B60">
      <w:r>
        <w:t xml:space="preserve">Many </w:t>
      </w:r>
      <w:r w:rsidR="001F5900">
        <w:t xml:space="preserve">responses from </w:t>
      </w:r>
      <w:r w:rsidR="00D9076E">
        <w:t>C</w:t>
      </w:r>
      <w:r w:rsidR="001F5900">
        <w:t xml:space="preserve">onsultation </w:t>
      </w:r>
      <w:r w:rsidR="0069278E">
        <w:t xml:space="preserve">1 expressed negative views about </w:t>
      </w:r>
      <w:r w:rsidR="00D07A0F">
        <w:t>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D07A0F">
        <w:t xml:space="preserve"> and communication</w:t>
      </w:r>
      <w:r w:rsidR="00570001">
        <w:fldChar w:fldCharType="begin"/>
      </w:r>
      <w:r w:rsidR="00570001">
        <w:instrText xml:space="preserve"> XE "</w:instrText>
      </w:r>
      <w:r w:rsidR="00570001" w:rsidRPr="00E61E42">
        <w:instrText>communication</w:instrText>
      </w:r>
      <w:r w:rsidR="00570001">
        <w:instrText xml:space="preserve">" \b </w:instrText>
      </w:r>
      <w:r w:rsidR="00570001">
        <w:fldChar w:fldCharType="end"/>
      </w:r>
      <w:r w:rsidR="00D07A0F">
        <w:t xml:space="preserve"> of different aspects of</w:t>
      </w:r>
      <w:r w:rsidR="002060E3">
        <w:t xml:space="preserve"> HTA pathways, </w:t>
      </w:r>
      <w:proofErr w:type="gramStart"/>
      <w:r w:rsidR="002060E3">
        <w:t>processes</w:t>
      </w:r>
      <w:proofErr w:type="gramEnd"/>
      <w:r w:rsidR="002060E3">
        <w:t xml:space="preserve"> and decisions. </w:t>
      </w:r>
      <w:r w:rsidR="00FE1701">
        <w:t>The general sentiment was summarised</w:t>
      </w:r>
      <w:r w:rsidR="00E46CF8">
        <w:t xml:space="preserve"> in the </w:t>
      </w:r>
      <w:hyperlink r:id="rId123" w:history="1">
        <w:r w:rsidR="003D7685" w:rsidRPr="004611A9">
          <w:rPr>
            <w:rStyle w:val="Hyperlink"/>
          </w:rPr>
          <w:t>C</w:t>
        </w:r>
        <w:r w:rsidR="00E46CF8" w:rsidRPr="004611A9">
          <w:rPr>
            <w:rStyle w:val="Hyperlink"/>
          </w:rPr>
          <w:t>onsultation 1 report</w:t>
        </w:r>
      </w:hyperlink>
      <w:r w:rsidR="00FB661F">
        <w:t xml:space="preserve"> as follows</w:t>
      </w:r>
      <w:r w:rsidR="00E46CF8">
        <w:t xml:space="preserve">: </w:t>
      </w:r>
    </w:p>
    <w:p w14:paraId="619F72DF" w14:textId="34449696" w:rsidR="009D07E0" w:rsidRPr="00B95B60" w:rsidRDefault="00E05FF8" w:rsidP="00E46CF8">
      <w:pPr>
        <w:ind w:left="709"/>
      </w:pPr>
      <w:r w:rsidRPr="00E05FF8">
        <w:rPr>
          <w:rFonts w:cs="Segoe UI"/>
          <w:i/>
          <w:lang w:val="en-US"/>
        </w:rPr>
        <w:t>“An overarching theme affecting many aspects of the performance of the HTA system was transparency</w:t>
      </w:r>
      <w:r w:rsidR="002A0D74">
        <w:rPr>
          <w:rFonts w:cs="Segoe UI"/>
          <w:i/>
          <w:lang w:val="en-US"/>
        </w:rPr>
        <w:fldChar w:fldCharType="begin"/>
      </w:r>
      <w:r w:rsidR="002A0D74">
        <w:instrText xml:space="preserve"> XE "</w:instrText>
      </w:r>
      <w:r w:rsidR="002A0D74" w:rsidRPr="005B2802">
        <w:instrText>transparency</w:instrText>
      </w:r>
      <w:r w:rsidR="002A0D74">
        <w:instrText xml:space="preserve">" </w:instrText>
      </w:r>
      <w:r w:rsidR="002A0D74">
        <w:rPr>
          <w:rFonts w:cs="Segoe UI"/>
          <w:i/>
          <w:lang w:val="en-US"/>
        </w:rPr>
        <w:fldChar w:fldCharType="end"/>
      </w:r>
      <w:r w:rsidRPr="00E05FF8">
        <w:rPr>
          <w:rFonts w:cs="Segoe UI"/>
          <w:i/>
          <w:lang w:val="en-US"/>
        </w:rPr>
        <w:t xml:space="preserve"> with respect to how reimbursement/pricing decisions are made, the factors (evidence) that are considered in making those decisions, and in some cases understanding the overall steps in HTA. While many stakeholders considered that the process for HTA in Australia was generally well described, it was not always clearly understood. </w:t>
      </w:r>
    </w:p>
    <w:p w14:paraId="57A7F2C3" w14:textId="6E8A8EE5" w:rsidR="00E05FF8" w:rsidRDefault="00E05FF8" w:rsidP="008C10BB">
      <w:pPr>
        <w:spacing w:after="120"/>
        <w:ind w:left="709"/>
        <w:rPr>
          <w:rFonts w:cs="Segoe UI"/>
          <w:lang w:val="en-US"/>
        </w:rPr>
      </w:pPr>
      <w:r w:rsidRPr="00E05FF8">
        <w:rPr>
          <w:rFonts w:cs="Segoe UI"/>
          <w:i/>
          <w:lang w:val="en-US"/>
        </w:rPr>
        <w:t xml:space="preserve">For some, the language used in describing HTA processes and requirements was overly technical, obfuscating the nature of that process. For others, there was a lack of information provided on specific aspects of the process (such as how evidence was being combined or weighted in reaching decisions about reimbursement/funding) or without public visibility, impeding engagement with the system and potentially resulting in poorer access.” </w:t>
      </w:r>
    </w:p>
    <w:p w14:paraId="0666A262" w14:textId="0301BC69" w:rsidR="00121394" w:rsidRDefault="00195772" w:rsidP="008C10BB">
      <w:pPr>
        <w:spacing w:after="120"/>
        <w:rPr>
          <w:rFonts w:cs="Segoe UI"/>
          <w:lang w:val="en-US"/>
        </w:rPr>
      </w:pPr>
      <w:r>
        <w:rPr>
          <w:rFonts w:cs="Segoe UI"/>
          <w:lang w:val="en-US"/>
        </w:rPr>
        <w:t xml:space="preserve">The </w:t>
      </w:r>
      <w:r w:rsidR="003F79D7">
        <w:rPr>
          <w:rFonts w:cs="Segoe UI"/>
          <w:lang w:val="en-US"/>
        </w:rPr>
        <w:t xml:space="preserve">views </w:t>
      </w:r>
      <w:r>
        <w:rPr>
          <w:rFonts w:cs="Segoe UI"/>
          <w:lang w:val="en-US"/>
        </w:rPr>
        <w:t xml:space="preserve">expressed in submissions are </w:t>
      </w:r>
      <w:proofErr w:type="spellStart"/>
      <w:r>
        <w:rPr>
          <w:rFonts w:cs="Segoe UI"/>
          <w:lang w:val="en-US"/>
        </w:rPr>
        <w:t>summari</w:t>
      </w:r>
      <w:r w:rsidR="00FA1968">
        <w:rPr>
          <w:rFonts w:cs="Segoe UI"/>
          <w:lang w:val="en-US"/>
        </w:rPr>
        <w:t>s</w:t>
      </w:r>
      <w:r>
        <w:rPr>
          <w:rFonts w:cs="Segoe UI"/>
          <w:lang w:val="en-US"/>
        </w:rPr>
        <w:t>ed</w:t>
      </w:r>
      <w:proofErr w:type="spellEnd"/>
      <w:r>
        <w:rPr>
          <w:rFonts w:cs="Segoe UI"/>
          <w:lang w:val="en-US"/>
        </w:rPr>
        <w:t xml:space="preserve"> in the table below: </w:t>
      </w:r>
    </w:p>
    <w:tbl>
      <w:tblPr>
        <w:tblW w:w="0" w:type="auto"/>
        <w:tblInd w:w="-10" w:type="dxa"/>
        <w:tblCellMar>
          <w:left w:w="0" w:type="dxa"/>
          <w:right w:w="0" w:type="dxa"/>
        </w:tblCellMar>
        <w:tblLook w:val="0420" w:firstRow="1" w:lastRow="0" w:firstColumn="0" w:lastColumn="0" w:noHBand="0" w:noVBand="1"/>
      </w:tblPr>
      <w:tblGrid>
        <w:gridCol w:w="1560"/>
        <w:gridCol w:w="7456"/>
      </w:tblGrid>
      <w:tr w:rsidR="00BF70A5" w14:paraId="4087C216" w14:textId="77777777" w:rsidTr="018653D1">
        <w:trPr>
          <w:cantSplit/>
          <w:trHeight w:val="419"/>
          <w:tblHeader/>
        </w:trPr>
        <w:tc>
          <w:tcPr>
            <w:tcW w:w="1560" w:type="dxa"/>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2FF6CCC2" w14:textId="15291B14" w:rsidR="00BF70A5" w:rsidRPr="005F065C" w:rsidRDefault="00BF70A5" w:rsidP="008C10BB">
            <w:pPr>
              <w:spacing w:after="120"/>
              <w:jc w:val="center"/>
              <w:rPr>
                <w:rFonts w:eastAsia="Times New Roman" w:cs="Segoe UI"/>
                <w:sz w:val="36"/>
                <w:szCs w:val="36"/>
                <w:lang w:eastAsia="en-AU"/>
              </w:rPr>
            </w:pPr>
            <w:r>
              <w:rPr>
                <w:rFonts w:eastAsia="Times New Roman" w:cs="Segoe UI"/>
                <w:b/>
                <w:bCs/>
                <w:color w:val="FFFFFF"/>
                <w:kern w:val="24"/>
                <w:lang w:eastAsia="en-AU"/>
              </w:rPr>
              <w:t>Area</w:t>
            </w:r>
          </w:p>
        </w:tc>
        <w:tc>
          <w:tcPr>
            <w:tcW w:w="7456" w:type="dxa"/>
            <w:tcBorders>
              <w:top w:val="single" w:sz="24" w:space="0" w:color="008A96" w:themeColor="accent3"/>
              <w:left w:val="single" w:sz="8" w:space="0" w:color="FFFFFF" w:themeColor="background1"/>
              <w:right w:val="single" w:sz="8" w:space="0" w:color="FFFFFF" w:themeColor="background1"/>
            </w:tcBorders>
            <w:shd w:val="clear" w:color="auto" w:fill="0E223F"/>
            <w:tcMar>
              <w:top w:w="72" w:type="dxa"/>
              <w:left w:w="144" w:type="dxa"/>
              <w:bottom w:w="72" w:type="dxa"/>
              <w:right w:w="144" w:type="dxa"/>
            </w:tcMar>
            <w:vAlign w:val="center"/>
            <w:hideMark/>
          </w:tcPr>
          <w:p w14:paraId="2A19F2E3" w14:textId="7CF36A5F" w:rsidR="00BF70A5" w:rsidRDefault="002716C1" w:rsidP="008C10BB">
            <w:pPr>
              <w:spacing w:after="120"/>
              <w:jc w:val="center"/>
              <w:rPr>
                <w:rFonts w:eastAsia="Times New Roman" w:cs="Segoe UI"/>
                <w:b/>
                <w:bCs/>
                <w:color w:val="FFFFFF"/>
                <w:kern w:val="24"/>
                <w:lang w:eastAsia="en-AU"/>
              </w:rPr>
            </w:pPr>
            <w:r>
              <w:rPr>
                <w:rFonts w:eastAsia="Times New Roman" w:cs="Segoe UI"/>
                <w:b/>
                <w:bCs/>
                <w:color w:val="FFFFFF"/>
                <w:kern w:val="24"/>
                <w:lang w:eastAsia="en-AU"/>
              </w:rPr>
              <w:t>Stakeholder views</w:t>
            </w:r>
          </w:p>
        </w:tc>
      </w:tr>
      <w:tr w:rsidR="00BF70A5" w:rsidRPr="002F7457" w14:paraId="2D35617A" w14:textId="77777777" w:rsidTr="018653D1">
        <w:trPr>
          <w:trHeight w:val="664"/>
        </w:trPr>
        <w:tc>
          <w:tcPr>
            <w:tcW w:w="1560"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5BDD144B" w14:textId="090647E0" w:rsidR="00BF70A5" w:rsidRPr="001C1C49" w:rsidRDefault="002716C1" w:rsidP="008C10BB">
            <w:pPr>
              <w:spacing w:after="120"/>
              <w:rPr>
                <w:rFonts w:eastAsia="Times New Roman" w:cs="Segoe UI"/>
                <w:b/>
                <w:bCs/>
                <w:color w:val="222A35"/>
                <w:kern w:val="24"/>
                <w:sz w:val="20"/>
                <w:szCs w:val="20"/>
                <w:lang w:eastAsia="en-AU"/>
              </w:rPr>
            </w:pPr>
            <w:r w:rsidRPr="001C1C49">
              <w:rPr>
                <w:rFonts w:eastAsia="Times New Roman" w:cs="Segoe UI"/>
                <w:b/>
                <w:bCs/>
                <w:color w:val="222A35"/>
                <w:kern w:val="24"/>
                <w:sz w:val="20"/>
                <w:szCs w:val="20"/>
                <w:lang w:eastAsia="en-AU"/>
              </w:rPr>
              <w:t>Pathways</w:t>
            </w:r>
          </w:p>
        </w:tc>
        <w:tc>
          <w:tcPr>
            <w:tcW w:w="7456"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8387E58" w14:textId="77777777" w:rsidR="00BF70A5" w:rsidRPr="001D1292" w:rsidRDefault="002716C1"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there is not clear information on the steps in the </w:t>
            </w:r>
            <w:proofErr w:type="gramStart"/>
            <w:r w:rsidRPr="001D1292">
              <w:rPr>
                <w:rFonts w:cs="Segoe UI"/>
                <w:i/>
                <w:iCs/>
                <w:sz w:val="20"/>
                <w:szCs w:val="20"/>
                <w:lang w:val="en-US"/>
              </w:rPr>
              <w:t>process</w:t>
            </w:r>
            <w:proofErr w:type="gramEnd"/>
          </w:p>
          <w:p w14:paraId="2B566A36" w14:textId="6D4F8910" w:rsidR="00840E6D" w:rsidRPr="001C1C49" w:rsidRDefault="00840E6D" w:rsidP="008C10BB">
            <w:pPr>
              <w:pStyle w:val="ListParagraph"/>
              <w:numPr>
                <w:ilvl w:val="0"/>
                <w:numId w:val="6"/>
              </w:numPr>
              <w:spacing w:after="120"/>
              <w:rPr>
                <w:rFonts w:cs="Segoe UI"/>
                <w:sz w:val="20"/>
                <w:szCs w:val="20"/>
                <w:lang w:val="en-US"/>
              </w:rPr>
            </w:pPr>
            <w:r w:rsidRPr="001D1292">
              <w:rPr>
                <w:rFonts w:cs="Segoe UI"/>
                <w:i/>
                <w:iCs/>
                <w:sz w:val="20"/>
                <w:szCs w:val="20"/>
                <w:lang w:val="en-US"/>
              </w:rPr>
              <w:t>pathways for new technologies were unclear</w:t>
            </w:r>
          </w:p>
        </w:tc>
      </w:tr>
      <w:tr w:rsidR="00BF70A5" w14:paraId="662CC7A4" w14:textId="77777777" w:rsidTr="018653D1">
        <w:trPr>
          <w:trHeight w:val="996"/>
        </w:trPr>
        <w:tc>
          <w:tcPr>
            <w:tcW w:w="1560"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84FB44D" w14:textId="15C1D65B" w:rsidR="00BF70A5" w:rsidRPr="001C1C49" w:rsidRDefault="002716C1" w:rsidP="008C10BB">
            <w:pPr>
              <w:spacing w:after="120"/>
              <w:rPr>
                <w:rFonts w:eastAsia="Times New Roman" w:cs="Segoe UI"/>
                <w:b/>
                <w:bCs/>
                <w:color w:val="222A35"/>
                <w:kern w:val="24"/>
                <w:sz w:val="20"/>
                <w:szCs w:val="20"/>
                <w:lang w:eastAsia="en-AU"/>
              </w:rPr>
            </w:pPr>
            <w:r w:rsidRPr="001C1C49">
              <w:rPr>
                <w:rFonts w:eastAsia="Times New Roman" w:cs="Segoe UI"/>
                <w:b/>
                <w:bCs/>
                <w:color w:val="222A35"/>
                <w:kern w:val="24"/>
                <w:sz w:val="20"/>
                <w:szCs w:val="20"/>
                <w:lang w:eastAsia="en-AU"/>
              </w:rPr>
              <w:lastRenderedPageBreak/>
              <w:t>Processes</w:t>
            </w:r>
          </w:p>
        </w:tc>
        <w:tc>
          <w:tcPr>
            <w:tcW w:w="7456"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6279F63B" w14:textId="77777777" w:rsidR="002716C1" w:rsidRPr="001D1292" w:rsidRDefault="002716C1"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existing stakeholder consultation and patient engagement mechanisms were </w:t>
            </w:r>
            <w:proofErr w:type="gramStart"/>
            <w:r w:rsidRPr="001D1292">
              <w:rPr>
                <w:rFonts w:cs="Segoe UI"/>
                <w:i/>
                <w:iCs/>
                <w:sz w:val="20"/>
                <w:szCs w:val="20"/>
                <w:lang w:val="en-US"/>
              </w:rPr>
              <w:t>insufficient</w:t>
            </w:r>
            <w:proofErr w:type="gramEnd"/>
          </w:p>
          <w:p w14:paraId="04ECC1B3" w14:textId="77777777" w:rsidR="002716C1" w:rsidRPr="001D1292" w:rsidRDefault="002716C1"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agendas (for PBAC meetings in particular) did not contain sufficient information to help inform what patient </w:t>
            </w:r>
            <w:proofErr w:type="spellStart"/>
            <w:r w:rsidRPr="001D1292">
              <w:rPr>
                <w:rFonts w:cs="Segoe UI"/>
                <w:i/>
                <w:iCs/>
                <w:sz w:val="20"/>
                <w:szCs w:val="20"/>
                <w:lang w:val="en-US"/>
              </w:rPr>
              <w:t>organisations</w:t>
            </w:r>
            <w:proofErr w:type="spellEnd"/>
            <w:r w:rsidRPr="001D1292">
              <w:rPr>
                <w:rFonts w:cs="Segoe UI"/>
                <w:i/>
                <w:iCs/>
                <w:sz w:val="20"/>
                <w:szCs w:val="20"/>
                <w:lang w:val="en-US"/>
              </w:rPr>
              <w:t xml:space="preserve"> should </w:t>
            </w:r>
            <w:proofErr w:type="gramStart"/>
            <w:r w:rsidRPr="001D1292">
              <w:rPr>
                <w:rFonts w:cs="Segoe UI"/>
                <w:i/>
                <w:iCs/>
                <w:sz w:val="20"/>
                <w:szCs w:val="20"/>
                <w:lang w:val="en-US"/>
              </w:rPr>
              <w:t>provide</w:t>
            </w:r>
            <w:proofErr w:type="gramEnd"/>
          </w:p>
          <w:p w14:paraId="78DD8B0F" w14:textId="43FAD2BA" w:rsidR="00BF70A5" w:rsidRPr="001D1292" w:rsidRDefault="002716C1"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guidelines do not adequately describe how certain types of evidence should</w:t>
            </w:r>
            <w:r w:rsidR="005822E2">
              <w:rPr>
                <w:rFonts w:cs="Segoe UI"/>
                <w:i/>
                <w:iCs/>
                <w:sz w:val="20"/>
                <w:szCs w:val="20"/>
                <w:lang w:val="en-US"/>
              </w:rPr>
              <w:t xml:space="preserve"> be</w:t>
            </w:r>
            <w:r w:rsidRPr="001D1292">
              <w:rPr>
                <w:rFonts w:cs="Segoe UI"/>
                <w:i/>
                <w:iCs/>
                <w:sz w:val="20"/>
                <w:szCs w:val="20"/>
                <w:lang w:val="en-US"/>
              </w:rPr>
              <w:t xml:space="preserve"> presented or will be used in decision</w:t>
            </w:r>
            <w:r w:rsidR="008D07E2">
              <w:rPr>
                <w:rFonts w:cs="Segoe UI"/>
                <w:i/>
                <w:iCs/>
                <w:sz w:val="20"/>
                <w:szCs w:val="20"/>
                <w:lang w:val="en-US"/>
              </w:rPr>
              <w:t>-</w:t>
            </w:r>
            <w:r w:rsidRPr="001D1292">
              <w:rPr>
                <w:rFonts w:cs="Segoe UI"/>
                <w:i/>
                <w:iCs/>
                <w:sz w:val="20"/>
                <w:szCs w:val="20"/>
                <w:lang w:val="en-US"/>
              </w:rPr>
              <w:t xml:space="preserve">making (such as </w:t>
            </w:r>
            <w:r w:rsidR="00C4134E">
              <w:rPr>
                <w:rFonts w:cs="Segoe UI"/>
                <w:i/>
                <w:iCs/>
                <w:sz w:val="20"/>
                <w:szCs w:val="20"/>
                <w:lang w:val="en-US"/>
              </w:rPr>
              <w:t>RWE</w:t>
            </w:r>
            <w:r w:rsidRPr="001D1292">
              <w:rPr>
                <w:rFonts w:cs="Segoe UI"/>
                <w:i/>
                <w:iCs/>
                <w:sz w:val="20"/>
                <w:szCs w:val="20"/>
                <w:lang w:val="en-US"/>
              </w:rPr>
              <w:t xml:space="preserve"> and </w:t>
            </w:r>
            <w:r w:rsidR="00C4134E">
              <w:rPr>
                <w:rFonts w:cs="Segoe UI"/>
                <w:i/>
                <w:iCs/>
                <w:sz w:val="20"/>
                <w:szCs w:val="20"/>
                <w:lang w:val="en-US"/>
              </w:rPr>
              <w:t>RWD</w:t>
            </w:r>
            <w:r w:rsidR="00D604FB">
              <w:rPr>
                <w:rFonts w:cs="Segoe UI"/>
                <w:i/>
                <w:iCs/>
                <w:sz w:val="20"/>
                <w:szCs w:val="20"/>
                <w:lang w:val="en-US"/>
              </w:rPr>
              <w:t>;</w:t>
            </w:r>
            <w:r w:rsidRPr="001D1292">
              <w:rPr>
                <w:rFonts w:cs="Segoe UI"/>
                <w:i/>
                <w:iCs/>
                <w:sz w:val="20"/>
                <w:szCs w:val="20"/>
                <w:lang w:val="en-US"/>
              </w:rPr>
              <w:t xml:space="preserve"> patient, consumer</w:t>
            </w:r>
            <w:r w:rsidR="00EE56FD" w:rsidRPr="001D1292">
              <w:rPr>
                <w:rFonts w:cs="Segoe UI"/>
                <w:i/>
                <w:iCs/>
                <w:sz w:val="20"/>
                <w:szCs w:val="20"/>
                <w:lang w:val="en-US"/>
              </w:rPr>
              <w:t>,</w:t>
            </w:r>
            <w:r w:rsidRPr="001D1292">
              <w:rPr>
                <w:rFonts w:cs="Segoe UI"/>
                <w:i/>
                <w:iCs/>
                <w:sz w:val="20"/>
                <w:szCs w:val="20"/>
                <w:lang w:val="en-US"/>
              </w:rPr>
              <w:t xml:space="preserve"> and clinician input</w:t>
            </w:r>
            <w:r w:rsidR="00FB1109">
              <w:rPr>
                <w:rFonts w:cs="Segoe UI"/>
                <w:i/>
                <w:iCs/>
                <w:sz w:val="20"/>
                <w:szCs w:val="20"/>
                <w:lang w:val="en-US"/>
              </w:rPr>
              <w:t>;</w:t>
            </w:r>
            <w:r w:rsidRPr="001D1292">
              <w:rPr>
                <w:rFonts w:cs="Segoe UI"/>
                <w:i/>
                <w:iCs/>
                <w:sz w:val="20"/>
                <w:szCs w:val="20"/>
                <w:lang w:val="en-US"/>
              </w:rPr>
              <w:t xml:space="preserve"> non-health outcomes</w:t>
            </w:r>
            <w:r w:rsidR="00FB1109">
              <w:rPr>
                <w:rFonts w:cs="Segoe UI"/>
                <w:i/>
                <w:iCs/>
                <w:sz w:val="20"/>
                <w:szCs w:val="20"/>
                <w:lang w:val="en-US"/>
              </w:rPr>
              <w:t>;</w:t>
            </w:r>
            <w:r w:rsidRPr="001D1292">
              <w:rPr>
                <w:rFonts w:cs="Segoe UI"/>
                <w:i/>
                <w:iCs/>
                <w:sz w:val="20"/>
                <w:szCs w:val="20"/>
                <w:lang w:val="en-US"/>
              </w:rPr>
              <w:t xml:space="preserve"> and implementation considerations)</w:t>
            </w:r>
          </w:p>
        </w:tc>
      </w:tr>
      <w:tr w:rsidR="00A44F0B" w14:paraId="0780E72E" w14:textId="77777777" w:rsidTr="018653D1">
        <w:trPr>
          <w:trHeight w:val="996"/>
        </w:trPr>
        <w:tc>
          <w:tcPr>
            <w:tcW w:w="1560"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0EC0B888" w14:textId="06B65A2E" w:rsidR="00A44F0B" w:rsidRPr="001C1C49" w:rsidRDefault="00A44F0B" w:rsidP="008C10BB">
            <w:pPr>
              <w:spacing w:after="120"/>
              <w:rPr>
                <w:rFonts w:eastAsia="Times New Roman" w:cs="Segoe UI"/>
                <w:b/>
                <w:bCs/>
                <w:color w:val="222A35"/>
                <w:kern w:val="24"/>
                <w:sz w:val="20"/>
                <w:szCs w:val="20"/>
                <w:lang w:eastAsia="en-AU"/>
              </w:rPr>
            </w:pPr>
            <w:r>
              <w:rPr>
                <w:rFonts w:eastAsia="Times New Roman" w:cs="Segoe UI"/>
                <w:b/>
                <w:bCs/>
                <w:color w:val="222A35"/>
                <w:kern w:val="24"/>
                <w:sz w:val="20"/>
                <w:szCs w:val="20"/>
                <w:lang w:eastAsia="en-AU"/>
              </w:rPr>
              <w:t>Methods</w:t>
            </w:r>
          </w:p>
        </w:tc>
        <w:tc>
          <w:tcPr>
            <w:tcW w:w="7456"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4448A9CE" w14:textId="4BA86ABD" w:rsidR="00A44F0B" w:rsidRPr="001D1292" w:rsidRDefault="00850B8B" w:rsidP="008C10BB">
            <w:pPr>
              <w:pStyle w:val="ListParagraph"/>
              <w:numPr>
                <w:ilvl w:val="0"/>
                <w:numId w:val="6"/>
              </w:numPr>
              <w:spacing w:after="120"/>
              <w:rPr>
                <w:rStyle w:val="cf01"/>
                <w:i/>
                <w:iCs/>
                <w:sz w:val="20"/>
                <w:szCs w:val="20"/>
                <w:lang w:val="en-US"/>
              </w:rPr>
            </w:pPr>
            <w:r w:rsidRPr="001D1292">
              <w:rPr>
                <w:rStyle w:val="cf01"/>
                <w:i/>
                <w:iCs/>
                <w:sz w:val="20"/>
                <w:szCs w:val="20"/>
              </w:rPr>
              <w:t>it is not clear how non</w:t>
            </w:r>
            <w:r w:rsidR="00CB177A">
              <w:rPr>
                <w:rStyle w:val="cf01"/>
                <w:i/>
                <w:iCs/>
                <w:sz w:val="20"/>
                <w:szCs w:val="20"/>
              </w:rPr>
              <w:t>-</w:t>
            </w:r>
            <w:r w:rsidRPr="001D1292">
              <w:rPr>
                <w:rStyle w:val="cf01"/>
                <w:i/>
                <w:iCs/>
                <w:sz w:val="20"/>
                <w:szCs w:val="20"/>
              </w:rPr>
              <w:t>traditional evidence (</w:t>
            </w:r>
            <w:proofErr w:type="gramStart"/>
            <w:r w:rsidR="004D3F22">
              <w:rPr>
                <w:rStyle w:val="cf01"/>
                <w:i/>
                <w:iCs/>
                <w:sz w:val="20"/>
                <w:szCs w:val="20"/>
              </w:rPr>
              <w:t>e</w:t>
            </w:r>
            <w:r w:rsidR="004D3F22">
              <w:rPr>
                <w:rStyle w:val="cf01"/>
                <w:i/>
                <w:iCs/>
              </w:rPr>
              <w:t>.g.</w:t>
            </w:r>
            <w:proofErr w:type="gramEnd"/>
            <w:r w:rsidRPr="001D1292">
              <w:rPr>
                <w:rStyle w:val="cf01"/>
                <w:i/>
                <w:iCs/>
                <w:sz w:val="20"/>
                <w:szCs w:val="20"/>
              </w:rPr>
              <w:t xml:space="preserve"> randomised, PROMs) will be accepted as part of the PBAC evaluation</w:t>
            </w:r>
          </w:p>
          <w:p w14:paraId="5F9D52CE" w14:textId="2F3BDDD0" w:rsidR="00850B8B" w:rsidRPr="001D1292" w:rsidRDefault="00BC0C26" w:rsidP="008C10BB">
            <w:pPr>
              <w:pStyle w:val="ListParagraph"/>
              <w:numPr>
                <w:ilvl w:val="0"/>
                <w:numId w:val="6"/>
              </w:numPr>
              <w:spacing w:after="120"/>
              <w:rPr>
                <w:rStyle w:val="cf01"/>
                <w:i/>
                <w:iCs/>
                <w:sz w:val="20"/>
                <w:szCs w:val="20"/>
                <w:lang w:val="en-US"/>
              </w:rPr>
            </w:pPr>
            <w:r w:rsidRPr="001D1292">
              <w:rPr>
                <w:rStyle w:val="cf01"/>
                <w:i/>
                <w:iCs/>
                <w:sz w:val="20"/>
                <w:szCs w:val="20"/>
              </w:rPr>
              <w:t>t</w:t>
            </w:r>
            <w:r w:rsidR="008C79DA" w:rsidRPr="001D1292">
              <w:rPr>
                <w:rStyle w:val="cf01"/>
                <w:i/>
                <w:iCs/>
                <w:sz w:val="20"/>
                <w:szCs w:val="20"/>
              </w:rPr>
              <w:t xml:space="preserve">he </w:t>
            </w:r>
            <w:r w:rsidR="003D2CF2">
              <w:rPr>
                <w:rStyle w:val="cf01"/>
                <w:i/>
                <w:iCs/>
                <w:sz w:val="20"/>
                <w:szCs w:val="20"/>
              </w:rPr>
              <w:t>G</w:t>
            </w:r>
            <w:r w:rsidR="008C79DA" w:rsidRPr="001D1292">
              <w:rPr>
                <w:rStyle w:val="cf01"/>
                <w:i/>
                <w:iCs/>
                <w:sz w:val="20"/>
                <w:szCs w:val="20"/>
              </w:rPr>
              <w:t>overnment could consider providing better bespoke communication</w:t>
            </w:r>
            <w:r w:rsidR="00570001">
              <w:rPr>
                <w:rStyle w:val="cf01"/>
                <w:i/>
                <w:iCs/>
                <w:sz w:val="20"/>
                <w:szCs w:val="20"/>
              </w:rPr>
              <w:fldChar w:fldCharType="begin"/>
            </w:r>
            <w:r w:rsidR="00570001">
              <w:instrText xml:space="preserve"> XE "</w:instrText>
            </w:r>
            <w:r w:rsidR="00570001" w:rsidRPr="00E61E42">
              <w:instrText>communication</w:instrText>
            </w:r>
            <w:r w:rsidR="00570001">
              <w:instrText xml:space="preserve">" \b </w:instrText>
            </w:r>
            <w:r w:rsidR="00570001">
              <w:rPr>
                <w:rStyle w:val="cf01"/>
                <w:i/>
                <w:iCs/>
                <w:sz w:val="20"/>
                <w:szCs w:val="20"/>
              </w:rPr>
              <w:fldChar w:fldCharType="end"/>
            </w:r>
            <w:r w:rsidR="006A6B28">
              <w:rPr>
                <w:rStyle w:val="cf01"/>
                <w:i/>
                <w:iCs/>
                <w:sz w:val="20"/>
                <w:szCs w:val="20"/>
              </w:rPr>
              <w:t xml:space="preserve"> </w:t>
            </w:r>
            <w:r w:rsidR="008C79DA" w:rsidRPr="001D1292">
              <w:rPr>
                <w:rStyle w:val="cf01"/>
                <w:i/>
                <w:iCs/>
                <w:sz w:val="20"/>
                <w:szCs w:val="20"/>
              </w:rPr>
              <w:t xml:space="preserve">to HTA consultancy groups, industry applicants and patients/consumers about the existing provisions in the </w:t>
            </w:r>
            <w:r w:rsidR="00F53E93">
              <w:rPr>
                <w:rStyle w:val="cf01"/>
                <w:i/>
                <w:iCs/>
                <w:sz w:val="20"/>
                <w:szCs w:val="20"/>
              </w:rPr>
              <w:t>g</w:t>
            </w:r>
            <w:r w:rsidR="008C79DA" w:rsidRPr="001D1292">
              <w:rPr>
                <w:rStyle w:val="cf01"/>
                <w:i/>
                <w:iCs/>
                <w:sz w:val="20"/>
                <w:szCs w:val="20"/>
              </w:rPr>
              <w:t>uidelines for dealing with and presenting a non</w:t>
            </w:r>
            <w:r w:rsidRPr="001D1292">
              <w:rPr>
                <w:rStyle w:val="cf01"/>
                <w:i/>
                <w:iCs/>
                <w:sz w:val="20"/>
                <w:szCs w:val="20"/>
              </w:rPr>
              <w:t>-</w:t>
            </w:r>
            <w:r w:rsidR="008C79DA" w:rsidRPr="001D1292">
              <w:rPr>
                <w:rStyle w:val="cf01"/>
                <w:i/>
                <w:iCs/>
                <w:sz w:val="20"/>
                <w:szCs w:val="20"/>
              </w:rPr>
              <w:t xml:space="preserve">traditional evidence base for a </w:t>
            </w:r>
            <w:proofErr w:type="gramStart"/>
            <w:r w:rsidR="008C79DA" w:rsidRPr="001D1292">
              <w:rPr>
                <w:rStyle w:val="cf01"/>
                <w:i/>
                <w:iCs/>
                <w:sz w:val="20"/>
                <w:szCs w:val="20"/>
              </w:rPr>
              <w:t>technolog</w:t>
            </w:r>
            <w:r w:rsidR="00721BA7" w:rsidRPr="001D1292">
              <w:rPr>
                <w:rStyle w:val="cf01"/>
                <w:i/>
                <w:iCs/>
                <w:sz w:val="20"/>
                <w:szCs w:val="20"/>
              </w:rPr>
              <w:t>y</w:t>
            </w:r>
            <w:proofErr w:type="gramEnd"/>
          </w:p>
          <w:p w14:paraId="12740217" w14:textId="2A5F235D" w:rsidR="00157579" w:rsidRPr="001D1292" w:rsidRDefault="00157579" w:rsidP="008C10BB">
            <w:pPr>
              <w:pStyle w:val="ListParagraph"/>
              <w:numPr>
                <w:ilvl w:val="0"/>
                <w:numId w:val="6"/>
              </w:numPr>
              <w:spacing w:after="120"/>
              <w:rPr>
                <w:rFonts w:cs="Segoe UI"/>
                <w:i/>
                <w:iCs/>
                <w:sz w:val="20"/>
                <w:szCs w:val="20"/>
                <w:lang w:val="en-US"/>
              </w:rPr>
            </w:pPr>
            <w:r w:rsidRPr="001D1292">
              <w:rPr>
                <w:rStyle w:val="cf01"/>
                <w:i/>
                <w:iCs/>
                <w:sz w:val="20"/>
                <w:szCs w:val="20"/>
              </w:rPr>
              <w:t>there is a lack of information or transparency</w:t>
            </w:r>
            <w:r w:rsidR="002A0D74">
              <w:rPr>
                <w:rStyle w:val="cf01"/>
                <w:i/>
                <w:iCs/>
                <w:sz w:val="20"/>
                <w:szCs w:val="20"/>
              </w:rPr>
              <w:fldChar w:fldCharType="begin"/>
            </w:r>
            <w:r w:rsidR="002A0D74">
              <w:instrText xml:space="preserve"> XE "</w:instrText>
            </w:r>
            <w:r w:rsidR="002A0D74" w:rsidRPr="005B2802">
              <w:instrText>transparency</w:instrText>
            </w:r>
            <w:r w:rsidR="002A0D74">
              <w:instrText xml:space="preserve">" </w:instrText>
            </w:r>
            <w:r w:rsidR="002A0D74">
              <w:rPr>
                <w:rStyle w:val="cf01"/>
                <w:i/>
                <w:iCs/>
                <w:sz w:val="20"/>
                <w:szCs w:val="20"/>
              </w:rPr>
              <w:fldChar w:fldCharType="end"/>
            </w:r>
            <w:r w:rsidRPr="001D1292">
              <w:rPr>
                <w:rStyle w:val="cf01"/>
                <w:i/>
                <w:iCs/>
                <w:sz w:val="20"/>
                <w:szCs w:val="20"/>
              </w:rPr>
              <w:t xml:space="preserve"> (public visibility) regarding specific aspects of the process (such as how evidence was being combined or weighted in reaching decisions about reimbursement/funding), impeding engagement with the </w:t>
            </w:r>
            <w:proofErr w:type="gramStart"/>
            <w:r w:rsidRPr="001D1292">
              <w:rPr>
                <w:rStyle w:val="cf01"/>
                <w:i/>
                <w:iCs/>
                <w:sz w:val="20"/>
                <w:szCs w:val="20"/>
              </w:rPr>
              <w:t>system</w:t>
            </w:r>
            <w:proofErr w:type="gramEnd"/>
            <w:r w:rsidRPr="001D1292">
              <w:rPr>
                <w:rStyle w:val="cf01"/>
                <w:i/>
                <w:iCs/>
                <w:sz w:val="20"/>
                <w:szCs w:val="20"/>
              </w:rPr>
              <w:t xml:space="preserve"> and potentially resulting in poorer access</w:t>
            </w:r>
          </w:p>
        </w:tc>
      </w:tr>
      <w:tr w:rsidR="00BF70A5" w14:paraId="16FC6202" w14:textId="77777777" w:rsidTr="018653D1">
        <w:trPr>
          <w:trHeight w:val="996"/>
        </w:trPr>
        <w:tc>
          <w:tcPr>
            <w:tcW w:w="1560"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3BB06F16" w14:textId="187EECAE" w:rsidR="00BF70A5" w:rsidRPr="001C1C49" w:rsidRDefault="002716C1" w:rsidP="008C10BB">
            <w:pPr>
              <w:spacing w:after="120"/>
              <w:rPr>
                <w:rFonts w:eastAsia="Times New Roman" w:cs="Segoe UI"/>
                <w:b/>
                <w:bCs/>
                <w:kern w:val="24"/>
                <w:sz w:val="20"/>
                <w:szCs w:val="20"/>
                <w:lang w:eastAsia="en-AU"/>
              </w:rPr>
            </w:pPr>
            <w:r w:rsidRPr="001C1C49">
              <w:rPr>
                <w:rFonts w:eastAsia="Times New Roman" w:cs="Segoe UI"/>
                <w:b/>
                <w:bCs/>
                <w:kern w:val="24"/>
                <w:sz w:val="20"/>
                <w:szCs w:val="20"/>
                <w:lang w:eastAsia="en-AU"/>
              </w:rPr>
              <w:t>Decisions</w:t>
            </w:r>
          </w:p>
        </w:tc>
        <w:tc>
          <w:tcPr>
            <w:tcW w:w="7456"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1EC9E4FF" w14:textId="77777777"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public summaries do not communicate information in a way that is accessible and easy to </w:t>
            </w:r>
            <w:proofErr w:type="gramStart"/>
            <w:r w:rsidRPr="001D1292">
              <w:rPr>
                <w:rFonts w:cs="Segoe UI"/>
                <w:i/>
                <w:iCs/>
                <w:sz w:val="20"/>
                <w:szCs w:val="20"/>
                <w:lang w:val="en-US"/>
              </w:rPr>
              <w:t>understand</w:t>
            </w:r>
            <w:proofErr w:type="gramEnd"/>
          </w:p>
          <w:p w14:paraId="172F43C9" w14:textId="63172858"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public summaries use language that ma</w:t>
            </w:r>
            <w:r w:rsidR="00412CA3" w:rsidRPr="001D1292">
              <w:rPr>
                <w:rFonts w:cs="Segoe UI"/>
                <w:i/>
                <w:iCs/>
                <w:sz w:val="20"/>
                <w:szCs w:val="20"/>
                <w:lang w:val="en-US"/>
              </w:rPr>
              <w:t>kes</w:t>
            </w:r>
            <w:r w:rsidRPr="001D1292">
              <w:rPr>
                <w:rFonts w:cs="Segoe UI"/>
                <w:i/>
                <w:iCs/>
                <w:sz w:val="20"/>
                <w:szCs w:val="20"/>
                <w:lang w:val="en-US"/>
              </w:rPr>
              <w:t xml:space="preserve"> them inaccessible for consumers and </w:t>
            </w:r>
            <w:proofErr w:type="gramStart"/>
            <w:r w:rsidRPr="001D1292">
              <w:rPr>
                <w:rFonts w:cs="Segoe UI"/>
                <w:i/>
                <w:iCs/>
                <w:sz w:val="20"/>
                <w:szCs w:val="20"/>
                <w:lang w:val="en-US"/>
              </w:rPr>
              <w:t>patients</w:t>
            </w:r>
            <w:proofErr w:type="gramEnd"/>
          </w:p>
          <w:p w14:paraId="1BDD5090" w14:textId="0EFB13A8"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pub</w:t>
            </w:r>
            <w:r w:rsidR="007D21C5">
              <w:rPr>
                <w:rFonts w:cs="Segoe UI"/>
                <w:i/>
                <w:iCs/>
                <w:sz w:val="20"/>
                <w:szCs w:val="20"/>
                <w:lang w:val="en-US"/>
              </w:rPr>
              <w:t>l</w:t>
            </w:r>
            <w:r w:rsidRPr="001D1292">
              <w:rPr>
                <w:rFonts w:cs="Segoe UI"/>
                <w:i/>
                <w:iCs/>
                <w:sz w:val="20"/>
                <w:szCs w:val="20"/>
                <w:lang w:val="en-US"/>
              </w:rPr>
              <w:t xml:space="preserve">ic summaries do not sufficiently communicate what influence certain types of evidence (such as patient and consumer input) had on decisions to recommend or not recommend a health technology </w:t>
            </w:r>
            <w:r w:rsidR="007D21C5">
              <w:rPr>
                <w:rFonts w:cs="Segoe UI"/>
                <w:i/>
                <w:iCs/>
                <w:sz w:val="20"/>
                <w:szCs w:val="20"/>
                <w:lang w:val="en-US"/>
              </w:rPr>
              <w:t>b</w:t>
            </w:r>
            <w:r w:rsidR="007D21C5">
              <w:rPr>
                <w:sz w:val="20"/>
                <w:szCs w:val="20"/>
                <w:lang w:val="en-US"/>
              </w:rPr>
              <w:t>e</w:t>
            </w:r>
            <w:r w:rsidR="007D21C5" w:rsidRPr="001D1292">
              <w:rPr>
                <w:rFonts w:cs="Segoe UI"/>
                <w:i/>
                <w:iCs/>
                <w:sz w:val="20"/>
                <w:szCs w:val="20"/>
                <w:lang w:val="en-US"/>
              </w:rPr>
              <w:t xml:space="preserve"> </w:t>
            </w:r>
            <w:proofErr w:type="gramStart"/>
            <w:r w:rsidRPr="001D1292">
              <w:rPr>
                <w:rFonts w:cs="Segoe UI"/>
                <w:i/>
                <w:iCs/>
                <w:sz w:val="20"/>
                <w:szCs w:val="20"/>
                <w:lang w:val="en-US"/>
              </w:rPr>
              <w:t>funded</w:t>
            </w:r>
            <w:proofErr w:type="gramEnd"/>
            <w:r w:rsidRPr="001D1292">
              <w:rPr>
                <w:rFonts w:cs="Segoe UI"/>
                <w:i/>
                <w:iCs/>
                <w:sz w:val="20"/>
                <w:szCs w:val="20"/>
                <w:lang w:val="en-US"/>
              </w:rPr>
              <w:t xml:space="preserve"> </w:t>
            </w:r>
          </w:p>
          <w:p w14:paraId="5B788C21" w14:textId="19C8366E"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it is inappropriate that advisory committees conduct their discussions </w:t>
            </w:r>
            <w:proofErr w:type="gramStart"/>
            <w:r w:rsidRPr="001D1292">
              <w:rPr>
                <w:rFonts w:cs="Segoe UI"/>
                <w:i/>
                <w:iCs/>
                <w:sz w:val="20"/>
                <w:szCs w:val="20"/>
                <w:lang w:val="en-US"/>
              </w:rPr>
              <w:t>confidential</w:t>
            </w:r>
            <w:r w:rsidR="00A33EDB">
              <w:rPr>
                <w:rFonts w:cs="Segoe UI"/>
                <w:i/>
                <w:iCs/>
                <w:sz w:val="20"/>
                <w:szCs w:val="20"/>
                <w:lang w:val="en-US"/>
              </w:rPr>
              <w:t>ly</w:t>
            </w:r>
            <w:proofErr w:type="gramEnd"/>
          </w:p>
          <w:p w14:paraId="5F0CC781" w14:textId="30DCD8D4"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it is inappropriate that</w:t>
            </w:r>
            <w:r w:rsidR="00361579" w:rsidRPr="001D1292">
              <w:rPr>
                <w:rFonts w:cs="Segoe UI"/>
                <w:i/>
                <w:iCs/>
                <w:sz w:val="20"/>
                <w:szCs w:val="20"/>
                <w:lang w:val="en-US"/>
              </w:rPr>
              <w:t xml:space="preserve"> commercially sensitive</w:t>
            </w:r>
            <w:r w:rsidRPr="001D1292">
              <w:rPr>
                <w:rFonts w:cs="Segoe UI"/>
                <w:i/>
                <w:iCs/>
                <w:sz w:val="20"/>
                <w:szCs w:val="20"/>
                <w:lang w:val="en-US"/>
              </w:rPr>
              <w:t xml:space="preserve"> information </w:t>
            </w:r>
            <w:r w:rsidR="00D1471D" w:rsidRPr="001D1292">
              <w:rPr>
                <w:rFonts w:cs="Segoe UI"/>
                <w:i/>
                <w:iCs/>
                <w:sz w:val="20"/>
                <w:szCs w:val="20"/>
                <w:lang w:val="en-US"/>
              </w:rPr>
              <w:t>necessary</w:t>
            </w:r>
            <w:r w:rsidRPr="001D1292">
              <w:rPr>
                <w:rFonts w:cs="Segoe UI"/>
                <w:i/>
                <w:iCs/>
                <w:sz w:val="20"/>
                <w:szCs w:val="20"/>
                <w:lang w:val="en-US"/>
              </w:rPr>
              <w:t xml:space="preserve"> to determin</w:t>
            </w:r>
            <w:r w:rsidR="00264CD6">
              <w:rPr>
                <w:rFonts w:cs="Segoe UI"/>
                <w:i/>
                <w:iCs/>
                <w:sz w:val="20"/>
                <w:szCs w:val="20"/>
                <w:lang w:val="en-US"/>
              </w:rPr>
              <w:t>e</w:t>
            </w:r>
            <w:r w:rsidRPr="001D1292">
              <w:rPr>
                <w:rFonts w:cs="Segoe UI"/>
                <w:i/>
                <w:iCs/>
                <w:sz w:val="20"/>
                <w:szCs w:val="20"/>
                <w:lang w:val="en-US"/>
              </w:rPr>
              <w:t xml:space="preserve"> value for money and total cost is redacted from public summary </w:t>
            </w:r>
            <w:proofErr w:type="gramStart"/>
            <w:r w:rsidRPr="001D1292">
              <w:rPr>
                <w:rFonts w:cs="Segoe UI"/>
                <w:i/>
                <w:iCs/>
                <w:sz w:val="20"/>
                <w:szCs w:val="20"/>
                <w:lang w:val="en-US"/>
              </w:rPr>
              <w:t>documents</w:t>
            </w:r>
            <w:proofErr w:type="gramEnd"/>
          </w:p>
          <w:p w14:paraId="3CBFF485" w14:textId="2376FFB4"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it is inappropriate that patients and patient representatives are not included in decision </w:t>
            </w:r>
            <w:proofErr w:type="gramStart"/>
            <w:r w:rsidRPr="001D1292">
              <w:rPr>
                <w:rFonts w:cs="Segoe UI"/>
                <w:i/>
                <w:iCs/>
                <w:sz w:val="20"/>
                <w:szCs w:val="20"/>
                <w:lang w:val="en-US"/>
              </w:rPr>
              <w:t>making</w:t>
            </w:r>
            <w:proofErr w:type="gramEnd"/>
          </w:p>
          <w:p w14:paraId="63E39E0C" w14:textId="77777777"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there are not clear timeframes on the public release of </w:t>
            </w:r>
            <w:proofErr w:type="gramStart"/>
            <w:r w:rsidRPr="001D1292">
              <w:rPr>
                <w:rFonts w:cs="Segoe UI"/>
                <w:i/>
                <w:iCs/>
                <w:sz w:val="20"/>
                <w:szCs w:val="20"/>
                <w:lang w:val="en-US"/>
              </w:rPr>
              <w:t>recommendations</w:t>
            </w:r>
            <w:proofErr w:type="gramEnd"/>
          </w:p>
          <w:p w14:paraId="476208E7" w14:textId="2DD74B70" w:rsidR="00BF70A5"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it</w:t>
            </w:r>
            <w:r w:rsidR="0044047C">
              <w:rPr>
                <w:rFonts w:cs="Segoe UI"/>
                <w:i/>
                <w:iCs/>
                <w:sz w:val="20"/>
                <w:szCs w:val="20"/>
                <w:lang w:val="en-US"/>
              </w:rPr>
              <w:t xml:space="preserve"> is</w:t>
            </w:r>
            <w:r w:rsidR="004321EE">
              <w:rPr>
                <w:rFonts w:cs="Segoe UI"/>
                <w:i/>
                <w:iCs/>
                <w:sz w:val="20"/>
                <w:szCs w:val="20"/>
                <w:lang w:val="en-US"/>
              </w:rPr>
              <w:t xml:space="preserve"> in</w:t>
            </w:r>
            <w:r w:rsidRPr="001D1292">
              <w:rPr>
                <w:rFonts w:cs="Segoe UI"/>
                <w:i/>
                <w:iCs/>
                <w:sz w:val="20"/>
                <w:szCs w:val="20"/>
                <w:lang w:val="en-US"/>
              </w:rPr>
              <w:t xml:space="preserve">appropriate that consumers do not have a seat at the table or visibility of negotiations between the sponsor and the </w:t>
            </w:r>
            <w:r w:rsidR="004550FB">
              <w:rPr>
                <w:rFonts w:cs="Segoe UI"/>
                <w:i/>
                <w:iCs/>
                <w:sz w:val="20"/>
                <w:szCs w:val="20"/>
                <w:lang w:val="en-US"/>
              </w:rPr>
              <w:t>D</w:t>
            </w:r>
            <w:r w:rsidRPr="001D1292">
              <w:rPr>
                <w:rFonts w:cs="Segoe UI"/>
                <w:i/>
                <w:iCs/>
                <w:sz w:val="20"/>
                <w:szCs w:val="20"/>
                <w:lang w:val="en-US"/>
              </w:rPr>
              <w:t xml:space="preserve">epartment </w:t>
            </w:r>
            <w:r w:rsidR="00EF42E8">
              <w:rPr>
                <w:rFonts w:cs="Segoe UI"/>
                <w:i/>
                <w:iCs/>
                <w:sz w:val="20"/>
                <w:szCs w:val="20"/>
                <w:lang w:val="en-US"/>
              </w:rPr>
              <w:t xml:space="preserve">that </w:t>
            </w:r>
            <w:r w:rsidRPr="001D1292">
              <w:rPr>
                <w:rFonts w:cs="Segoe UI"/>
                <w:i/>
                <w:iCs/>
                <w:sz w:val="20"/>
                <w:szCs w:val="20"/>
                <w:lang w:val="en-US"/>
              </w:rPr>
              <w:t xml:space="preserve">determine whether and when a medicine will be reimbursed </w:t>
            </w:r>
          </w:p>
        </w:tc>
      </w:tr>
      <w:tr w:rsidR="00840E6D" w14:paraId="12C34583" w14:textId="77777777" w:rsidTr="018653D1">
        <w:trPr>
          <w:trHeight w:val="996"/>
        </w:trPr>
        <w:tc>
          <w:tcPr>
            <w:tcW w:w="1560"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3A7D36C" w14:textId="54D7387C" w:rsidR="00840E6D" w:rsidRPr="001C1C49" w:rsidRDefault="00840E6D" w:rsidP="008C10BB">
            <w:pPr>
              <w:spacing w:after="120"/>
              <w:rPr>
                <w:rFonts w:eastAsia="Times New Roman" w:cs="Segoe UI"/>
                <w:b/>
                <w:bCs/>
                <w:kern w:val="24"/>
                <w:sz w:val="20"/>
                <w:szCs w:val="20"/>
                <w:lang w:eastAsia="en-AU"/>
              </w:rPr>
            </w:pPr>
            <w:r w:rsidRPr="001C1C49">
              <w:rPr>
                <w:rFonts w:eastAsia="Times New Roman" w:cs="Segoe UI"/>
                <w:b/>
                <w:bCs/>
                <w:kern w:val="24"/>
                <w:sz w:val="20"/>
                <w:szCs w:val="20"/>
                <w:lang w:eastAsia="en-AU"/>
              </w:rPr>
              <w:t>All</w:t>
            </w:r>
          </w:p>
        </w:tc>
        <w:tc>
          <w:tcPr>
            <w:tcW w:w="7456" w:type="dxa"/>
            <w:tcBorders>
              <w:top w:val="single" w:sz="4" w:space="0" w:color="E7E6E6" w:themeColor="background2"/>
              <w:bottom w:val="single" w:sz="4" w:space="0" w:color="E7E6E6" w:themeColor="background2"/>
            </w:tcBorders>
            <w:shd w:val="clear" w:color="auto" w:fill="FFFFFF" w:themeFill="background1"/>
            <w:tcMar>
              <w:top w:w="72" w:type="dxa"/>
              <w:left w:w="144" w:type="dxa"/>
              <w:bottom w:w="72" w:type="dxa"/>
              <w:right w:w="144" w:type="dxa"/>
            </w:tcMar>
          </w:tcPr>
          <w:p w14:paraId="2C7A03CE" w14:textId="77777777"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communications do not adequately accommodate different levels of health </w:t>
            </w:r>
            <w:proofErr w:type="gramStart"/>
            <w:r w:rsidRPr="001D1292">
              <w:rPr>
                <w:rFonts w:cs="Segoe UI"/>
                <w:i/>
                <w:iCs/>
                <w:sz w:val="20"/>
                <w:szCs w:val="20"/>
                <w:lang w:val="en-US"/>
              </w:rPr>
              <w:t>literacy</w:t>
            </w:r>
            <w:proofErr w:type="gramEnd"/>
          </w:p>
          <w:p w14:paraId="1EA2817D" w14:textId="6956E921" w:rsidR="00840E6D" w:rsidRPr="001D1292"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there is inadequate resourcing for consumer tailored and targeted communications and </w:t>
            </w:r>
            <w:proofErr w:type="gramStart"/>
            <w:r w:rsidRPr="001D1292">
              <w:rPr>
                <w:rFonts w:cs="Segoe UI"/>
                <w:i/>
                <w:iCs/>
                <w:sz w:val="20"/>
                <w:szCs w:val="20"/>
                <w:lang w:val="en-US"/>
              </w:rPr>
              <w:t>consultations</w:t>
            </w:r>
            <w:proofErr w:type="gramEnd"/>
          </w:p>
          <w:p w14:paraId="26491706" w14:textId="77777777" w:rsidR="00840E6D" w:rsidRDefault="00840E6D" w:rsidP="008C10BB">
            <w:pPr>
              <w:pStyle w:val="ListParagraph"/>
              <w:numPr>
                <w:ilvl w:val="0"/>
                <w:numId w:val="6"/>
              </w:numPr>
              <w:spacing w:after="120"/>
              <w:rPr>
                <w:rFonts w:cs="Segoe UI"/>
                <w:i/>
                <w:iCs/>
                <w:sz w:val="20"/>
                <w:szCs w:val="20"/>
                <w:lang w:val="en-US"/>
              </w:rPr>
            </w:pPr>
            <w:r w:rsidRPr="001D1292">
              <w:rPr>
                <w:rFonts w:cs="Segoe UI"/>
                <w:i/>
                <w:iCs/>
                <w:sz w:val="20"/>
                <w:szCs w:val="20"/>
                <w:lang w:val="en-US"/>
              </w:rPr>
              <w:t xml:space="preserve">key information is buried in </w:t>
            </w:r>
            <w:proofErr w:type="gramStart"/>
            <w:r w:rsidRPr="001D1292">
              <w:rPr>
                <w:rFonts w:cs="Segoe UI"/>
                <w:i/>
                <w:iCs/>
                <w:sz w:val="20"/>
                <w:szCs w:val="20"/>
                <w:lang w:val="en-US"/>
              </w:rPr>
              <w:t>websites</w:t>
            </w:r>
            <w:proofErr w:type="gramEnd"/>
          </w:p>
          <w:p w14:paraId="78669732" w14:textId="70A72728" w:rsidR="00EC00ED" w:rsidRPr="001D1292" w:rsidRDefault="00EC00ED" w:rsidP="008C10BB">
            <w:pPr>
              <w:pStyle w:val="ListParagraph"/>
              <w:numPr>
                <w:ilvl w:val="0"/>
                <w:numId w:val="6"/>
              </w:numPr>
              <w:spacing w:after="120"/>
              <w:rPr>
                <w:rFonts w:cs="Segoe UI"/>
                <w:i/>
                <w:iCs/>
                <w:sz w:val="20"/>
                <w:szCs w:val="20"/>
                <w:lang w:val="en-US"/>
              </w:rPr>
            </w:pPr>
            <w:r>
              <w:rPr>
                <w:rFonts w:cs="Segoe UI"/>
                <w:i/>
                <w:iCs/>
                <w:sz w:val="20"/>
                <w:szCs w:val="20"/>
                <w:lang w:val="en-US"/>
              </w:rPr>
              <w:lastRenderedPageBreak/>
              <w:t>difficult to understand performance of the HTA system to inform decision making</w:t>
            </w:r>
          </w:p>
        </w:tc>
      </w:tr>
    </w:tbl>
    <w:p w14:paraId="5790E128" w14:textId="4C5829D5" w:rsidR="00DA32FB" w:rsidRPr="00716648" w:rsidRDefault="00716648" w:rsidP="007439EF">
      <w:pPr>
        <w:pStyle w:val="Heading3"/>
        <w:spacing w:before="240"/>
        <w:rPr>
          <w:lang w:val="en-US"/>
        </w:rPr>
      </w:pPr>
      <w:bookmarkStart w:id="101" w:name="_Toc157029054"/>
      <w:r>
        <w:rPr>
          <w:lang w:val="en-US"/>
        </w:rPr>
        <w:lastRenderedPageBreak/>
        <w:t>Issues</w:t>
      </w:r>
      <w:bookmarkEnd w:id="101"/>
    </w:p>
    <w:p w14:paraId="6D041035" w14:textId="50123ABF" w:rsidR="00A60DD7" w:rsidRDefault="006E4F82" w:rsidP="008C10BB">
      <w:pPr>
        <w:spacing w:after="120"/>
        <w:rPr>
          <w:rFonts w:cs="Segoe UI"/>
          <w:lang w:val="en-US"/>
        </w:rPr>
      </w:pPr>
      <w:r>
        <w:rPr>
          <w:rFonts w:cs="Segoe UI"/>
          <w:lang w:val="en-US"/>
        </w:rPr>
        <w:t>The Reference Committee has</w:t>
      </w:r>
      <w:r w:rsidR="00D808D3">
        <w:rPr>
          <w:rFonts w:cs="Segoe UI"/>
          <w:lang w:val="en-US"/>
        </w:rPr>
        <w:t xml:space="preserve"> observed</w:t>
      </w:r>
      <w:r w:rsidR="00754A5C">
        <w:rPr>
          <w:rFonts w:cs="Segoe UI"/>
          <w:lang w:val="en-US"/>
        </w:rPr>
        <w:t xml:space="preserve"> </w:t>
      </w:r>
      <w:r w:rsidR="00386C12">
        <w:rPr>
          <w:rFonts w:cs="Segoe UI"/>
          <w:lang w:val="en-US"/>
        </w:rPr>
        <w:t xml:space="preserve">3 </w:t>
      </w:r>
      <w:r w:rsidR="004214B7">
        <w:rPr>
          <w:rFonts w:cs="Segoe UI"/>
          <w:lang w:val="en-US"/>
        </w:rPr>
        <w:t xml:space="preserve">main </w:t>
      </w:r>
      <w:r w:rsidR="00CB2D7F">
        <w:rPr>
          <w:rFonts w:cs="Segoe UI"/>
          <w:lang w:val="en-US"/>
        </w:rPr>
        <w:t>contributors to</w:t>
      </w:r>
      <w:r w:rsidR="004214B7">
        <w:rPr>
          <w:rFonts w:cs="Segoe UI"/>
          <w:lang w:val="en-US"/>
        </w:rPr>
        <w:t xml:space="preserve"> </w:t>
      </w:r>
      <w:r w:rsidR="00754A5C">
        <w:rPr>
          <w:rFonts w:cs="Segoe UI"/>
          <w:lang w:val="en-US"/>
        </w:rPr>
        <w:t>the negative perception of the transparency</w:t>
      </w:r>
      <w:r w:rsidR="002A0D74">
        <w:rPr>
          <w:rFonts w:cs="Segoe UI"/>
          <w:lang w:val="en-US"/>
        </w:rPr>
        <w:fldChar w:fldCharType="begin"/>
      </w:r>
      <w:r w:rsidR="002A0D74">
        <w:instrText xml:space="preserve"> XE "</w:instrText>
      </w:r>
      <w:r w:rsidR="002A0D74" w:rsidRPr="005B2802">
        <w:instrText>transparency</w:instrText>
      </w:r>
      <w:r w:rsidR="002A0D74">
        <w:instrText xml:space="preserve">" </w:instrText>
      </w:r>
      <w:r w:rsidR="002A0D74">
        <w:rPr>
          <w:rFonts w:cs="Segoe UI"/>
          <w:lang w:val="en-US"/>
        </w:rPr>
        <w:fldChar w:fldCharType="end"/>
      </w:r>
      <w:r w:rsidR="00754A5C">
        <w:rPr>
          <w:rFonts w:cs="Segoe UI"/>
          <w:lang w:val="en-US"/>
        </w:rPr>
        <w:t xml:space="preserve"> </w:t>
      </w:r>
      <w:r w:rsidR="00CB2D7F">
        <w:rPr>
          <w:rFonts w:cs="Segoe UI"/>
          <w:lang w:val="en-US"/>
        </w:rPr>
        <w:t>and communication</w:t>
      </w:r>
      <w:r w:rsidR="00570001">
        <w:rPr>
          <w:rFonts w:cs="Segoe UI"/>
          <w:lang w:val="en-US"/>
        </w:rPr>
        <w:fldChar w:fldCharType="begin"/>
      </w:r>
      <w:r w:rsidR="00570001">
        <w:instrText xml:space="preserve"> XE "</w:instrText>
      </w:r>
      <w:r w:rsidR="00570001" w:rsidRPr="00E61E42">
        <w:instrText>communication</w:instrText>
      </w:r>
      <w:r w:rsidR="00570001">
        <w:instrText xml:space="preserve">" \b </w:instrText>
      </w:r>
      <w:r w:rsidR="00570001">
        <w:rPr>
          <w:rFonts w:cs="Segoe UI"/>
          <w:lang w:val="en-US"/>
        </w:rPr>
        <w:fldChar w:fldCharType="end"/>
      </w:r>
      <w:r w:rsidR="00CB2D7F">
        <w:rPr>
          <w:rFonts w:cs="Segoe UI"/>
          <w:lang w:val="en-US"/>
        </w:rPr>
        <w:t xml:space="preserve"> </w:t>
      </w:r>
      <w:r w:rsidR="00754A5C">
        <w:rPr>
          <w:rFonts w:cs="Segoe UI"/>
          <w:lang w:val="en-US"/>
        </w:rPr>
        <w:t>of HTA pathways, processes</w:t>
      </w:r>
      <w:r w:rsidR="00355CC9">
        <w:rPr>
          <w:rFonts w:cs="Segoe UI"/>
          <w:lang w:val="en-US"/>
        </w:rPr>
        <w:t>,</w:t>
      </w:r>
      <w:r w:rsidR="00CB2D7F">
        <w:rPr>
          <w:rFonts w:cs="Segoe UI"/>
          <w:lang w:val="en-US"/>
        </w:rPr>
        <w:t xml:space="preserve"> and decisions</w:t>
      </w:r>
      <w:r w:rsidR="004214B7">
        <w:rPr>
          <w:rFonts w:cs="Segoe UI"/>
          <w:lang w:val="en-US"/>
        </w:rPr>
        <w:t>.</w:t>
      </w:r>
      <w:r w:rsidR="00955FFC">
        <w:rPr>
          <w:rFonts w:cs="Segoe UI"/>
          <w:lang w:val="en-US"/>
        </w:rPr>
        <w:t xml:space="preserve"> </w:t>
      </w:r>
    </w:p>
    <w:p w14:paraId="5CD58E57" w14:textId="5B2A1856" w:rsidR="00955FFC" w:rsidRDefault="00955FFC" w:rsidP="008C10BB">
      <w:pPr>
        <w:spacing w:after="120"/>
        <w:rPr>
          <w:rFonts w:cs="Segoe UI"/>
          <w:lang w:val="en-US"/>
        </w:rPr>
      </w:pPr>
      <w:r>
        <w:rPr>
          <w:rFonts w:cs="Segoe UI"/>
          <w:lang w:val="en-US"/>
        </w:rPr>
        <w:t xml:space="preserve">Firstly, </w:t>
      </w:r>
      <w:r w:rsidR="005A3A1A">
        <w:rPr>
          <w:rFonts w:cs="Segoe UI"/>
          <w:lang w:val="en-US"/>
        </w:rPr>
        <w:t>the information published about</w:t>
      </w:r>
      <w:r w:rsidR="00DC7B8E">
        <w:rPr>
          <w:rFonts w:cs="Segoe UI"/>
          <w:lang w:val="en-US"/>
        </w:rPr>
        <w:t xml:space="preserve"> HTA</w:t>
      </w:r>
      <w:r w:rsidR="005A3A1A">
        <w:rPr>
          <w:rFonts w:cs="Segoe UI"/>
          <w:lang w:val="en-US"/>
        </w:rPr>
        <w:t xml:space="preserve"> pathways, processes and decisions is extensive</w:t>
      </w:r>
      <w:r w:rsidR="00DC7B8E">
        <w:rPr>
          <w:rFonts w:cs="Segoe UI"/>
          <w:lang w:val="en-US"/>
        </w:rPr>
        <w:t xml:space="preserve">, spread over multiple locations, </w:t>
      </w:r>
      <w:r w:rsidR="00E868D1">
        <w:rPr>
          <w:rFonts w:cs="Segoe UI"/>
          <w:lang w:val="en-US"/>
        </w:rPr>
        <w:t>and pre</w:t>
      </w:r>
      <w:r w:rsidR="0057277C">
        <w:rPr>
          <w:rFonts w:cs="Segoe UI"/>
          <w:lang w:val="en-US"/>
        </w:rPr>
        <w:t>sented differently in different locations</w:t>
      </w:r>
      <w:r w:rsidR="00795E1E">
        <w:rPr>
          <w:rFonts w:cs="Segoe UI"/>
          <w:lang w:val="en-US"/>
        </w:rPr>
        <w:t xml:space="preserve"> for different</w:t>
      </w:r>
      <w:r w:rsidR="00E868D1">
        <w:rPr>
          <w:rFonts w:cs="Segoe UI"/>
          <w:lang w:val="en-US"/>
        </w:rPr>
        <w:t xml:space="preserve"> audiences and purposes. </w:t>
      </w:r>
      <w:r w:rsidR="00941437">
        <w:rPr>
          <w:rFonts w:cs="Segoe UI"/>
          <w:lang w:val="en-US"/>
        </w:rPr>
        <w:t>Stakeholder</w:t>
      </w:r>
      <w:r w:rsidR="00D073A0">
        <w:rPr>
          <w:rFonts w:cs="Segoe UI"/>
          <w:lang w:val="en-US"/>
        </w:rPr>
        <w:t>s</w:t>
      </w:r>
      <w:r w:rsidR="00941437">
        <w:rPr>
          <w:rFonts w:cs="Segoe UI"/>
          <w:lang w:val="en-US"/>
        </w:rPr>
        <w:t xml:space="preserve"> often can</w:t>
      </w:r>
      <w:r w:rsidR="007D027F">
        <w:rPr>
          <w:rFonts w:cs="Segoe UI"/>
          <w:lang w:val="en-US"/>
        </w:rPr>
        <w:t>not</w:t>
      </w:r>
      <w:r w:rsidR="00941437">
        <w:rPr>
          <w:rFonts w:cs="Segoe UI"/>
          <w:lang w:val="en-US"/>
        </w:rPr>
        <w:t xml:space="preserve"> find the information they </w:t>
      </w:r>
      <w:r w:rsidR="00D073A0">
        <w:rPr>
          <w:rFonts w:cs="Segoe UI"/>
          <w:lang w:val="en-US"/>
        </w:rPr>
        <w:t>are looking for</w:t>
      </w:r>
      <w:r w:rsidR="00941437">
        <w:rPr>
          <w:rFonts w:cs="Segoe UI"/>
          <w:lang w:val="en-US"/>
        </w:rPr>
        <w:t xml:space="preserve"> because it is </w:t>
      </w:r>
      <w:r w:rsidR="00F21F15">
        <w:rPr>
          <w:rFonts w:cs="Segoe UI"/>
          <w:lang w:val="en-US"/>
        </w:rPr>
        <w:t>difficult to find or</w:t>
      </w:r>
      <w:r w:rsidR="00A0647A">
        <w:rPr>
          <w:rFonts w:cs="Segoe UI"/>
          <w:lang w:val="en-US"/>
        </w:rPr>
        <w:t xml:space="preserve"> because</w:t>
      </w:r>
      <w:r w:rsidR="00F21F15">
        <w:rPr>
          <w:rFonts w:cs="Segoe UI"/>
          <w:lang w:val="en-US"/>
        </w:rPr>
        <w:t xml:space="preserve"> </w:t>
      </w:r>
      <w:r w:rsidR="00E1776A">
        <w:rPr>
          <w:rFonts w:cs="Segoe UI"/>
          <w:lang w:val="en-US"/>
        </w:rPr>
        <w:t xml:space="preserve">it is </w:t>
      </w:r>
      <w:r w:rsidR="00F21F15">
        <w:rPr>
          <w:rFonts w:cs="Segoe UI"/>
          <w:lang w:val="en-US"/>
        </w:rPr>
        <w:t>presented in language</w:t>
      </w:r>
      <w:r w:rsidR="00E1776A">
        <w:rPr>
          <w:rFonts w:cs="Segoe UI"/>
          <w:lang w:val="en-US"/>
        </w:rPr>
        <w:t>, or deals with concepts,</w:t>
      </w:r>
      <w:r w:rsidR="00F21F15">
        <w:rPr>
          <w:rFonts w:cs="Segoe UI"/>
          <w:lang w:val="en-US"/>
        </w:rPr>
        <w:t xml:space="preserve"> </w:t>
      </w:r>
      <w:r w:rsidR="00553C5B">
        <w:rPr>
          <w:rFonts w:cs="Segoe UI"/>
          <w:lang w:val="en-US"/>
        </w:rPr>
        <w:t>which</w:t>
      </w:r>
      <w:r w:rsidR="00F21F15">
        <w:rPr>
          <w:rFonts w:cs="Segoe UI"/>
          <w:lang w:val="en-US"/>
        </w:rPr>
        <w:t xml:space="preserve"> </w:t>
      </w:r>
      <w:r w:rsidR="00E1776A">
        <w:rPr>
          <w:rFonts w:cs="Segoe UI"/>
          <w:lang w:val="en-US"/>
        </w:rPr>
        <w:t>are</w:t>
      </w:r>
      <w:r w:rsidR="00F21F15">
        <w:rPr>
          <w:rFonts w:cs="Segoe UI"/>
          <w:lang w:val="en-US"/>
        </w:rPr>
        <w:t xml:space="preserve"> difficult to understand. </w:t>
      </w:r>
    </w:p>
    <w:p w14:paraId="3EAC0E96" w14:textId="4B475523" w:rsidR="00E868D1" w:rsidRDefault="00E868D1" w:rsidP="008C10BB">
      <w:pPr>
        <w:spacing w:after="120"/>
        <w:rPr>
          <w:rFonts w:cs="Segoe UI"/>
          <w:lang w:val="en-US"/>
        </w:rPr>
      </w:pPr>
      <w:r>
        <w:rPr>
          <w:rFonts w:cs="Segoe UI"/>
          <w:lang w:val="en-US"/>
        </w:rPr>
        <w:t xml:space="preserve">Secondly, </w:t>
      </w:r>
      <w:r w:rsidR="00726D4D">
        <w:rPr>
          <w:rFonts w:cs="Segoe UI"/>
          <w:lang w:val="en-US"/>
        </w:rPr>
        <w:t>the</w:t>
      </w:r>
      <w:r w:rsidR="00543CC4">
        <w:rPr>
          <w:rFonts w:cs="Segoe UI"/>
          <w:lang w:val="en-US"/>
        </w:rPr>
        <w:t>re are</w:t>
      </w:r>
      <w:r w:rsidR="00BD4671">
        <w:rPr>
          <w:rFonts w:cs="Segoe UI"/>
          <w:lang w:val="en-US"/>
        </w:rPr>
        <w:t xml:space="preserve"> specific</w:t>
      </w:r>
      <w:r w:rsidR="00543CC4">
        <w:rPr>
          <w:rFonts w:cs="Segoe UI"/>
          <w:lang w:val="en-US"/>
        </w:rPr>
        <w:t xml:space="preserve"> areas where stakeholders would like more or clearer information than is currently published. </w:t>
      </w:r>
      <w:r w:rsidR="00BD4671">
        <w:rPr>
          <w:rFonts w:cs="Segoe UI"/>
          <w:lang w:val="en-US"/>
        </w:rPr>
        <w:t>In particular</w:t>
      </w:r>
      <w:r w:rsidR="00647578">
        <w:rPr>
          <w:rFonts w:cs="Segoe UI"/>
          <w:lang w:val="en-US"/>
        </w:rPr>
        <w:t xml:space="preserve">: </w:t>
      </w:r>
    </w:p>
    <w:p w14:paraId="5B16EA38" w14:textId="0A9A0AA4" w:rsidR="005B290B" w:rsidRDefault="002827E5" w:rsidP="008C10BB">
      <w:pPr>
        <w:pStyle w:val="ListParagraph"/>
        <w:numPr>
          <w:ilvl w:val="0"/>
          <w:numId w:val="2"/>
        </w:numPr>
        <w:spacing w:after="120"/>
        <w:rPr>
          <w:rFonts w:cs="Segoe UI"/>
          <w:lang w:val="en-US"/>
        </w:rPr>
      </w:pPr>
      <w:r>
        <w:rPr>
          <w:rFonts w:cs="Segoe UI"/>
          <w:lang w:val="en-US"/>
        </w:rPr>
        <w:t>T</w:t>
      </w:r>
      <w:r w:rsidR="004B71E8">
        <w:rPr>
          <w:rFonts w:cs="Segoe UI"/>
          <w:lang w:val="en-US"/>
        </w:rPr>
        <w:t xml:space="preserve">here are no plain language summaries of PBAC submissions or outcomes as </w:t>
      </w:r>
      <w:r w:rsidR="00A042BD">
        <w:rPr>
          <w:rFonts w:cs="Segoe UI"/>
          <w:lang w:val="en-US"/>
        </w:rPr>
        <w:t>there are</w:t>
      </w:r>
      <w:r w:rsidR="004B71E8">
        <w:rPr>
          <w:rFonts w:cs="Segoe UI"/>
          <w:lang w:val="en-US"/>
        </w:rPr>
        <w:t xml:space="preserve"> for MSAC submissions.</w:t>
      </w:r>
    </w:p>
    <w:p w14:paraId="7B7C1729" w14:textId="039FA271" w:rsidR="00CA7AE2" w:rsidRDefault="003A29EB" w:rsidP="008C10BB">
      <w:pPr>
        <w:pStyle w:val="ListParagraph"/>
        <w:numPr>
          <w:ilvl w:val="0"/>
          <w:numId w:val="2"/>
        </w:numPr>
        <w:spacing w:after="120"/>
        <w:rPr>
          <w:rFonts w:cs="Segoe UI"/>
          <w:lang w:val="en-US"/>
        </w:rPr>
      </w:pPr>
      <w:r>
        <w:rPr>
          <w:rFonts w:cs="Segoe UI"/>
          <w:lang w:val="en-US"/>
        </w:rPr>
        <w:t>I</w:t>
      </w:r>
      <w:r w:rsidR="00CA7AE2">
        <w:rPr>
          <w:rFonts w:cs="Segoe UI"/>
          <w:lang w:val="en-US"/>
        </w:rPr>
        <w:t xml:space="preserve">t is not explicit in </w:t>
      </w:r>
      <w:r w:rsidR="00594EC8">
        <w:rPr>
          <w:rFonts w:cs="Segoe UI"/>
          <w:lang w:val="en-US"/>
        </w:rPr>
        <w:t xml:space="preserve">advisory committee guidelines and public summaries how </w:t>
      </w:r>
      <w:r w:rsidR="007C7EC2">
        <w:rPr>
          <w:rFonts w:cs="Segoe UI"/>
          <w:lang w:val="en-US"/>
        </w:rPr>
        <w:t>evidence that does not form part of the clinical or economic evaluation is factored into decision</w:t>
      </w:r>
      <w:r w:rsidR="00F64171">
        <w:rPr>
          <w:rFonts w:cs="Segoe UI"/>
          <w:lang w:val="en-US"/>
        </w:rPr>
        <w:t>-</w:t>
      </w:r>
      <w:r w:rsidR="007C7EC2">
        <w:rPr>
          <w:rFonts w:cs="Segoe UI"/>
          <w:lang w:val="en-US"/>
        </w:rPr>
        <w:t>making</w:t>
      </w:r>
      <w:r w:rsidR="00F64171">
        <w:rPr>
          <w:rFonts w:cs="Segoe UI"/>
          <w:lang w:val="en-US"/>
        </w:rPr>
        <w:t>.</w:t>
      </w:r>
    </w:p>
    <w:p w14:paraId="74BED46C" w14:textId="6B70FDC2" w:rsidR="007C7EC2" w:rsidRDefault="00F64171" w:rsidP="008C10BB">
      <w:pPr>
        <w:pStyle w:val="ListParagraph"/>
        <w:numPr>
          <w:ilvl w:val="0"/>
          <w:numId w:val="2"/>
        </w:numPr>
        <w:spacing w:after="120"/>
        <w:rPr>
          <w:rFonts w:cs="Segoe UI"/>
          <w:lang w:val="en-US"/>
        </w:rPr>
      </w:pPr>
      <w:r>
        <w:rPr>
          <w:rFonts w:cs="Segoe UI"/>
          <w:lang w:val="en-US"/>
        </w:rPr>
        <w:t>T</w:t>
      </w:r>
      <w:r w:rsidR="00126C9F">
        <w:rPr>
          <w:rFonts w:cs="Segoe UI"/>
          <w:lang w:val="en-US"/>
        </w:rPr>
        <w:t xml:space="preserve">here is limited description of </w:t>
      </w:r>
      <w:r w:rsidR="00A03021">
        <w:rPr>
          <w:rFonts w:cs="Segoe UI"/>
          <w:lang w:val="en-US"/>
        </w:rPr>
        <w:t xml:space="preserve">what influence patient and consumer information submitted as part of the consideration </w:t>
      </w:r>
      <w:r w:rsidR="00873B7B">
        <w:rPr>
          <w:rFonts w:cs="Segoe UI"/>
          <w:lang w:val="en-US"/>
        </w:rPr>
        <w:t>of health technologies has on decision</w:t>
      </w:r>
      <w:r w:rsidR="006945FB">
        <w:rPr>
          <w:rFonts w:cs="Segoe UI"/>
          <w:lang w:val="en-US"/>
        </w:rPr>
        <w:t>-</w:t>
      </w:r>
      <w:r w:rsidR="00873B7B">
        <w:rPr>
          <w:rFonts w:cs="Segoe UI"/>
          <w:lang w:val="en-US"/>
        </w:rPr>
        <w:t xml:space="preserve">making or what information is most useful to </w:t>
      </w:r>
      <w:r w:rsidR="00E6788E">
        <w:rPr>
          <w:rFonts w:cs="Segoe UI"/>
          <w:lang w:val="en-US"/>
        </w:rPr>
        <w:t>advisory committees</w:t>
      </w:r>
      <w:r w:rsidR="00F73784">
        <w:rPr>
          <w:rFonts w:cs="Segoe UI"/>
          <w:lang w:val="en-US"/>
        </w:rPr>
        <w:t>.</w:t>
      </w:r>
    </w:p>
    <w:p w14:paraId="60E33498" w14:textId="68C3DC22" w:rsidR="00EC2B39" w:rsidRPr="009E1DE2" w:rsidRDefault="00F73784" w:rsidP="008C10BB">
      <w:pPr>
        <w:pStyle w:val="ListParagraph"/>
        <w:numPr>
          <w:ilvl w:val="0"/>
          <w:numId w:val="2"/>
        </w:numPr>
        <w:spacing w:after="120"/>
        <w:rPr>
          <w:rFonts w:cs="Segoe UI"/>
          <w:lang w:val="en-US"/>
        </w:rPr>
      </w:pPr>
      <w:r>
        <w:rPr>
          <w:rFonts w:cs="Segoe UI"/>
          <w:lang w:val="en-US"/>
        </w:rPr>
        <w:t>S</w:t>
      </w:r>
      <w:r w:rsidR="004C4E66">
        <w:rPr>
          <w:rFonts w:cs="Segoe UI"/>
          <w:lang w:val="en-US"/>
        </w:rPr>
        <w:t xml:space="preserve">takeholders are not satisfied with existing plain language explanations of HTA pathways and </w:t>
      </w:r>
      <w:r w:rsidR="00091741">
        <w:rPr>
          <w:rFonts w:cs="Segoe UI"/>
          <w:lang w:val="en-US"/>
        </w:rPr>
        <w:t>guidelines.</w:t>
      </w:r>
    </w:p>
    <w:p w14:paraId="710145A5" w14:textId="2B59C7E4" w:rsidR="00091741" w:rsidRDefault="00F73784" w:rsidP="008C10BB">
      <w:pPr>
        <w:pStyle w:val="ListParagraph"/>
        <w:numPr>
          <w:ilvl w:val="0"/>
          <w:numId w:val="2"/>
        </w:numPr>
        <w:spacing w:after="120"/>
        <w:rPr>
          <w:rFonts w:cs="Segoe UI"/>
          <w:lang w:val="en-US"/>
        </w:rPr>
      </w:pPr>
      <w:r>
        <w:rPr>
          <w:rFonts w:cs="Segoe UI"/>
          <w:lang w:val="en-US"/>
        </w:rPr>
        <w:t>T</w:t>
      </w:r>
      <w:r w:rsidR="00091741">
        <w:rPr>
          <w:rFonts w:cs="Segoe UI"/>
          <w:lang w:val="en-US"/>
        </w:rPr>
        <w:t xml:space="preserve">here are no timeframes for implementation of </w:t>
      </w:r>
      <w:r w:rsidR="00EC2B39">
        <w:rPr>
          <w:rFonts w:cs="Segoe UI"/>
          <w:lang w:val="en-US"/>
        </w:rPr>
        <w:t>health technologies that are jointly funded by Commonwealth</w:t>
      </w:r>
      <w:r w:rsidR="00D57834">
        <w:rPr>
          <w:rFonts w:cs="Segoe UI"/>
          <w:lang w:val="en-US"/>
        </w:rPr>
        <w:t xml:space="preserve">, </w:t>
      </w:r>
      <w:r w:rsidR="00EC2B39">
        <w:rPr>
          <w:rFonts w:cs="Segoe UI"/>
          <w:lang w:val="en-US"/>
        </w:rPr>
        <w:t>state</w:t>
      </w:r>
      <w:r w:rsidR="00355CC9">
        <w:rPr>
          <w:rFonts w:cs="Segoe UI"/>
          <w:lang w:val="en-US"/>
        </w:rPr>
        <w:t>,</w:t>
      </w:r>
      <w:r w:rsidR="00EC2B39">
        <w:rPr>
          <w:rFonts w:cs="Segoe UI"/>
          <w:lang w:val="en-US"/>
        </w:rPr>
        <w:t xml:space="preserve"> and territory governments</w:t>
      </w:r>
      <w:r w:rsidR="00FC6010">
        <w:rPr>
          <w:rFonts w:cs="Segoe UI"/>
          <w:lang w:val="en-US"/>
        </w:rPr>
        <w:fldChar w:fldCharType="begin"/>
      </w:r>
      <w:r w:rsidR="00FC6010">
        <w:instrText xml:space="preserve"> XE "</w:instrText>
      </w:r>
      <w:r w:rsidR="00FC6010" w:rsidRPr="0337427D">
        <w:rPr>
          <w:rFonts w:eastAsia="Times New Roman" w:cs="Segoe UI"/>
          <w:color w:val="222A35"/>
          <w:sz w:val="20"/>
          <w:szCs w:val="20"/>
          <w:lang w:eastAsia="en-AU"/>
        </w:rPr>
        <w:instrText>state and territory governments</w:instrText>
      </w:r>
      <w:r w:rsidR="00FC6010">
        <w:instrText xml:space="preserve">" \b </w:instrText>
      </w:r>
      <w:r w:rsidR="00FC6010">
        <w:rPr>
          <w:rFonts w:cs="Segoe UI"/>
          <w:lang w:val="en-US"/>
        </w:rPr>
        <w:fldChar w:fldCharType="end"/>
      </w:r>
      <w:r w:rsidR="004471A8">
        <w:rPr>
          <w:rFonts w:cs="Segoe UI"/>
          <w:lang w:val="en-US"/>
        </w:rPr>
        <w:t>.</w:t>
      </w:r>
    </w:p>
    <w:p w14:paraId="78903689" w14:textId="538EF0D7" w:rsidR="00440CA0" w:rsidRDefault="00D57834" w:rsidP="008C10BB">
      <w:pPr>
        <w:pStyle w:val="ListParagraph"/>
        <w:numPr>
          <w:ilvl w:val="0"/>
          <w:numId w:val="2"/>
        </w:numPr>
        <w:spacing w:after="120"/>
        <w:rPr>
          <w:rFonts w:cs="Segoe UI"/>
          <w:lang w:val="en-US"/>
        </w:rPr>
      </w:pPr>
      <w:r>
        <w:rPr>
          <w:rFonts w:cs="Segoe UI"/>
          <w:lang w:val="en-US"/>
        </w:rPr>
        <w:t>W</w:t>
      </w:r>
      <w:r w:rsidR="00867F03">
        <w:rPr>
          <w:rFonts w:cs="Segoe UI"/>
          <w:lang w:val="en-US"/>
        </w:rPr>
        <w:t xml:space="preserve">hile stakeholders can see the status of individual submissions through the Medicines Status Website, </w:t>
      </w:r>
      <w:r w:rsidR="00BF6832">
        <w:rPr>
          <w:rFonts w:cs="Segoe UI"/>
          <w:lang w:val="en-US"/>
        </w:rPr>
        <w:t>this information is not presented in a way that</w:t>
      </w:r>
      <w:r w:rsidR="0094368A">
        <w:rPr>
          <w:rFonts w:cs="Segoe UI"/>
          <w:lang w:val="en-US"/>
        </w:rPr>
        <w:t xml:space="preserve"> enable</w:t>
      </w:r>
      <w:r w:rsidR="00BF6832">
        <w:rPr>
          <w:rFonts w:cs="Segoe UI"/>
          <w:lang w:val="en-US"/>
        </w:rPr>
        <w:t>s</w:t>
      </w:r>
      <w:r w:rsidR="0094368A">
        <w:rPr>
          <w:rFonts w:cs="Segoe UI"/>
          <w:lang w:val="en-US"/>
        </w:rPr>
        <w:t xml:space="preserve"> </w:t>
      </w:r>
      <w:r w:rsidR="00641FFF">
        <w:rPr>
          <w:rFonts w:cs="Segoe UI"/>
          <w:lang w:val="en-US"/>
        </w:rPr>
        <w:t>stakeholders to</w:t>
      </w:r>
      <w:r w:rsidR="00BF6832">
        <w:rPr>
          <w:rFonts w:cs="Segoe UI"/>
          <w:lang w:val="en-US"/>
        </w:rPr>
        <w:t xml:space="preserve"> navigate </w:t>
      </w:r>
      <w:r w:rsidR="006177B5">
        <w:rPr>
          <w:rFonts w:cs="Segoe UI"/>
          <w:lang w:val="en-US"/>
        </w:rPr>
        <w:t>which</w:t>
      </w:r>
      <w:r w:rsidR="00BF6832">
        <w:rPr>
          <w:rFonts w:cs="Segoe UI"/>
          <w:lang w:val="en-US"/>
        </w:rPr>
        <w:t xml:space="preserve"> </w:t>
      </w:r>
      <w:r w:rsidR="00892751">
        <w:rPr>
          <w:rFonts w:cs="Segoe UI"/>
          <w:lang w:val="en-US"/>
        </w:rPr>
        <w:t xml:space="preserve">submissions are currently under consideration </w:t>
      </w:r>
      <w:r w:rsidR="00832547">
        <w:rPr>
          <w:rFonts w:cs="Segoe UI"/>
          <w:lang w:val="en-US"/>
        </w:rPr>
        <w:t>or have been completed to</w:t>
      </w:r>
      <w:r w:rsidR="00641FFF">
        <w:rPr>
          <w:rFonts w:cs="Segoe UI"/>
          <w:lang w:val="en-US"/>
        </w:rPr>
        <w:t xml:space="preserve"> </w:t>
      </w:r>
      <w:r w:rsidR="003A4E28">
        <w:rPr>
          <w:rFonts w:cs="Segoe UI"/>
          <w:lang w:val="en-US"/>
        </w:rPr>
        <w:t xml:space="preserve">understand </w:t>
      </w:r>
      <w:r w:rsidR="000C2EF9">
        <w:rPr>
          <w:rFonts w:cs="Segoe UI"/>
          <w:lang w:val="en-US"/>
        </w:rPr>
        <w:t>how the system is performing.</w:t>
      </w:r>
    </w:p>
    <w:p w14:paraId="1942042E" w14:textId="49839522" w:rsidR="005D1ACF" w:rsidRDefault="005D1ACF" w:rsidP="00803ADD">
      <w:r>
        <w:t xml:space="preserve">Thirdly, </w:t>
      </w:r>
      <w:r w:rsidR="00713A49">
        <w:t xml:space="preserve">there are </w:t>
      </w:r>
      <w:r w:rsidR="003B1720">
        <w:t>inherent</w:t>
      </w:r>
      <w:r w:rsidR="0024315E">
        <w:t xml:space="preserve"> and structural</w:t>
      </w:r>
      <w:r w:rsidR="003B1720">
        <w:t xml:space="preserve"> </w:t>
      </w:r>
      <w:r w:rsidR="00713A49">
        <w:t xml:space="preserve">aspects of the HTA that </w:t>
      </w:r>
      <w:r w:rsidR="00DD25DC">
        <w:t>work against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DD25DC">
        <w:t xml:space="preserve"> such as: </w:t>
      </w:r>
    </w:p>
    <w:p w14:paraId="59A11581" w14:textId="6F0A5567" w:rsidR="00563DA8" w:rsidRDefault="00563DA8" w:rsidP="008D2A3F">
      <w:pPr>
        <w:pStyle w:val="ListParagraph"/>
        <w:numPr>
          <w:ilvl w:val="0"/>
          <w:numId w:val="2"/>
        </w:numPr>
      </w:pPr>
      <w:r>
        <w:lastRenderedPageBreak/>
        <w:t xml:space="preserve">certain types of information considered by advisory committees (such as that which is commercially sensitive and individuals’ private information) are protected from public release by </w:t>
      </w:r>
      <w:proofErr w:type="gramStart"/>
      <w:r>
        <w:t>law</w:t>
      </w:r>
      <w:proofErr w:type="gramEnd"/>
      <w:r>
        <w:t xml:space="preserve"> </w:t>
      </w:r>
    </w:p>
    <w:p w14:paraId="51B330D7" w14:textId="673FEB82" w:rsidR="007D6A5B" w:rsidRDefault="007D6A5B" w:rsidP="008D2A3F">
      <w:pPr>
        <w:pStyle w:val="ListParagraph"/>
        <w:numPr>
          <w:ilvl w:val="0"/>
          <w:numId w:val="2"/>
        </w:numPr>
      </w:pPr>
      <w:r>
        <w:t>there is a trade-off between flexibility and clarity (</w:t>
      </w:r>
      <w:proofErr w:type="gramStart"/>
      <w:r w:rsidR="004D3F22">
        <w:t>e.g.</w:t>
      </w:r>
      <w:proofErr w:type="gramEnd"/>
      <w:r w:rsidR="00107483">
        <w:t xml:space="preserve"> </w:t>
      </w:r>
      <w:r>
        <w:t xml:space="preserve">the absence of a fixed </w:t>
      </w:r>
      <w:r w:rsidR="00ED64D6">
        <w:t>Incremental Cost Effectiveness Ratio (</w:t>
      </w:r>
      <w:r>
        <w:t>ICER</w:t>
      </w:r>
      <w:r w:rsidR="00ED64D6">
        <w:t>)</w:t>
      </w:r>
      <w:r>
        <w:t xml:space="preserve"> threshold makes it unclear what would be or would not be acceptable cost-effectiveness)</w:t>
      </w:r>
    </w:p>
    <w:p w14:paraId="54F026C1" w14:textId="76A92111" w:rsidR="00803ADD" w:rsidRDefault="00803ADD" w:rsidP="008D2A3F">
      <w:pPr>
        <w:pStyle w:val="ListParagraph"/>
        <w:numPr>
          <w:ilvl w:val="0"/>
          <w:numId w:val="2"/>
        </w:numPr>
      </w:pPr>
      <w:r>
        <w:t xml:space="preserve">the complex nature of the information considered for </w:t>
      </w:r>
      <w:proofErr w:type="gramStart"/>
      <w:r>
        <w:t>HTA</w:t>
      </w:r>
      <w:proofErr w:type="gramEnd"/>
      <w:r>
        <w:t xml:space="preserve"> </w:t>
      </w:r>
    </w:p>
    <w:p w14:paraId="1C0BAE41" w14:textId="347E3FFB" w:rsidR="00803ADD" w:rsidRDefault="00A411A1" w:rsidP="008D2A3F">
      <w:pPr>
        <w:pStyle w:val="ListParagraph"/>
        <w:numPr>
          <w:ilvl w:val="0"/>
          <w:numId w:val="2"/>
        </w:numPr>
      </w:pPr>
      <w:r>
        <w:t>the</w:t>
      </w:r>
      <w:r w:rsidR="00803ADD">
        <w:t xml:space="preserve"> large volume of information needed to support good decision making – that is, determining whether subsidy of a health technology will </w:t>
      </w:r>
      <w:r w:rsidR="00590C7E">
        <w:t xml:space="preserve">benefit Australians and represent a worthwhile use of </w:t>
      </w:r>
      <w:r w:rsidR="002B55DB">
        <w:t>taxpayer</w:t>
      </w:r>
      <w:r w:rsidR="00590C7E">
        <w:t xml:space="preserve"> </w:t>
      </w:r>
      <w:proofErr w:type="gramStart"/>
      <w:r w:rsidR="00590C7E">
        <w:t>funds</w:t>
      </w:r>
      <w:proofErr w:type="gramEnd"/>
    </w:p>
    <w:p w14:paraId="0728BBEC" w14:textId="487669BA" w:rsidR="00803ADD" w:rsidRDefault="00803ADD" w:rsidP="008D2A3F">
      <w:pPr>
        <w:pStyle w:val="ListParagraph"/>
        <w:numPr>
          <w:ilvl w:val="0"/>
          <w:numId w:val="2"/>
        </w:numPr>
      </w:pPr>
      <w:r>
        <w:t>t</w:t>
      </w:r>
      <w:r w:rsidR="00A411A1">
        <w:t>he</w:t>
      </w:r>
      <w:r>
        <w:t xml:space="preserve"> large number of applications for funding considered every </w:t>
      </w:r>
      <w:proofErr w:type="gramStart"/>
      <w:r>
        <w:t>year</w:t>
      </w:r>
      <w:proofErr w:type="gramEnd"/>
    </w:p>
    <w:p w14:paraId="58F46D4F" w14:textId="46EFFFB2" w:rsidR="00493365" w:rsidRDefault="00493365" w:rsidP="008D2A3F">
      <w:pPr>
        <w:pStyle w:val="ListParagraph"/>
        <w:numPr>
          <w:ilvl w:val="0"/>
          <w:numId w:val="2"/>
        </w:numPr>
      </w:pPr>
      <w:r>
        <w:t xml:space="preserve">there are multiple audiences </w:t>
      </w:r>
      <w:r w:rsidR="00D10E86">
        <w:t>with varying levels of knowledge about HTA</w:t>
      </w:r>
      <w:r w:rsidR="00B81CBA">
        <w:t>, and</w:t>
      </w:r>
    </w:p>
    <w:p w14:paraId="302A6CE9" w14:textId="08E5E5CC" w:rsidR="00B84E4F" w:rsidRDefault="00B84E4F" w:rsidP="008D2A3F">
      <w:pPr>
        <w:pStyle w:val="ListParagraph"/>
        <w:numPr>
          <w:ilvl w:val="0"/>
          <w:numId w:val="2"/>
        </w:numPr>
      </w:pPr>
      <w:r>
        <w:t xml:space="preserve">stakeholders are </w:t>
      </w:r>
      <w:r w:rsidR="004B17CD">
        <w:t>usually not engaged until a submission is made</w:t>
      </w:r>
      <w:r w:rsidR="00B81CBA">
        <w:t>.</w:t>
      </w:r>
      <w:r w:rsidR="00D34707">
        <w:t xml:space="preserve"> </w:t>
      </w:r>
    </w:p>
    <w:p w14:paraId="56E018E3" w14:textId="4563EAB4" w:rsidR="006647C5" w:rsidRPr="006647C5" w:rsidRDefault="00E05FF8" w:rsidP="003F2C1C">
      <w:pPr>
        <w:pStyle w:val="Heading3"/>
        <w:keepNext/>
        <w:keepLines/>
      </w:pPr>
      <w:bookmarkStart w:id="102" w:name="_Toc157029055"/>
      <w:r w:rsidRPr="006647C5">
        <w:t xml:space="preserve">Options to address identified </w:t>
      </w:r>
      <w:proofErr w:type="gramStart"/>
      <w:r w:rsidRPr="006647C5">
        <w:t>issues</w:t>
      </w:r>
      <w:bookmarkEnd w:id="102"/>
      <w:proofErr w:type="gramEnd"/>
    </w:p>
    <w:p w14:paraId="6ED81A89" w14:textId="21468273" w:rsidR="003E21FA" w:rsidRDefault="00696393" w:rsidP="003F2C1C">
      <w:pPr>
        <w:keepNext/>
        <w:keepLines/>
      </w:pPr>
      <w:r>
        <w:t>Several</w:t>
      </w:r>
      <w:r w:rsidR="003E21FA">
        <w:t xml:space="preserve"> improvements could be made to existing communications to help stakeholders get the information they need to improve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3E21FA">
        <w:t xml:space="preserve"> of HTA pathways, </w:t>
      </w:r>
      <w:proofErr w:type="gramStart"/>
      <w:r w:rsidR="003E21FA">
        <w:t>decisions</w:t>
      </w:r>
      <w:proofErr w:type="gramEnd"/>
      <w:r w:rsidR="003E21FA">
        <w:t xml:space="preserve"> and processes. </w:t>
      </w:r>
      <w:r w:rsidR="000606DE">
        <w:t xml:space="preserve">However, </w:t>
      </w:r>
      <w:r w:rsidR="0068158E">
        <w:t>i</w:t>
      </w:r>
      <w:r w:rsidR="009D1BB7">
        <w:t>t is a</w:t>
      </w:r>
      <w:r w:rsidR="00AE103E">
        <w:t>cknowledg</w:t>
      </w:r>
      <w:r w:rsidR="009D1BB7">
        <w:t xml:space="preserve">ed </w:t>
      </w:r>
      <w:r w:rsidR="003E21FA">
        <w:t>there will be ongoing challenges communicating HTA pathway processes and decisions due to the complexity of assessing the health outcomes delivered by health interventions</w:t>
      </w:r>
      <w:r w:rsidR="00010675">
        <w:t>,</w:t>
      </w:r>
      <w:r w:rsidR="003E21FA">
        <w:t xml:space="preserve"> and Australia’s complex arrangements for funding them. We propose reforms later in this paper to simplify HTA pathways that would </w:t>
      </w:r>
      <w:r w:rsidR="0059697D">
        <w:t xml:space="preserve">help </w:t>
      </w:r>
      <w:r w:rsidR="003E21FA">
        <w:t xml:space="preserve">consolidate the extensive amount of information currently being published. </w:t>
      </w:r>
    </w:p>
    <w:p w14:paraId="20061A58" w14:textId="62007F66" w:rsidR="00D1038A" w:rsidRDefault="00D1038A" w:rsidP="00D1038A">
      <w:r>
        <w:t xml:space="preserve">The </w:t>
      </w:r>
      <w:r w:rsidR="00E84559">
        <w:t xml:space="preserve">proposed </w:t>
      </w:r>
      <w:r>
        <w:t xml:space="preserve">options set out below seek to </w:t>
      </w:r>
      <w:r w:rsidR="004E49C0">
        <w:t>improve</w:t>
      </w:r>
      <w:r w:rsidR="00C14EF8">
        <w:t xml:space="preserve"> communication</w:t>
      </w:r>
      <w:r w:rsidR="00570001">
        <w:fldChar w:fldCharType="begin"/>
      </w:r>
      <w:r w:rsidR="00570001">
        <w:instrText xml:space="preserve"> XE "</w:instrText>
      </w:r>
      <w:r w:rsidR="00570001" w:rsidRPr="00E61E42">
        <w:instrText>communication</w:instrText>
      </w:r>
      <w:r w:rsidR="00570001">
        <w:instrText xml:space="preserve">" \b </w:instrText>
      </w:r>
      <w:r w:rsidR="00570001">
        <w:fldChar w:fldCharType="end"/>
      </w:r>
      <w:r w:rsidR="00C14EF8">
        <w:t xml:space="preserve"> </w:t>
      </w:r>
      <w:r w:rsidR="004E49C0">
        <w:t xml:space="preserve">of HTA pathways, </w:t>
      </w:r>
      <w:proofErr w:type="gramStart"/>
      <w:r w:rsidR="004E49C0">
        <w:t>processes</w:t>
      </w:r>
      <w:proofErr w:type="gramEnd"/>
      <w:r w:rsidR="004E49C0">
        <w:t xml:space="preserve"> and decisions. </w:t>
      </w:r>
      <w:r w:rsidR="003365D6">
        <w:t>Options t</w:t>
      </w:r>
      <w:r w:rsidR="00324AE7">
        <w:t>hat may address</w:t>
      </w:r>
      <w:r w:rsidR="0024315E">
        <w:t xml:space="preserve"> </w:t>
      </w:r>
      <w:r w:rsidR="00C00BB4">
        <w:t xml:space="preserve">other arrangements </w:t>
      </w:r>
      <w:r w:rsidR="0024315E">
        <w:t>that work against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C00BB4">
        <w:t xml:space="preserve"> (such as inherent and structural aspects of HTA, and how less readily quantifiable evidence is valued</w:t>
      </w:r>
      <w:r w:rsidR="00732693">
        <w:t>)</w:t>
      </w:r>
      <w:r w:rsidR="0024315E">
        <w:t xml:space="preserve"> are considered under later headings. </w:t>
      </w:r>
    </w:p>
    <w:tbl>
      <w:tblPr>
        <w:tblStyle w:val="TableGrid"/>
        <w:tblW w:w="0" w:type="auto"/>
        <w:tblLook w:val="04A0" w:firstRow="1" w:lastRow="0" w:firstColumn="1" w:lastColumn="0" w:noHBand="0" w:noVBand="1"/>
      </w:tblPr>
      <w:tblGrid>
        <w:gridCol w:w="9016"/>
      </w:tblGrid>
      <w:tr w:rsidR="00252BC2" w14:paraId="557D2C21" w14:textId="77777777" w:rsidTr="00C01791">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2C065EE6" w14:textId="77777777" w:rsidR="004E671C" w:rsidRDefault="004E671C" w:rsidP="008C10BB">
            <w:pPr>
              <w:spacing w:before="160" w:after="160" w:line="259" w:lineRule="auto"/>
              <w:rPr>
                <w:b/>
                <w:bCs/>
              </w:rPr>
            </w:pPr>
            <w:r w:rsidRPr="000214D3">
              <w:rPr>
                <w:b/>
                <w:bCs/>
              </w:rPr>
              <w:t xml:space="preserve">Publish plain language </w:t>
            </w:r>
            <w:proofErr w:type="gramStart"/>
            <w:r w:rsidRPr="000214D3">
              <w:rPr>
                <w:b/>
                <w:bCs/>
              </w:rPr>
              <w:t>summaries</w:t>
            </w:r>
            <w:proofErr w:type="gramEnd"/>
          </w:p>
          <w:p w14:paraId="0B7358AD" w14:textId="77777777" w:rsidR="004E671C" w:rsidRPr="00496388" w:rsidRDefault="004E671C" w:rsidP="008505D7">
            <w:pPr>
              <w:numPr>
                <w:ilvl w:val="0"/>
                <w:numId w:val="52"/>
              </w:numPr>
              <w:spacing w:line="259" w:lineRule="auto"/>
              <w:ind w:left="357" w:hanging="357"/>
            </w:pPr>
            <w:r w:rsidRPr="00496388">
              <w:t>Summaries of PBAC</w:t>
            </w:r>
            <w:r>
              <w:t xml:space="preserve"> </w:t>
            </w:r>
            <w:r w:rsidRPr="00496388">
              <w:t>submissions to be provided at the same time as the PBAC agenda is released to allow consumers (including patient communities and clinicians) to be better equipped to provide input to the HTA process and understand the expected benefit of the therapy and the proposed population without ambiguity.</w:t>
            </w:r>
          </w:p>
          <w:p w14:paraId="631DA463" w14:textId="77777777" w:rsidR="004E671C" w:rsidRPr="00496388" w:rsidRDefault="004E671C" w:rsidP="008505D7">
            <w:pPr>
              <w:numPr>
                <w:ilvl w:val="0"/>
                <w:numId w:val="52"/>
              </w:numPr>
              <w:spacing w:line="259" w:lineRule="auto"/>
              <w:ind w:left="357" w:hanging="357"/>
            </w:pPr>
            <w:r w:rsidRPr="00496388">
              <w:t>Have clearer and more transparent description of the committee deliberations, including clear reasoning for recommendations / decisions made and what elements were included that is disseminated to broader stakeholder groups.</w:t>
            </w:r>
          </w:p>
          <w:p w14:paraId="094202DC" w14:textId="77777777" w:rsidR="004E671C" w:rsidRDefault="004E671C" w:rsidP="008505D7">
            <w:pPr>
              <w:numPr>
                <w:ilvl w:val="0"/>
                <w:numId w:val="52"/>
              </w:numPr>
              <w:spacing w:line="259" w:lineRule="auto"/>
              <w:ind w:left="357" w:hanging="357"/>
            </w:pPr>
            <w:r w:rsidRPr="00496388">
              <w:t>Provide plain language explanation of the HTA pathways and PBAC guidelines</w:t>
            </w:r>
            <w:r>
              <w:t xml:space="preserve"> that </w:t>
            </w:r>
            <w:r w:rsidRPr="00496388">
              <w:t xml:space="preserve">allow both experts and non-experts to be able to navigate the system </w:t>
            </w:r>
            <w:r w:rsidRPr="00496388">
              <w:lastRenderedPageBreak/>
              <w:t>more easily (with the level of information and language suited for the relevant audience levels).</w:t>
            </w:r>
          </w:p>
          <w:p w14:paraId="2E3F8279" w14:textId="10F9E5AD" w:rsidR="00252BC2" w:rsidRDefault="00252BC2" w:rsidP="008C10BB">
            <w:pPr>
              <w:spacing w:line="259" w:lineRule="auto"/>
            </w:pPr>
          </w:p>
        </w:tc>
      </w:tr>
    </w:tbl>
    <w:p w14:paraId="797FD982" w14:textId="77777777" w:rsidR="00252BC2" w:rsidRDefault="00252BC2" w:rsidP="00D1038A"/>
    <w:tbl>
      <w:tblPr>
        <w:tblStyle w:val="TableGrid"/>
        <w:tblW w:w="0" w:type="auto"/>
        <w:tblLook w:val="04A0" w:firstRow="1" w:lastRow="0" w:firstColumn="1" w:lastColumn="0" w:noHBand="0" w:noVBand="1"/>
      </w:tblPr>
      <w:tblGrid>
        <w:gridCol w:w="9016"/>
      </w:tblGrid>
      <w:tr w:rsidR="00E92CBE" w14:paraId="7583F4BD" w14:textId="77777777" w:rsidTr="00C01791">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68F9B8A5" w14:textId="77777777" w:rsidR="00E92CBE" w:rsidRDefault="00E92CBE" w:rsidP="008C10BB">
            <w:pPr>
              <w:spacing w:line="259" w:lineRule="auto"/>
            </w:pPr>
            <w:r w:rsidRPr="00172B3E">
              <w:rPr>
                <w:b/>
                <w:bCs/>
              </w:rPr>
              <w:t>Improvements to the HTA webpage including development of</w:t>
            </w:r>
            <w:r w:rsidRPr="00172B3E" w:rsidDel="000214D3">
              <w:rPr>
                <w:b/>
                <w:bCs/>
              </w:rPr>
              <w:t xml:space="preserve"> </w:t>
            </w:r>
            <w:r w:rsidRPr="00172B3E">
              <w:rPr>
                <w:b/>
                <w:bCs/>
              </w:rPr>
              <w:t xml:space="preserve">a visual, data driven dashboard to increase transparency across the HTA </w:t>
            </w:r>
            <w:proofErr w:type="gramStart"/>
            <w:r w:rsidRPr="00172B3E">
              <w:rPr>
                <w:b/>
                <w:bCs/>
              </w:rPr>
              <w:t>system</w:t>
            </w:r>
            <w:proofErr w:type="gramEnd"/>
            <w:r w:rsidRPr="00172B3E">
              <w:rPr>
                <w:b/>
                <w:bCs/>
              </w:rPr>
              <w:t xml:space="preserve"> </w:t>
            </w:r>
          </w:p>
          <w:p w14:paraId="4F2D809C" w14:textId="77777777" w:rsidR="00E92CBE" w:rsidRPr="000214D3" w:rsidRDefault="00E92CBE" w:rsidP="008505D7">
            <w:pPr>
              <w:numPr>
                <w:ilvl w:val="0"/>
                <w:numId w:val="159"/>
              </w:numPr>
              <w:spacing w:line="259" w:lineRule="auto"/>
              <w:ind w:left="357" w:hanging="357"/>
            </w:pPr>
            <w:r w:rsidRPr="000214D3">
              <w:t>Have a visual dashboard including information to communicate the status of health technologies moving through the HTA system and HTA system performance statistics. Including information about timing of sponsor applications to overseas regulators, TGA and parallel pathway applications, PBAC submission and through to PBS listing. This should be available at the aggregate and individual drug level and be informed by horizon scanning</w:t>
            </w:r>
            <w:r w:rsidRPr="000214D3">
              <w:fldChar w:fldCharType="begin"/>
            </w:r>
            <w:r w:rsidRPr="000214D3">
              <w:instrText xml:space="preserve"> XE "horizon scanning" \b </w:instrText>
            </w:r>
            <w:r w:rsidRPr="000214D3">
              <w:fldChar w:fldCharType="end"/>
            </w:r>
            <w:r w:rsidRPr="000214D3">
              <w:t xml:space="preserve"> where possible.</w:t>
            </w:r>
          </w:p>
          <w:p w14:paraId="1FABC561" w14:textId="5946FBBA" w:rsidR="00E92CBE" w:rsidRDefault="00E92CBE" w:rsidP="008505D7">
            <w:pPr>
              <w:numPr>
                <w:ilvl w:val="0"/>
                <w:numId w:val="159"/>
              </w:numPr>
              <w:spacing w:line="259" w:lineRule="auto"/>
              <w:ind w:left="357" w:hanging="357"/>
            </w:pPr>
            <w:r w:rsidRPr="000214D3">
              <w:t>Make HTA websites easier to navigate accounting for different levels of knowledge</w:t>
            </w:r>
            <w:r w:rsidR="598E930B">
              <w:t>.</w:t>
            </w:r>
          </w:p>
          <w:p w14:paraId="7025CF05" w14:textId="77777777" w:rsidR="00E92CBE" w:rsidRDefault="00E92CBE" w:rsidP="008C10BB">
            <w:pPr>
              <w:spacing w:line="259" w:lineRule="auto"/>
            </w:pPr>
          </w:p>
        </w:tc>
      </w:tr>
    </w:tbl>
    <w:p w14:paraId="5E6438E1" w14:textId="47B3DE16" w:rsidR="00A204D5" w:rsidRDefault="00A204D5" w:rsidP="008C10BB">
      <w:pPr>
        <w:pStyle w:val="Heading2"/>
        <w:spacing w:line="259" w:lineRule="auto"/>
        <w:ind w:left="709"/>
      </w:pPr>
      <w:bookmarkStart w:id="103" w:name="_Toc157029056"/>
      <w:bookmarkStart w:id="104" w:name="_Toc157029485"/>
      <w:bookmarkStart w:id="105" w:name="_Toc157030177"/>
      <w:bookmarkStart w:id="106" w:name="_Toc165278867"/>
      <w:r w:rsidRPr="00A204D5">
        <w:t>Consumer</w:t>
      </w:r>
      <w:r w:rsidR="00B1232C">
        <w:t>, clinician</w:t>
      </w:r>
      <w:r w:rsidRPr="00A204D5">
        <w:t xml:space="preserve"> </w:t>
      </w:r>
      <w:r w:rsidR="006905B3">
        <w:t xml:space="preserve">and other stakeholder </w:t>
      </w:r>
      <w:r w:rsidR="00331080">
        <w:t>involvement</w:t>
      </w:r>
      <w:r w:rsidR="00331080" w:rsidRPr="00A204D5">
        <w:t xml:space="preserve"> </w:t>
      </w:r>
      <w:r w:rsidRPr="00A204D5">
        <w:t>and consideration in HTA</w:t>
      </w:r>
      <w:bookmarkEnd w:id="103"/>
      <w:bookmarkEnd w:id="104"/>
      <w:bookmarkEnd w:id="105"/>
    </w:p>
    <w:tbl>
      <w:tblPr>
        <w:tblStyle w:val="TableGrid"/>
        <w:tblW w:w="0" w:type="auto"/>
        <w:tblLook w:val="04A0" w:firstRow="1" w:lastRow="0" w:firstColumn="1" w:lastColumn="0" w:noHBand="0" w:noVBand="1"/>
      </w:tblPr>
      <w:tblGrid>
        <w:gridCol w:w="9016"/>
      </w:tblGrid>
      <w:tr w:rsidR="006F2370" w14:paraId="4B8AE38F" w14:textId="77777777" w:rsidTr="00E12CD8">
        <w:trPr>
          <w:trHeight w:val="911"/>
        </w:trPr>
        <w:tc>
          <w:tcPr>
            <w:tcW w:w="9016" w:type="dxa"/>
            <w:tcBorders>
              <w:top w:val="single" w:sz="2" w:space="0" w:color="00B4D0" w:themeColor="accent6"/>
              <w:left w:val="nil"/>
              <w:bottom w:val="single" w:sz="2" w:space="0" w:color="00B4D0" w:themeColor="accent6"/>
              <w:right w:val="nil"/>
            </w:tcBorders>
            <w:shd w:val="clear" w:color="auto" w:fill="F2F2F2" w:themeFill="background1" w:themeFillShade="F2"/>
          </w:tcPr>
          <w:p w14:paraId="5942C0B6" w14:textId="23718778" w:rsidR="006F2370" w:rsidRPr="00564AB8" w:rsidRDefault="006F2370" w:rsidP="00B840A8">
            <w:pPr>
              <w:spacing w:after="160" w:line="259" w:lineRule="auto"/>
              <w:ind w:left="284"/>
              <w:rPr>
                <w:rStyle w:val="SubtleEmphasis"/>
                <w:rFonts w:cs="Segoe UI"/>
                <w:bCs/>
                <w:iCs w:val="0"/>
                <w:color w:val="262626" w:themeColor="text1" w:themeTint="D9"/>
                <w:sz w:val="36"/>
                <w:szCs w:val="28"/>
              </w:rPr>
            </w:pPr>
            <w:r w:rsidRPr="00564AB8">
              <w:rPr>
                <w:rStyle w:val="SubtleEmphasis"/>
                <w:b/>
                <w:color w:val="262626" w:themeColor="text1" w:themeTint="D9"/>
              </w:rPr>
              <w:t>A note on terminology</w:t>
            </w:r>
            <w:r w:rsidRPr="00564AB8">
              <w:rPr>
                <w:rStyle w:val="SubtleEmphasis"/>
                <w:color w:val="262626" w:themeColor="text1" w:themeTint="D9"/>
              </w:rPr>
              <w:t>…</w:t>
            </w:r>
          </w:p>
          <w:p w14:paraId="70E7E63F" w14:textId="5A8F5F78" w:rsidR="001F0597" w:rsidRDefault="006F2370" w:rsidP="00E12CD8">
            <w:pPr>
              <w:spacing w:after="160" w:line="259" w:lineRule="auto"/>
              <w:ind w:left="284" w:right="261"/>
              <w:jc w:val="both"/>
              <w:rPr>
                <w:rStyle w:val="SubtleEmphasis"/>
                <w:i w:val="0"/>
                <w:color w:val="262626" w:themeColor="text1" w:themeTint="D9"/>
              </w:rPr>
            </w:pPr>
            <w:r w:rsidRPr="00687095">
              <w:rPr>
                <w:rStyle w:val="SubtleEmphasis"/>
                <w:i w:val="0"/>
                <w:color w:val="262626" w:themeColor="text1" w:themeTint="D9"/>
              </w:rPr>
              <w:t>In Australia the term 'consumer'</w:t>
            </w:r>
            <w:r>
              <w:rPr>
                <w:rStyle w:val="SubtleEmphasis"/>
                <w:i w:val="0"/>
                <w:color w:val="262626" w:themeColor="text1" w:themeTint="D9"/>
              </w:rPr>
              <w:t>, in the context of healthcare,</w:t>
            </w:r>
            <w:r w:rsidRPr="00687095">
              <w:rPr>
                <w:rStyle w:val="SubtleEmphasis"/>
                <w:i w:val="0"/>
                <w:color w:val="262626" w:themeColor="text1" w:themeTint="D9"/>
              </w:rPr>
              <w:t xml:space="preserve"> is often used to refer to 'patients, their families/carers, </w:t>
            </w:r>
            <w:r>
              <w:rPr>
                <w:rStyle w:val="SubtleEmphasis"/>
                <w:i w:val="0"/>
                <w:color w:val="262626" w:themeColor="text1" w:themeTint="D9"/>
              </w:rPr>
              <w:t xml:space="preserve">and </w:t>
            </w:r>
            <w:r w:rsidRPr="00687095">
              <w:rPr>
                <w:rStyle w:val="SubtleEmphasis"/>
                <w:i w:val="0"/>
                <w:color w:val="262626" w:themeColor="text1" w:themeTint="D9"/>
              </w:rPr>
              <w:t>consumer organisations'. According to the</w:t>
            </w:r>
            <w:r w:rsidRPr="00687095">
              <w:rPr>
                <w:rStyle w:val="SubtleEmphasis"/>
                <w:color w:val="262626" w:themeColor="text1" w:themeTint="D9"/>
              </w:rPr>
              <w:t xml:space="preserve"> Draft National Consumer Engagement Strategy for Health and Wellbeing 2023: </w:t>
            </w:r>
            <w:r w:rsidRPr="00FF2C91">
              <w:rPr>
                <w:rStyle w:val="SubtleEmphasis"/>
                <w:i w:val="0"/>
                <w:color w:val="262626" w:themeColor="text1" w:themeTint="D9"/>
              </w:rPr>
              <w:t>“In the context of health policy, services and care, a consumer is a person who uses, has used or is a potential user of health services and information.</w:t>
            </w:r>
            <w:r w:rsidR="001F0597">
              <w:rPr>
                <w:rStyle w:val="SubtleEmphasis"/>
                <w:i w:val="0"/>
                <w:color w:val="262626" w:themeColor="text1" w:themeTint="D9"/>
              </w:rPr>
              <w:t xml:space="preserve"> </w:t>
            </w:r>
          </w:p>
          <w:p w14:paraId="6921E77F" w14:textId="2DC31BD9" w:rsidR="001F0597" w:rsidRPr="001F0597" w:rsidRDefault="001F0597" w:rsidP="00E12CD8">
            <w:pPr>
              <w:spacing w:after="160" w:line="259" w:lineRule="auto"/>
              <w:ind w:left="284" w:right="261"/>
              <w:jc w:val="both"/>
              <w:rPr>
                <w:rStyle w:val="SubtleEmphasis"/>
                <w:bCs/>
                <w:i w:val="0"/>
                <w:iCs w:val="0"/>
                <w:color w:val="262626" w:themeColor="text1" w:themeTint="D9"/>
              </w:rPr>
            </w:pPr>
            <w:r w:rsidRPr="001F0597">
              <w:rPr>
                <w:rStyle w:val="SubtleEmphasis"/>
                <w:bCs/>
                <w:i w:val="0"/>
                <w:iCs w:val="0"/>
                <w:color w:val="262626" w:themeColor="text1" w:themeTint="D9"/>
              </w:rPr>
              <w:t>Consumers can participate as individuals, community groups, consumer organisations or consumer representatives</w:t>
            </w:r>
            <w:r w:rsidR="00E12CD8">
              <w:rPr>
                <w:rStyle w:val="SubtleEmphasis"/>
                <w:bCs/>
                <w:i w:val="0"/>
                <w:iCs w:val="0"/>
                <w:color w:val="262626" w:themeColor="text1" w:themeTint="D9"/>
              </w:rPr>
              <w:t>.</w:t>
            </w:r>
          </w:p>
          <w:p w14:paraId="0B7900D1" w14:textId="77777777" w:rsidR="001F0597" w:rsidRPr="001F0597" w:rsidRDefault="001F0597" w:rsidP="00E12CD8">
            <w:pPr>
              <w:spacing w:after="160" w:line="259" w:lineRule="auto"/>
              <w:ind w:left="284" w:right="261"/>
              <w:jc w:val="both"/>
              <w:rPr>
                <w:rStyle w:val="SubtleEmphasis"/>
                <w:bCs/>
                <w:i w:val="0"/>
                <w:iCs w:val="0"/>
                <w:color w:val="262626" w:themeColor="text1" w:themeTint="D9"/>
              </w:rPr>
            </w:pPr>
            <w:r w:rsidRPr="001F0597">
              <w:rPr>
                <w:rStyle w:val="SubtleEmphasis"/>
                <w:bCs/>
                <w:i w:val="0"/>
                <w:iCs w:val="0"/>
                <w:color w:val="262626" w:themeColor="text1" w:themeTint="D9"/>
              </w:rPr>
              <w:t>However, the academic literature refers to the same people as 'patients' or 'patients, carers and patient organisations' reflecting the dominance of the term in international practice (Australia, Singapore and New Zealand being the exceptions).</w:t>
            </w:r>
          </w:p>
          <w:p w14:paraId="3C210434" w14:textId="48181445" w:rsidR="001F0597" w:rsidRPr="001F0597" w:rsidRDefault="001F0597" w:rsidP="00E12CD8">
            <w:pPr>
              <w:spacing w:after="160" w:line="259" w:lineRule="auto"/>
              <w:ind w:left="284" w:right="261"/>
              <w:jc w:val="both"/>
              <w:rPr>
                <w:rStyle w:val="SubtleEmphasis"/>
                <w:bCs/>
                <w:i w:val="0"/>
                <w:iCs w:val="0"/>
                <w:color w:val="262626" w:themeColor="text1" w:themeTint="D9"/>
              </w:rPr>
            </w:pPr>
            <w:r w:rsidRPr="001F0597">
              <w:rPr>
                <w:rStyle w:val="SubtleEmphasis"/>
                <w:bCs/>
                <w:i w:val="0"/>
                <w:iCs w:val="0"/>
                <w:color w:val="262626" w:themeColor="text1" w:themeTint="D9"/>
              </w:rPr>
              <w:t xml:space="preserve">The literature highlights two different but complementary approaches used in HTA for understanding the needs, preferences, </w:t>
            </w:r>
            <w:proofErr w:type="gramStart"/>
            <w:r w:rsidRPr="001F0597">
              <w:rPr>
                <w:rStyle w:val="SubtleEmphasis"/>
                <w:bCs/>
                <w:i w:val="0"/>
                <w:iCs w:val="0"/>
                <w:color w:val="262626" w:themeColor="text1" w:themeTint="D9"/>
              </w:rPr>
              <w:t>experiences</w:t>
            </w:r>
            <w:proofErr w:type="gramEnd"/>
            <w:r w:rsidRPr="001F0597">
              <w:rPr>
                <w:rStyle w:val="SubtleEmphasis"/>
                <w:bCs/>
                <w:i w:val="0"/>
                <w:iCs w:val="0"/>
                <w:color w:val="262626" w:themeColor="text1" w:themeTint="D9"/>
              </w:rPr>
              <w:t xml:space="preserve"> and perspectives of consumers':</w:t>
            </w:r>
          </w:p>
          <w:p w14:paraId="72C7C5D6" w14:textId="33F8EFBD" w:rsidR="001F0597" w:rsidRPr="001F0597" w:rsidRDefault="001F0597" w:rsidP="00E12CD8">
            <w:pPr>
              <w:spacing w:after="160" w:line="259" w:lineRule="auto"/>
              <w:ind w:left="747" w:right="261" w:hanging="284"/>
              <w:jc w:val="both"/>
              <w:rPr>
                <w:rStyle w:val="SubtleEmphasis"/>
                <w:bCs/>
                <w:i w:val="0"/>
                <w:iCs w:val="0"/>
                <w:color w:val="262626" w:themeColor="text1" w:themeTint="D9"/>
              </w:rPr>
            </w:pPr>
            <w:r w:rsidRPr="001F0597">
              <w:rPr>
                <w:rStyle w:val="SubtleEmphasis"/>
                <w:bCs/>
                <w:i w:val="0"/>
                <w:iCs w:val="0"/>
                <w:color w:val="262626" w:themeColor="text1" w:themeTint="D9"/>
              </w:rPr>
              <w:t>1.</w:t>
            </w:r>
            <w:r>
              <w:tab/>
            </w:r>
            <w:r w:rsidRPr="001F0597">
              <w:rPr>
                <w:rStyle w:val="SubtleEmphasis"/>
                <w:bCs/>
                <w:i w:val="0"/>
                <w:iCs w:val="0"/>
                <w:color w:val="262626" w:themeColor="text1" w:themeTint="D9"/>
              </w:rPr>
              <w:t>Research using explicit methods that can be critically assessed (consumer evidence) including Patient Reported Outcome Measures (PROMs) and Patient Reported Experience Measures (PREMs)</w:t>
            </w:r>
          </w:p>
          <w:p w14:paraId="74FD8A11" w14:textId="729707DB" w:rsidR="001F0597" w:rsidRPr="001F0597" w:rsidRDefault="001F0597" w:rsidP="00E12CD8">
            <w:pPr>
              <w:spacing w:after="160" w:line="259" w:lineRule="auto"/>
              <w:ind w:left="747" w:right="261" w:hanging="284"/>
              <w:jc w:val="both"/>
              <w:rPr>
                <w:rStyle w:val="SubtleEmphasis"/>
                <w:bCs/>
                <w:i w:val="0"/>
                <w:iCs w:val="0"/>
                <w:color w:val="262626" w:themeColor="text1" w:themeTint="D9"/>
              </w:rPr>
            </w:pPr>
            <w:r w:rsidRPr="001F0597">
              <w:rPr>
                <w:rStyle w:val="SubtleEmphasis"/>
                <w:bCs/>
                <w:i w:val="0"/>
                <w:iCs w:val="0"/>
                <w:color w:val="262626" w:themeColor="text1" w:themeTint="D9"/>
              </w:rPr>
              <w:lastRenderedPageBreak/>
              <w:t>2.</w:t>
            </w:r>
            <w:r>
              <w:tab/>
            </w:r>
            <w:r w:rsidRPr="001F0597">
              <w:rPr>
                <w:rStyle w:val="SubtleEmphasis"/>
                <w:bCs/>
                <w:i w:val="0"/>
                <w:iCs w:val="0"/>
                <w:color w:val="262626" w:themeColor="text1" w:themeTint="D9"/>
              </w:rPr>
              <w:t>Participation and input from consumers, ideally 2-way dialogue that is dynamic to enable it to respond to questions as they arise (consumer engagement).</w:t>
            </w:r>
          </w:p>
          <w:p w14:paraId="6EF86D6D" w14:textId="1D9DF850" w:rsidR="006F2370" w:rsidRDefault="001F0597" w:rsidP="00E12CD8">
            <w:pPr>
              <w:spacing w:after="160" w:line="259" w:lineRule="auto"/>
              <w:ind w:left="284" w:right="261"/>
              <w:jc w:val="both"/>
              <w:rPr>
                <w:rStyle w:val="SubtleEmphasis"/>
                <w:b/>
                <w:color w:val="262626" w:themeColor="text1" w:themeTint="D9"/>
              </w:rPr>
            </w:pPr>
            <w:r w:rsidRPr="001F0597">
              <w:rPr>
                <w:rStyle w:val="SubtleEmphasis"/>
                <w:bCs/>
                <w:i w:val="0"/>
                <w:iCs w:val="0"/>
                <w:color w:val="262626" w:themeColor="text1" w:themeTint="D9"/>
              </w:rPr>
              <w:t>PROMS are those related to the status of a patient’s health condition or treatment that come directly from the patient, examples include health related quality of life, functioning, symptoms (both disease and treatment related), patient satisfaction, and adherence to treatment while PREMs relate to patients’ views and observations on aspects of health care services they have received.</w:t>
            </w:r>
          </w:p>
        </w:tc>
      </w:tr>
    </w:tbl>
    <w:p w14:paraId="12A06399" w14:textId="609E8922" w:rsidR="00F80FBF" w:rsidRDefault="001906F7" w:rsidP="00D74C63">
      <w:pPr>
        <w:pStyle w:val="Heading3"/>
        <w:spacing w:before="240"/>
      </w:pPr>
      <w:bookmarkStart w:id="107" w:name="_Toc157029057"/>
      <w:r>
        <w:lastRenderedPageBreak/>
        <w:t>C</w:t>
      </w:r>
      <w:r w:rsidR="00F80FBF">
        <w:t>urrent state</w:t>
      </w:r>
      <w:bookmarkEnd w:id="107"/>
    </w:p>
    <w:p w14:paraId="251E6C93" w14:textId="4DE1269E" w:rsidR="00DF6520" w:rsidRDefault="00DF6520" w:rsidP="00DF6520">
      <w:r>
        <w:t xml:space="preserve">Stakeholder engagement in HTA can include </w:t>
      </w:r>
      <w:r w:rsidRPr="002D6D3E">
        <w:t xml:space="preserve">engaging individuals, representatives or groups of patients, carers, clinicians, </w:t>
      </w:r>
      <w:proofErr w:type="gramStart"/>
      <w:r>
        <w:t>sponsors</w:t>
      </w:r>
      <w:proofErr w:type="gramEnd"/>
      <w:r>
        <w:t xml:space="preserve"> and industry broadly, peak organisations, </w:t>
      </w:r>
      <w:r w:rsidR="009E3CE4">
        <w:t xml:space="preserve">academics and subject matter experts, </w:t>
      </w:r>
      <w:r w:rsidR="00562414">
        <w:t xml:space="preserve">government bodies, </w:t>
      </w:r>
      <w:r w:rsidR="00D249E7">
        <w:t xml:space="preserve">and </w:t>
      </w:r>
      <w:r w:rsidR="00CD6483">
        <w:t xml:space="preserve">other </w:t>
      </w:r>
      <w:r w:rsidR="00562414">
        <w:t>members of the public</w:t>
      </w:r>
      <w:r w:rsidRPr="002D6D3E">
        <w:t>.</w:t>
      </w:r>
      <w:r>
        <w:t xml:space="preserve"> </w:t>
      </w:r>
    </w:p>
    <w:p w14:paraId="676E5EE5" w14:textId="4953648D" w:rsidR="0094433E" w:rsidRPr="00645FC9" w:rsidRDefault="0094433E" w:rsidP="008C10BB">
      <w:pPr>
        <w:spacing w:after="120"/>
        <w:rPr>
          <w:rFonts w:cs="Segoe UI"/>
        </w:rPr>
      </w:pPr>
      <w:r w:rsidRPr="44DEDF48">
        <w:rPr>
          <w:rFonts w:cs="Segoe UI"/>
        </w:rPr>
        <w:t xml:space="preserve">For the PBAC and MSAC processes, </w:t>
      </w:r>
      <w:r w:rsidRPr="00453165">
        <w:rPr>
          <w:rFonts w:cs="Segoe UI"/>
        </w:rPr>
        <w:t>consumers, health practitioners and any other interested groups or organisations</w:t>
      </w:r>
      <w:r>
        <w:rPr>
          <w:rFonts w:cs="Segoe UI"/>
        </w:rPr>
        <w:t xml:space="preserve"> </w:t>
      </w:r>
      <w:r w:rsidRPr="44DEDF48">
        <w:rPr>
          <w:rFonts w:cs="Segoe UI"/>
        </w:rPr>
        <w:t>currently have opportunities to provide input either directly or via representation through:</w:t>
      </w:r>
    </w:p>
    <w:p w14:paraId="103B5F45" w14:textId="77777777" w:rsidR="0094433E" w:rsidRPr="00645FC9" w:rsidRDefault="0094433E" w:rsidP="008C10BB">
      <w:pPr>
        <w:pStyle w:val="ListParagraph"/>
        <w:numPr>
          <w:ilvl w:val="0"/>
          <w:numId w:val="5"/>
        </w:numPr>
        <w:spacing w:after="120"/>
        <w:rPr>
          <w:rFonts w:cs="Segoe UI"/>
          <w:szCs w:val="20"/>
        </w:rPr>
      </w:pPr>
      <w:r w:rsidRPr="00645FC9">
        <w:rPr>
          <w:rFonts w:cs="Segoe UI"/>
          <w:szCs w:val="20"/>
        </w:rPr>
        <w:t>public consultations on committee agendas</w:t>
      </w:r>
    </w:p>
    <w:p w14:paraId="50C29901" w14:textId="77777777" w:rsidR="0094433E" w:rsidRPr="00645FC9" w:rsidRDefault="0094433E" w:rsidP="008C10BB">
      <w:pPr>
        <w:pStyle w:val="ListParagraph"/>
        <w:numPr>
          <w:ilvl w:val="0"/>
          <w:numId w:val="5"/>
        </w:numPr>
        <w:spacing w:after="120"/>
        <w:rPr>
          <w:rFonts w:cs="Segoe UI"/>
          <w:szCs w:val="20"/>
        </w:rPr>
      </w:pPr>
      <w:r w:rsidRPr="00645FC9">
        <w:rPr>
          <w:rFonts w:cs="Segoe UI"/>
          <w:szCs w:val="20"/>
        </w:rPr>
        <w:t>hearings about specific medicine submissions</w:t>
      </w:r>
    </w:p>
    <w:p w14:paraId="5474AB61" w14:textId="34DD9837" w:rsidR="0094433E" w:rsidRPr="00645FC9" w:rsidRDefault="0094433E" w:rsidP="008C10BB">
      <w:pPr>
        <w:pStyle w:val="ListParagraph"/>
        <w:numPr>
          <w:ilvl w:val="0"/>
          <w:numId w:val="5"/>
        </w:numPr>
        <w:spacing w:after="120"/>
        <w:rPr>
          <w:rFonts w:cs="Segoe UI"/>
          <w:szCs w:val="20"/>
        </w:rPr>
      </w:pPr>
      <w:r w:rsidRPr="00645FC9">
        <w:rPr>
          <w:rFonts w:cs="Segoe UI"/>
          <w:szCs w:val="20"/>
        </w:rPr>
        <w:t>expert clinical consultations</w:t>
      </w:r>
      <w:r>
        <w:rPr>
          <w:rFonts w:cs="Segoe UI"/>
          <w:szCs w:val="20"/>
        </w:rPr>
        <w:t xml:space="preserve"> (with clinicians and patients who have lived experience of disease)</w:t>
      </w:r>
      <w:r w:rsidRPr="00645FC9">
        <w:rPr>
          <w:rFonts w:cs="Segoe UI"/>
          <w:szCs w:val="20"/>
        </w:rPr>
        <w:t xml:space="preserve"> about specific medicine submissions</w:t>
      </w:r>
      <w:r w:rsidR="007C7BC0">
        <w:rPr>
          <w:rFonts w:cs="Segoe UI"/>
          <w:szCs w:val="20"/>
        </w:rPr>
        <w:t>, and</w:t>
      </w:r>
    </w:p>
    <w:p w14:paraId="1ADF9749" w14:textId="77777777" w:rsidR="0094433E" w:rsidRDefault="0094433E" w:rsidP="008C10BB">
      <w:pPr>
        <w:pStyle w:val="ListParagraph"/>
        <w:numPr>
          <w:ilvl w:val="0"/>
          <w:numId w:val="5"/>
        </w:numPr>
        <w:spacing w:after="120"/>
        <w:rPr>
          <w:rFonts w:cs="Segoe UI"/>
          <w:szCs w:val="20"/>
        </w:rPr>
      </w:pPr>
      <w:r w:rsidRPr="00645FC9">
        <w:rPr>
          <w:rFonts w:cs="Segoe UI"/>
          <w:szCs w:val="20"/>
        </w:rPr>
        <w:t>formal stakeholder meetings on specific health technologies (including post</w:t>
      </w:r>
      <w:r>
        <w:rPr>
          <w:rFonts w:cs="Segoe UI"/>
          <w:szCs w:val="20"/>
        </w:rPr>
        <w:t>-</w:t>
      </w:r>
      <w:r w:rsidRPr="00645FC9">
        <w:rPr>
          <w:rFonts w:cs="Segoe UI"/>
          <w:szCs w:val="20"/>
        </w:rPr>
        <w:t>market opportunities).</w:t>
      </w:r>
    </w:p>
    <w:p w14:paraId="54865EC9" w14:textId="0E2B1799" w:rsidR="009013AC" w:rsidRPr="001B508C" w:rsidRDefault="0094433E" w:rsidP="008C10BB">
      <w:pPr>
        <w:spacing w:after="120"/>
        <w:rPr>
          <w:rFonts w:cs="Segoe UI"/>
        </w:rPr>
      </w:pPr>
      <w:r>
        <w:rPr>
          <w:rFonts w:cs="Segoe UI"/>
        </w:rPr>
        <w:t>I</w:t>
      </w:r>
      <w:r w:rsidRPr="36E75680">
        <w:rPr>
          <w:rFonts w:cs="Segoe UI"/>
        </w:rPr>
        <w:t xml:space="preserve">nput and evidence from stakeholders are presented by members of the HTA </w:t>
      </w:r>
      <w:r w:rsidR="0084296E" w:rsidRPr="49BB3A10">
        <w:rPr>
          <w:rFonts w:cs="Segoe UI"/>
        </w:rPr>
        <w:t xml:space="preserve">Consumer Consultative Committee </w:t>
      </w:r>
      <w:r w:rsidR="0084296E">
        <w:rPr>
          <w:rFonts w:cs="Segoe UI"/>
        </w:rPr>
        <w:t>(</w:t>
      </w:r>
      <w:r w:rsidRPr="36E75680">
        <w:rPr>
          <w:rFonts w:cs="Segoe UI"/>
        </w:rPr>
        <w:t>CCC</w:t>
      </w:r>
      <w:r w:rsidR="0084296E">
        <w:rPr>
          <w:rFonts w:cs="Segoe UI"/>
        </w:rPr>
        <w:t>)</w:t>
      </w:r>
      <w:r w:rsidRPr="36E75680">
        <w:rPr>
          <w:rFonts w:cs="Segoe UI"/>
        </w:rPr>
        <w:t xml:space="preserve"> as part of advisory committee consideration of submissions.</w:t>
      </w:r>
      <w:r w:rsidR="001B508C">
        <w:rPr>
          <w:rFonts w:cs="Segoe UI"/>
        </w:rPr>
        <w:t xml:space="preserve"> </w:t>
      </w:r>
      <w:r w:rsidR="008335D2">
        <w:rPr>
          <w:rFonts w:cs="Segoe UI"/>
        </w:rPr>
        <w:t xml:space="preserve">As noted in the </w:t>
      </w:r>
      <w:hyperlink r:id="rId124" w:history="1">
        <w:r w:rsidR="0067240C">
          <w:rPr>
            <w:rStyle w:val="Hyperlink"/>
            <w:rFonts w:cs="Segoe UI"/>
          </w:rPr>
          <w:t>Conversations for Change Report</w:t>
        </w:r>
      </w:hyperlink>
      <w:r w:rsidR="0067240C">
        <w:rPr>
          <w:rFonts w:cs="Segoe UI"/>
        </w:rPr>
        <w:t>,</w:t>
      </w:r>
      <w:r w:rsidR="008335D2">
        <w:rPr>
          <w:rFonts w:cs="Segoe UI"/>
        </w:rPr>
        <w:t xml:space="preserve"> </w:t>
      </w:r>
      <w:r>
        <w:rPr>
          <w:rFonts w:cs="Segoe UI"/>
        </w:rPr>
        <w:t>i</w:t>
      </w:r>
      <w:r w:rsidR="00A4769B" w:rsidRPr="49BB3A10">
        <w:rPr>
          <w:rFonts w:cs="Segoe UI"/>
        </w:rPr>
        <w:t>n recent years</w:t>
      </w:r>
      <w:r w:rsidR="006F02F5" w:rsidRPr="49BB3A10">
        <w:rPr>
          <w:rFonts w:cs="Segoe UI"/>
        </w:rPr>
        <w:t>,</w:t>
      </w:r>
      <w:r w:rsidR="00A4769B" w:rsidRPr="49BB3A10">
        <w:rPr>
          <w:rFonts w:cs="Segoe UI"/>
        </w:rPr>
        <w:t xml:space="preserve"> the visibility of patient involvement and consumer representation </w:t>
      </w:r>
      <w:r w:rsidR="00A07BFB">
        <w:rPr>
          <w:rFonts w:cs="Segoe UI"/>
        </w:rPr>
        <w:t xml:space="preserve">in HTA </w:t>
      </w:r>
      <w:r w:rsidR="00A4769B" w:rsidRPr="49BB3A10">
        <w:rPr>
          <w:rFonts w:cs="Segoe UI"/>
        </w:rPr>
        <w:t>has increased. In 2017, the HTA CCC was established</w:t>
      </w:r>
      <w:r w:rsidR="00E54360" w:rsidRPr="49BB3A10">
        <w:rPr>
          <w:rFonts w:cs="Segoe UI"/>
        </w:rPr>
        <w:t xml:space="preserve">, </w:t>
      </w:r>
      <w:r w:rsidR="00A4769B" w:rsidRPr="49BB3A10">
        <w:rPr>
          <w:rFonts w:cs="Segoe UI"/>
        </w:rPr>
        <w:t>followed by the Department</w:t>
      </w:r>
      <w:r w:rsidR="007E0B4A">
        <w:rPr>
          <w:rFonts w:cs="Segoe UI"/>
        </w:rPr>
        <w:t>’</w:t>
      </w:r>
      <w:r w:rsidR="00A4769B" w:rsidRPr="49BB3A10">
        <w:rPr>
          <w:rFonts w:cs="Segoe UI"/>
        </w:rPr>
        <w:t xml:space="preserve">s </w:t>
      </w:r>
      <w:r w:rsidR="00FE1065">
        <w:rPr>
          <w:rFonts w:cs="Segoe UI"/>
        </w:rPr>
        <w:t xml:space="preserve">CEEU </w:t>
      </w:r>
      <w:r w:rsidR="00A4769B" w:rsidRPr="49BB3A10">
        <w:rPr>
          <w:rFonts w:cs="Segoe UI"/>
        </w:rPr>
        <w:t>in 2019.</w:t>
      </w:r>
      <w:r w:rsidR="006D436A">
        <w:rPr>
          <w:rFonts w:cs="Segoe UI"/>
        </w:rPr>
        <w:t xml:space="preserve"> </w:t>
      </w:r>
      <w:r w:rsidR="009E06E4">
        <w:rPr>
          <w:rFonts w:cs="Segoe UI"/>
        </w:rPr>
        <w:t>T</w:t>
      </w:r>
      <w:r w:rsidR="00A4769B" w:rsidRPr="44DEDF48">
        <w:rPr>
          <w:rFonts w:cs="Segoe UI"/>
        </w:rPr>
        <w:t>hese initiatives have improve</w:t>
      </w:r>
      <w:r w:rsidR="0009042F">
        <w:rPr>
          <w:rFonts w:cs="Segoe UI"/>
        </w:rPr>
        <w:t>d</w:t>
      </w:r>
      <w:r w:rsidR="00A4769B" w:rsidRPr="44DEDF48">
        <w:rPr>
          <w:rFonts w:cs="Segoe UI"/>
        </w:rPr>
        <w:t xml:space="preserve"> the ways consumers and patients engage with HTA processes</w:t>
      </w:r>
      <w:r w:rsidR="00E92CBE">
        <w:rPr>
          <w:rFonts w:cs="Segoe UI"/>
        </w:rPr>
        <w:t>.</w:t>
      </w:r>
      <w:r w:rsidR="00F7209F" w:rsidRPr="004B4345">
        <w:rPr>
          <w:rStyle w:val="FootnoteReference"/>
          <w:rFonts w:cs="Segoe UI"/>
        </w:rPr>
        <w:footnoteReference w:id="6"/>
      </w:r>
      <w:r w:rsidR="00A4769B" w:rsidRPr="005014B2">
        <w:rPr>
          <w:rFonts w:cs="Segoe UI"/>
          <w:b/>
        </w:rPr>
        <w:t xml:space="preserve"> </w:t>
      </w:r>
    </w:p>
    <w:p w14:paraId="41EF34AA" w14:textId="12E3FAB1" w:rsidR="009013AC" w:rsidRPr="00E61E42" w:rsidRDefault="009013AC" w:rsidP="008C10BB">
      <w:pPr>
        <w:pStyle w:val="Caption"/>
        <w:keepNext/>
        <w:spacing w:line="259" w:lineRule="auto"/>
        <w:rPr>
          <w:sz w:val="22"/>
          <w:szCs w:val="22"/>
        </w:rPr>
      </w:pPr>
      <w:r w:rsidRPr="00E61E42">
        <w:rPr>
          <w:sz w:val="22"/>
          <w:szCs w:val="22"/>
        </w:rPr>
        <w:lastRenderedPageBreak/>
        <w:t xml:space="preserve">Figure </w:t>
      </w:r>
      <w:r w:rsidR="007649A3">
        <w:rPr>
          <w:sz w:val="22"/>
          <w:szCs w:val="22"/>
        </w:rPr>
        <w:fldChar w:fldCharType="begin"/>
      </w:r>
      <w:r w:rsidR="007649A3">
        <w:rPr>
          <w:sz w:val="22"/>
          <w:szCs w:val="22"/>
        </w:rPr>
        <w:instrText xml:space="preserve"> SEQ Figure \* ARABIC </w:instrText>
      </w:r>
      <w:r w:rsidR="007649A3">
        <w:rPr>
          <w:sz w:val="22"/>
          <w:szCs w:val="22"/>
        </w:rPr>
        <w:fldChar w:fldCharType="separate"/>
      </w:r>
      <w:r w:rsidR="00474ED6">
        <w:rPr>
          <w:noProof/>
          <w:sz w:val="22"/>
          <w:szCs w:val="22"/>
        </w:rPr>
        <w:t>2</w:t>
      </w:r>
      <w:r w:rsidR="007649A3">
        <w:rPr>
          <w:sz w:val="22"/>
          <w:szCs w:val="22"/>
        </w:rPr>
        <w:fldChar w:fldCharType="end"/>
      </w:r>
      <w:r w:rsidRPr="00E61E42">
        <w:rPr>
          <w:sz w:val="22"/>
          <w:szCs w:val="22"/>
        </w:rPr>
        <w:t xml:space="preserve"> Opportunities for consumer consultation in current HTA processes</w:t>
      </w:r>
    </w:p>
    <w:p w14:paraId="3222E469" w14:textId="294B9B02" w:rsidR="00A4769B" w:rsidRDefault="00BE198A" w:rsidP="008C10BB">
      <w:pPr>
        <w:spacing w:after="120"/>
        <w:rPr>
          <w:rFonts w:cs="Segoe UI"/>
        </w:rPr>
      </w:pPr>
      <w:r>
        <w:rPr>
          <w:rFonts w:cs="Segoe UI"/>
          <w:noProof/>
        </w:rPr>
        <w:drawing>
          <wp:inline distT="0" distB="0" distL="0" distR="0" wp14:anchorId="253D8DEF" wp14:editId="1973D3B6">
            <wp:extent cx="5731510" cy="29895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1510" cy="2989580"/>
                    </a:xfrm>
                    <a:prstGeom prst="rect">
                      <a:avLst/>
                    </a:prstGeom>
                    <a:noFill/>
                    <a:ln>
                      <a:noFill/>
                    </a:ln>
                  </pic:spPr>
                </pic:pic>
              </a:graphicData>
            </a:graphic>
          </wp:inline>
        </w:drawing>
      </w:r>
    </w:p>
    <w:p w14:paraId="11EB1750" w14:textId="7EFCECD0" w:rsidR="00077849" w:rsidRDefault="00AB5F23" w:rsidP="008C10BB">
      <w:pPr>
        <w:spacing w:after="120"/>
        <w:rPr>
          <w:rFonts w:cs="Segoe UI"/>
        </w:rPr>
      </w:pPr>
      <w:r>
        <w:rPr>
          <w:rFonts w:cs="Segoe UI"/>
        </w:rPr>
        <w:t xml:space="preserve">The </w:t>
      </w:r>
      <w:r w:rsidR="00972BAD">
        <w:rPr>
          <w:rFonts w:cs="Segoe UI"/>
        </w:rPr>
        <w:t xml:space="preserve">HTA Review </w:t>
      </w:r>
      <w:r>
        <w:rPr>
          <w:rFonts w:cs="Segoe UI"/>
        </w:rPr>
        <w:t xml:space="preserve">draft paper on </w:t>
      </w:r>
      <w:r w:rsidR="00C4769F" w:rsidRPr="00687095">
        <w:rPr>
          <w:rFonts w:cs="Segoe UI"/>
          <w:i/>
        </w:rPr>
        <w:t>International health technology market approval, funding and assessment pathways</w:t>
      </w:r>
      <w:r w:rsidR="00C4769F">
        <w:rPr>
          <w:rFonts w:cs="Segoe UI"/>
        </w:rPr>
        <w:t xml:space="preserve"> (Paper 1)</w:t>
      </w:r>
      <w:r w:rsidR="005D0316">
        <w:rPr>
          <w:rStyle w:val="FootnoteReference"/>
          <w:rFonts w:cs="Segoe UI"/>
        </w:rPr>
        <w:footnoteReference w:id="7"/>
      </w:r>
      <w:r w:rsidR="00C4769F">
        <w:rPr>
          <w:rFonts w:cs="Segoe UI"/>
        </w:rPr>
        <w:t xml:space="preserve"> compares </w:t>
      </w:r>
      <w:hyperlink r:id="rId126" w:anchor="page=100" w:history="1">
        <w:r w:rsidR="00BB6ECF">
          <w:rPr>
            <w:rStyle w:val="Hyperlink"/>
            <w:rFonts w:cs="Segoe UI"/>
          </w:rPr>
          <w:t>stakeholder</w:t>
        </w:r>
        <w:r w:rsidR="007444F6" w:rsidRPr="00032E70">
          <w:rPr>
            <w:rStyle w:val="Hyperlink"/>
            <w:rFonts w:cs="Segoe UI"/>
          </w:rPr>
          <w:t xml:space="preserve"> involvement in the HTA pathways</w:t>
        </w:r>
      </w:hyperlink>
      <w:r w:rsidR="007444F6">
        <w:rPr>
          <w:rFonts w:cs="Segoe UI"/>
        </w:rPr>
        <w:t xml:space="preserve"> </w:t>
      </w:r>
      <w:r w:rsidR="00174BA3">
        <w:rPr>
          <w:rFonts w:cs="Segoe UI"/>
        </w:rPr>
        <w:t xml:space="preserve">across comparable </w:t>
      </w:r>
      <w:r w:rsidR="009A1C4D">
        <w:rPr>
          <w:rFonts w:cs="Segoe UI"/>
        </w:rPr>
        <w:t>countries</w:t>
      </w:r>
      <w:r w:rsidR="00535952">
        <w:rPr>
          <w:rFonts w:cs="Segoe UI"/>
        </w:rPr>
        <w:t xml:space="preserve"> including </w:t>
      </w:r>
      <w:r w:rsidR="000320E4">
        <w:rPr>
          <w:rFonts w:cs="Segoe UI"/>
        </w:rPr>
        <w:t>detailed analysis</w:t>
      </w:r>
      <w:r w:rsidR="00535952">
        <w:rPr>
          <w:rFonts w:cs="Segoe UI"/>
        </w:rPr>
        <w:t xml:space="preserve"> of </w:t>
      </w:r>
      <w:r w:rsidR="008A55C1">
        <w:rPr>
          <w:rFonts w:cs="Segoe UI"/>
        </w:rPr>
        <w:t xml:space="preserve">patient </w:t>
      </w:r>
      <w:hyperlink r:id="rId127" w:anchor="page=107" w:history="1">
        <w:r w:rsidR="008A55C1" w:rsidRPr="00886BCD">
          <w:rPr>
            <w:rStyle w:val="Hyperlink"/>
            <w:rFonts w:cs="Segoe UI"/>
          </w:rPr>
          <w:t>engagement</w:t>
        </w:r>
        <w:r w:rsidR="000320E4" w:rsidRPr="00886BCD">
          <w:rPr>
            <w:rStyle w:val="Hyperlink"/>
            <w:rFonts w:cs="Segoe UI"/>
          </w:rPr>
          <w:t xml:space="preserve"> approaches</w:t>
        </w:r>
        <w:r w:rsidR="008A55C1" w:rsidRPr="00886BCD">
          <w:rPr>
            <w:rStyle w:val="Hyperlink"/>
            <w:rFonts w:cs="Segoe UI"/>
          </w:rPr>
          <w:t xml:space="preserve"> in HTA</w:t>
        </w:r>
      </w:hyperlink>
      <w:r w:rsidR="00E01780">
        <w:rPr>
          <w:rFonts w:cs="Segoe UI"/>
        </w:rPr>
        <w:t xml:space="preserve">. </w:t>
      </w:r>
    </w:p>
    <w:p w14:paraId="47CAD835" w14:textId="56AC7847" w:rsidR="00724C8D" w:rsidRPr="00CF0B9D" w:rsidRDefault="00724C8D" w:rsidP="008C10BB">
      <w:pPr>
        <w:spacing w:after="120"/>
        <w:rPr>
          <w:rFonts w:cs="Segoe UI"/>
        </w:rPr>
      </w:pPr>
      <w:r>
        <w:rPr>
          <w:rFonts w:cs="Segoe UI"/>
        </w:rPr>
        <w:t xml:space="preserve">The </w:t>
      </w:r>
      <w:r w:rsidR="00972BAD">
        <w:rPr>
          <w:rFonts w:cs="Segoe UI"/>
        </w:rPr>
        <w:t xml:space="preserve">HTA Review </w:t>
      </w:r>
      <w:r>
        <w:rPr>
          <w:rFonts w:cs="Segoe UI"/>
        </w:rPr>
        <w:t>draft paper on</w:t>
      </w:r>
      <w:r w:rsidR="0069007D">
        <w:rPr>
          <w:rFonts w:cs="Segoe UI"/>
        </w:rPr>
        <w:t xml:space="preserve"> </w:t>
      </w:r>
      <w:r w:rsidR="0069007D" w:rsidRPr="00687095">
        <w:rPr>
          <w:rFonts w:cs="Segoe UI"/>
          <w:i/>
        </w:rPr>
        <w:t>HTA Methods: Determination of Population,</w:t>
      </w:r>
      <w:r w:rsidR="00916E6D" w:rsidRPr="00687095">
        <w:rPr>
          <w:rFonts w:cs="Segoe UI"/>
          <w:i/>
        </w:rPr>
        <w:t xml:space="preserve"> </w:t>
      </w:r>
      <w:r w:rsidR="0069007D" w:rsidRPr="00687095">
        <w:rPr>
          <w:rFonts w:cs="Segoe UI"/>
          <w:i/>
        </w:rPr>
        <w:t>Intervention, Comparator, and Outcome (PICO</w:t>
      </w:r>
      <w:r w:rsidR="0068258A">
        <w:rPr>
          <w:rFonts w:cs="Segoe UI"/>
          <w: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cs="Segoe UI"/>
          <w:i/>
        </w:rPr>
        <w:fldChar w:fldCharType="end"/>
      </w:r>
      <w:r w:rsidR="0069007D" w:rsidRPr="00687095">
        <w:rPr>
          <w:rFonts w:cs="Segoe UI"/>
          <w:i/>
        </w:rPr>
        <w:t>)</w:t>
      </w:r>
      <w:r w:rsidR="00916E6D">
        <w:rPr>
          <w:rFonts w:cs="Segoe UI"/>
        </w:rPr>
        <w:t xml:space="preserve"> (Paper 3)</w:t>
      </w:r>
      <w:r w:rsidR="00916E6D">
        <w:rPr>
          <w:rStyle w:val="FootnoteReference"/>
          <w:rFonts w:cs="Segoe UI"/>
        </w:rPr>
        <w:footnoteReference w:id="8"/>
      </w:r>
      <w:r w:rsidR="00916E6D">
        <w:rPr>
          <w:rFonts w:cs="Segoe UI"/>
        </w:rPr>
        <w:t xml:space="preserve">, </w:t>
      </w:r>
      <w:hyperlink r:id="rId128" w:anchor="page=36" w:history="1">
        <w:r w:rsidR="00B36349" w:rsidRPr="00287335">
          <w:rPr>
            <w:rStyle w:val="Hyperlink"/>
            <w:rFonts w:cs="Segoe UI"/>
          </w:rPr>
          <w:t>details the approache</w:t>
        </w:r>
        <w:r w:rsidR="00950A4A" w:rsidRPr="00287335">
          <w:rPr>
            <w:rStyle w:val="Hyperlink"/>
            <w:rFonts w:cs="Segoe UI"/>
          </w:rPr>
          <w:t xml:space="preserve">s for </w:t>
        </w:r>
        <w:r w:rsidR="00C7282B">
          <w:rPr>
            <w:rStyle w:val="Hyperlink"/>
            <w:rFonts w:cs="Segoe UI"/>
          </w:rPr>
          <w:t>stakeholder</w:t>
        </w:r>
        <w:r w:rsidR="00950A4A" w:rsidRPr="00287335">
          <w:rPr>
            <w:rStyle w:val="Hyperlink"/>
            <w:rFonts w:cs="Segoe UI"/>
          </w:rPr>
          <w:t xml:space="preserve"> involvement in the development of the PICO</w:t>
        </w:r>
      </w:hyperlink>
      <w:r w:rsidR="00950A4A">
        <w:rPr>
          <w:rFonts w:cs="Segoe UI"/>
        </w:rPr>
        <w:t xml:space="preserve"> </w:t>
      </w:r>
      <w:r w:rsidR="00287335">
        <w:rPr>
          <w:rFonts w:cs="Segoe UI"/>
        </w:rPr>
        <w:t xml:space="preserve">in Australia and comparable </w:t>
      </w:r>
      <w:r w:rsidR="00A14451">
        <w:rPr>
          <w:rFonts w:cs="Segoe UI"/>
        </w:rPr>
        <w:t>countries</w:t>
      </w:r>
      <w:r w:rsidR="00287335">
        <w:rPr>
          <w:rFonts w:cs="Segoe UI"/>
        </w:rPr>
        <w:t>.</w:t>
      </w:r>
      <w:r w:rsidR="005E3508">
        <w:rPr>
          <w:rFonts w:cs="Segoe UI"/>
        </w:rPr>
        <w:t xml:space="preserve"> </w:t>
      </w:r>
      <w:r w:rsidR="00F7201A">
        <w:rPr>
          <w:rFonts w:cs="Segoe UI"/>
        </w:rPr>
        <w:t>(</w:t>
      </w:r>
      <w:r w:rsidR="00942C79">
        <w:rPr>
          <w:rFonts w:cs="Segoe UI"/>
        </w:rPr>
        <w:t xml:space="preserve">Refer to </w:t>
      </w:r>
      <w:r w:rsidR="00506096">
        <w:rPr>
          <w:rFonts w:cs="Segoe UI"/>
        </w:rPr>
        <w:t>section</w:t>
      </w:r>
      <w:r w:rsidR="00506096" w:rsidRPr="00871434">
        <w:rPr>
          <w:rFonts w:cs="Segoe UI"/>
        </w:rPr>
        <w:t>:</w:t>
      </w:r>
      <w:r w:rsidR="00506096" w:rsidRPr="00687095">
        <w:rPr>
          <w:rFonts w:cs="Segoe UI"/>
          <w:i/>
          <w:color w:val="008A96" w:themeColor="accent3"/>
        </w:rPr>
        <w:t xml:space="preserve"> </w:t>
      </w:r>
      <w:r w:rsidR="004277C8" w:rsidRPr="005F2999">
        <w:rPr>
          <w:rFonts w:cs="Segoe UI"/>
          <w:iCs/>
          <w:color w:val="0E6B9A" w:themeColor="accent4" w:themeShade="BF"/>
          <w:u w:val="single"/>
        </w:rPr>
        <w:fldChar w:fldCharType="begin"/>
      </w:r>
      <w:r w:rsidR="004277C8" w:rsidRPr="005F2999">
        <w:rPr>
          <w:rFonts w:cs="Segoe UI"/>
          <w:iCs/>
          <w:color w:val="0E6B9A" w:themeColor="accent4" w:themeShade="BF"/>
          <w:u w:val="single"/>
        </w:rPr>
        <w:instrText xml:space="preserve"> REF _Ref156418377 \h </w:instrText>
      </w:r>
      <w:r w:rsidR="00CF0B9D" w:rsidRPr="005F2999">
        <w:rPr>
          <w:rFonts w:cs="Segoe UI"/>
          <w:iCs/>
          <w:color w:val="0E6B9A" w:themeColor="accent4" w:themeShade="BF"/>
          <w:u w:val="single"/>
        </w:rPr>
        <w:instrText xml:space="preserve"> \* MERGEFORMAT </w:instrText>
      </w:r>
      <w:r w:rsidR="004277C8" w:rsidRPr="005F2999">
        <w:rPr>
          <w:rFonts w:cs="Segoe UI"/>
          <w:iCs/>
          <w:color w:val="0E6B9A" w:themeColor="accent4" w:themeShade="BF"/>
          <w:u w:val="single"/>
        </w:rPr>
      </w:r>
      <w:r w:rsidR="004277C8" w:rsidRPr="005F2999">
        <w:rPr>
          <w:rFonts w:cs="Segoe UI"/>
          <w:iCs/>
          <w:color w:val="0E6B9A" w:themeColor="accent4" w:themeShade="BF"/>
          <w:u w:val="single"/>
        </w:rPr>
        <w:fldChar w:fldCharType="separate"/>
      </w:r>
      <w:r w:rsidR="00474ED6" w:rsidRPr="00474ED6">
        <w:rPr>
          <w:iCs/>
          <w:color w:val="0E6B9A" w:themeColor="accent4" w:themeShade="BF"/>
          <w:u w:val="single"/>
        </w:rPr>
        <w:t>Determination of PICO</w:t>
      </w:r>
      <w:r w:rsidR="00474ED6" w:rsidRPr="00474ED6">
        <w:rPr>
          <w:iCs/>
          <w:color w:val="0E6B9A" w:themeColor="accent4" w:themeShade="BF"/>
          <w:u w:val="single"/>
        </w:rPr>
        <w:fldChar w:fldCharType="begin"/>
      </w:r>
      <w:r w:rsidR="00474ED6" w:rsidRPr="00474ED6">
        <w:rPr>
          <w:iCs/>
          <w:color w:val="0E6B9A" w:themeColor="accent4" w:themeShade="BF"/>
          <w:u w:val="single"/>
        </w:rPr>
        <w:instrText xml:space="preserve"> XE "PICO" \b </w:instrText>
      </w:r>
      <w:r w:rsidR="00474ED6" w:rsidRPr="00474ED6">
        <w:rPr>
          <w:iCs/>
          <w:color w:val="0E6B9A" w:themeColor="accent4" w:themeShade="BF"/>
          <w:u w:val="single"/>
        </w:rPr>
        <w:fldChar w:fldCharType="end"/>
      </w:r>
      <w:r w:rsidR="00474ED6" w:rsidRPr="00474ED6">
        <w:rPr>
          <w:iCs/>
          <w:color w:val="0E6B9A" w:themeColor="accent4" w:themeShade="BF"/>
          <w:u w:val="single"/>
        </w:rPr>
        <w:t xml:space="preserve">: pre-assessment processes </w:t>
      </w:r>
      <w:r w:rsidR="00474ED6" w:rsidRPr="00474ED6">
        <w:rPr>
          <w:rFonts w:eastAsia="Times New Roman" w:cs="Segoe UI"/>
          <w:iCs/>
          <w:color w:val="0E6B9A" w:themeColor="accent4" w:themeShade="BF"/>
          <w:sz w:val="20"/>
          <w:szCs w:val="20"/>
          <w:u w:val="single"/>
          <w:lang w:eastAsia="en-AU"/>
        </w:rPr>
        <w:t>for selection of</w:t>
      </w:r>
      <w:r w:rsidR="00474ED6" w:rsidRPr="00474ED6">
        <w:rPr>
          <w:iCs/>
          <w:color w:val="0E6B9A" w:themeColor="accent4" w:themeShade="BF"/>
          <w:u w:val="single"/>
        </w:rPr>
        <w:t xml:space="preserve"> comparator</w:t>
      </w:r>
      <w:r w:rsidR="00474ED6" w:rsidRPr="00474ED6">
        <w:rPr>
          <w:iCs/>
          <w:color w:val="0E6B9A" w:themeColor="accent4" w:themeShade="BF"/>
          <w:u w:val="single"/>
        </w:rPr>
        <w:fldChar w:fldCharType="begin"/>
      </w:r>
      <w:r w:rsidR="00474ED6" w:rsidRPr="00474ED6">
        <w:rPr>
          <w:iCs/>
          <w:color w:val="0E6B9A" w:themeColor="accent4" w:themeShade="BF"/>
          <w:u w:val="single"/>
        </w:rPr>
        <w:instrText xml:space="preserve"> XE "selection of comparator" \b </w:instrText>
      </w:r>
      <w:r w:rsidR="00474ED6" w:rsidRPr="00474ED6">
        <w:rPr>
          <w:iCs/>
          <w:color w:val="0E6B9A" w:themeColor="accent4" w:themeShade="BF"/>
          <w:u w:val="single"/>
        </w:rPr>
        <w:fldChar w:fldCharType="end"/>
      </w:r>
      <w:r w:rsidR="00474ED6" w:rsidRPr="00474ED6">
        <w:rPr>
          <w:iCs/>
          <w:color w:val="0E6B9A" w:themeColor="accent4" w:themeShade="BF"/>
          <w:u w:val="single"/>
        </w:rPr>
        <w:t>(s), and identifying the</w:t>
      </w:r>
      <w:r w:rsidR="00474ED6" w:rsidRPr="00A204D5">
        <w:t xml:space="preserve"> treatment population and outcomes of interest</w:t>
      </w:r>
      <w:r w:rsidR="004277C8" w:rsidRPr="005F2999">
        <w:rPr>
          <w:rFonts w:cs="Segoe UI"/>
          <w:iCs/>
          <w:color w:val="0E6B9A" w:themeColor="accent4" w:themeShade="BF"/>
          <w:u w:val="single"/>
        </w:rPr>
        <w:fldChar w:fldCharType="end"/>
      </w:r>
      <w:r w:rsidR="00CF0B9D">
        <w:rPr>
          <w:rFonts w:cs="Segoe UI"/>
          <w:i/>
          <w:iCs/>
        </w:rPr>
        <w:t xml:space="preserve"> </w:t>
      </w:r>
      <w:r w:rsidR="00CF0B9D">
        <w:rPr>
          <w:rFonts w:cs="Segoe UI"/>
        </w:rPr>
        <w:t>for further information</w:t>
      </w:r>
      <w:r w:rsidR="00506096">
        <w:rPr>
          <w:rFonts w:cs="Segoe UI"/>
        </w:rPr>
        <w:t xml:space="preserve"> </w:t>
      </w:r>
      <w:r w:rsidR="007B20A5">
        <w:rPr>
          <w:rFonts w:cs="Segoe UI"/>
        </w:rPr>
        <w:t>relating to the PICO</w:t>
      </w:r>
      <w:r w:rsidR="00F7201A">
        <w:rPr>
          <w:rFonts w:cs="Segoe UI"/>
        </w:rPr>
        <w:t>)</w:t>
      </w:r>
      <w:r w:rsidR="007B20A5">
        <w:rPr>
          <w:rFonts w:cs="Segoe UI"/>
        </w:rPr>
        <w:t xml:space="preserve">. </w:t>
      </w:r>
    </w:p>
    <w:p w14:paraId="11BAE99E" w14:textId="1C0514C7" w:rsidR="00F80FBF" w:rsidRPr="006647C5" w:rsidRDefault="00F80FBF" w:rsidP="00DF557A">
      <w:pPr>
        <w:pStyle w:val="Heading3"/>
      </w:pPr>
      <w:bookmarkStart w:id="108" w:name="_Toc157029058"/>
      <w:r w:rsidRPr="006647C5">
        <w:t>What we heard from stakeholders</w:t>
      </w:r>
      <w:bookmarkEnd w:id="108"/>
      <w:r w:rsidRPr="006647C5">
        <w:t xml:space="preserve"> </w:t>
      </w:r>
    </w:p>
    <w:p w14:paraId="39BBA507" w14:textId="63EBC80E" w:rsidR="00343180" w:rsidRPr="0055766E" w:rsidRDefault="00343180" w:rsidP="00EF2ADD">
      <w:pPr>
        <w:ind w:right="662"/>
        <w:rPr>
          <w:b/>
          <w:bCs/>
          <w:i/>
          <w:iCs/>
        </w:rPr>
      </w:pPr>
      <w:r w:rsidRPr="0055766E">
        <w:rPr>
          <w:b/>
          <w:bCs/>
          <w:i/>
          <w:iCs/>
        </w:rPr>
        <w:t>Consumers want to be partners. Being ‘equal partners’ with other stakeholders in HTA processes is the main aspirational ‘end goal’ for consumers.</w:t>
      </w:r>
      <w:r w:rsidR="00BF2D98">
        <w:rPr>
          <w:rStyle w:val="FootnoteReference"/>
          <w:b/>
          <w:bCs/>
          <w:i/>
          <w:iCs/>
        </w:rPr>
        <w:footnoteReference w:id="9"/>
      </w:r>
    </w:p>
    <w:p w14:paraId="198612DC" w14:textId="37F7D538" w:rsidR="00471B93" w:rsidRDefault="00E830A5" w:rsidP="0054755B">
      <w:r>
        <w:lastRenderedPageBreak/>
        <w:t>Throughout Consultation 1</w:t>
      </w:r>
      <w:r w:rsidR="00FE1065">
        <w:t>,</w:t>
      </w:r>
      <w:r>
        <w:t xml:space="preserve"> </w:t>
      </w:r>
      <w:r w:rsidR="00765A32">
        <w:t xml:space="preserve">many stakeholders </w:t>
      </w:r>
      <w:r w:rsidR="003B0957">
        <w:t>cited</w:t>
      </w:r>
      <w:r w:rsidR="00765A32">
        <w:t xml:space="preserve"> the CEEU and CCC</w:t>
      </w:r>
      <w:r w:rsidR="00D05A13">
        <w:t xml:space="preserve"> </w:t>
      </w:r>
      <w:r w:rsidR="00344E3F">
        <w:t xml:space="preserve">as </w:t>
      </w:r>
      <w:r w:rsidR="00471B93">
        <w:t xml:space="preserve">elements of the current system that are working </w:t>
      </w:r>
      <w:r w:rsidR="002B1CA5">
        <w:t>effectively (</w:t>
      </w:r>
      <w:hyperlink r:id="rId129" w:anchor="page=16" w:history="1">
        <w:r w:rsidR="002B1CA5" w:rsidRPr="002B1CA5">
          <w:rPr>
            <w:rStyle w:val="Hyperlink"/>
          </w:rPr>
          <w:t>Ref</w:t>
        </w:r>
        <w:r w:rsidR="005F2999">
          <w:rPr>
            <w:rStyle w:val="Hyperlink"/>
          </w:rPr>
          <w:t>er to the HTA Review</w:t>
        </w:r>
        <w:r w:rsidR="002B1CA5" w:rsidRPr="002B1CA5">
          <w:rPr>
            <w:rStyle w:val="Hyperlink"/>
          </w:rPr>
          <w:t xml:space="preserve"> Consultation 1 Report).</w:t>
        </w:r>
      </w:hyperlink>
      <w:r w:rsidR="002B1CA5">
        <w:t xml:space="preserve"> </w:t>
      </w:r>
    </w:p>
    <w:p w14:paraId="232C264B" w14:textId="4C4F6C29" w:rsidR="00443050" w:rsidRDefault="00471B93" w:rsidP="0054755B">
      <w:r>
        <w:t>We</w:t>
      </w:r>
      <w:r w:rsidR="00F454EC">
        <w:t xml:space="preserve"> heard that stakeholders</w:t>
      </w:r>
      <w:r w:rsidR="0054755B">
        <w:t xml:space="preserve"> support</w:t>
      </w:r>
      <w:r w:rsidR="00CB5A66">
        <w:t>ed</w:t>
      </w:r>
      <w:r w:rsidR="0054755B">
        <w:t xml:space="preserve"> systems that allowed consumers</w:t>
      </w:r>
      <w:r w:rsidR="00CB5A66">
        <w:t xml:space="preserve">, </w:t>
      </w:r>
      <w:proofErr w:type="gramStart"/>
      <w:r w:rsidR="00CB5A66">
        <w:t>patients</w:t>
      </w:r>
      <w:proofErr w:type="gramEnd"/>
      <w:r w:rsidR="00CB5A66">
        <w:t xml:space="preserve"> and clinicians</w:t>
      </w:r>
      <w:r w:rsidR="0054755B">
        <w:t xml:space="preserve"> to make submissions to advisory committees in relation to applications</w:t>
      </w:r>
      <w:r w:rsidR="0031465E">
        <w:t xml:space="preserve"> and </w:t>
      </w:r>
      <w:r w:rsidR="00047AEE">
        <w:t>acknowledged</w:t>
      </w:r>
      <w:r w:rsidR="0031465E">
        <w:t xml:space="preserve"> that these were welcomed by advisory committees. </w:t>
      </w:r>
    </w:p>
    <w:p w14:paraId="03FD2DDA" w14:textId="5C63C1F6" w:rsidR="0054755B" w:rsidRDefault="00B21AD8" w:rsidP="0054755B">
      <w:r>
        <w:t>Many stakeholders also felt it was unclear how submissions from consumers are used and what impact they have on the outcome of the application.</w:t>
      </w:r>
      <w:r w:rsidR="00C74DFC">
        <w:t xml:space="preserve"> Stakeholders were concerned that there is no feedback directly to patient organisations about their submission and that submissions from consumers were not published. </w:t>
      </w:r>
    </w:p>
    <w:p w14:paraId="4A2911E0" w14:textId="07E9E5C1" w:rsidR="00964D70" w:rsidRDefault="001B042B" w:rsidP="0054755B">
      <w:r>
        <w:t xml:space="preserve">We also heard from organisations </w:t>
      </w:r>
      <w:r w:rsidR="00137AE6">
        <w:t xml:space="preserve">representing patients and consumers that they found it difficult to prepare </w:t>
      </w:r>
      <w:r w:rsidR="00176F5B">
        <w:t xml:space="preserve">submissions due </w:t>
      </w:r>
      <w:r w:rsidR="00FE2DE0">
        <w:t xml:space="preserve">to </w:t>
      </w:r>
      <w:r w:rsidR="00126F5E">
        <w:t>there being</w:t>
      </w:r>
      <w:r w:rsidR="00044242">
        <w:t xml:space="preserve"> </w:t>
      </w:r>
      <w:r w:rsidR="00176F5B">
        <w:t xml:space="preserve">insufficient information </w:t>
      </w:r>
      <w:r w:rsidR="00A86660">
        <w:t xml:space="preserve">regarding the submission available on the </w:t>
      </w:r>
      <w:r w:rsidR="00176F5B">
        <w:t>agenda</w:t>
      </w:r>
      <w:r w:rsidR="00A711B7">
        <w:t xml:space="preserve"> (particularly for PBAC submissions)</w:t>
      </w:r>
      <w:r w:rsidR="00176F5B">
        <w:t xml:space="preserve">. </w:t>
      </w:r>
    </w:p>
    <w:p w14:paraId="7BF17200" w14:textId="68A5CA9A" w:rsidR="00AD0F2D" w:rsidRDefault="00E830A5" w:rsidP="0054755B">
      <w:r>
        <w:t xml:space="preserve">The </w:t>
      </w:r>
      <w:r w:rsidR="00772CB8">
        <w:t>s</w:t>
      </w:r>
      <w:r w:rsidR="00AD0F2D">
        <w:t xml:space="preserve">takeholders also felt that </w:t>
      </w:r>
      <w:r w:rsidR="00916CAC">
        <w:t>engagement with patients and consumers was not occurring early enough</w:t>
      </w:r>
      <w:r w:rsidR="00492BB2">
        <w:t>,</w:t>
      </w:r>
      <w:r w:rsidR="00D476FE">
        <w:t xml:space="preserve"> both in the design of clinical trials </w:t>
      </w:r>
      <w:r w:rsidR="002F3309">
        <w:t>funded by health technology companies and in the HTA process.</w:t>
      </w:r>
      <w:r w:rsidR="00916CAC">
        <w:t xml:space="preserve"> </w:t>
      </w:r>
      <w:r w:rsidR="001D73D2">
        <w:t>Consumer and patient representatives</w:t>
      </w:r>
      <w:r w:rsidR="002F3309">
        <w:t xml:space="preserve"> expressed that</w:t>
      </w:r>
      <w:r w:rsidR="00794F18">
        <w:t xml:space="preserve"> </w:t>
      </w:r>
      <w:r w:rsidR="0000676E">
        <w:t xml:space="preserve">industry and HTA bodies should be engaging sooner to </w:t>
      </w:r>
      <w:r w:rsidR="00C176D5">
        <w:t xml:space="preserve">enable them to </w:t>
      </w:r>
      <w:r w:rsidR="00B65405">
        <w:t>help</w:t>
      </w:r>
      <w:r w:rsidR="009D1318">
        <w:t xml:space="preserve"> identify priorities and </w:t>
      </w:r>
      <w:r w:rsidR="00B65405">
        <w:t>enable</w:t>
      </w:r>
      <w:r w:rsidR="009D1318">
        <w:t xml:space="preserve"> greater understanding of lived experience. </w:t>
      </w:r>
    </w:p>
    <w:p w14:paraId="60887B51" w14:textId="77777777" w:rsidR="00964FBA" w:rsidRDefault="00890F84" w:rsidP="009D14F6">
      <w:pPr>
        <w:pStyle w:val="Heading3"/>
        <w:rPr>
          <w:rStyle w:val="Heading3Char"/>
          <w:rFonts w:cs="Times New Roman"/>
          <w:color w:val="auto"/>
          <w:sz w:val="24"/>
          <w:szCs w:val="24"/>
        </w:rPr>
      </w:pPr>
      <w:bookmarkStart w:id="109" w:name="_Toc157029059"/>
      <w:r w:rsidRPr="00DF557A">
        <w:rPr>
          <w:rStyle w:val="Heading3Char"/>
        </w:rPr>
        <w:t>Issues</w:t>
      </w:r>
      <w:bookmarkEnd w:id="109"/>
    </w:p>
    <w:p w14:paraId="53C1726E" w14:textId="1A3ACF6B" w:rsidR="00E7068B" w:rsidRDefault="00C43CAF" w:rsidP="00890F84">
      <w:r>
        <w:t xml:space="preserve">The involvement of </w:t>
      </w:r>
      <w:r w:rsidR="00C577F7">
        <w:t xml:space="preserve">consumers and </w:t>
      </w:r>
      <w:r w:rsidR="008019AD">
        <w:t>clinicians</w:t>
      </w:r>
      <w:r w:rsidR="00EC3F71">
        <w:t xml:space="preserve"> </w:t>
      </w:r>
      <w:r w:rsidR="00EF4D1B">
        <w:t xml:space="preserve">earlier and more consistently and formally throughout the HTA pathway would </w:t>
      </w:r>
      <w:r w:rsidR="00CB5620">
        <w:t>improve</w:t>
      </w:r>
      <w:r w:rsidR="00B0292C">
        <w:t xml:space="preserve"> the performance and person</w:t>
      </w:r>
      <w:r w:rsidR="004921B3">
        <w:t>-</w:t>
      </w:r>
      <w:r w:rsidR="00B0292C">
        <w:t xml:space="preserve">centeredness of the </w:t>
      </w:r>
      <w:r w:rsidR="002D35BB">
        <w:t xml:space="preserve">HTA system. </w:t>
      </w:r>
      <w:r w:rsidR="005F2861">
        <w:t>When stakeholders</w:t>
      </w:r>
      <w:r w:rsidR="00742664">
        <w:t xml:space="preserve"> (</w:t>
      </w:r>
      <w:proofErr w:type="gramStart"/>
      <w:r w:rsidR="00031FAB">
        <w:t>e.g.</w:t>
      </w:r>
      <w:proofErr w:type="gramEnd"/>
      <w:r w:rsidR="00031FAB">
        <w:t xml:space="preserve"> </w:t>
      </w:r>
      <w:r w:rsidR="005F2861">
        <w:t>consumers and clinicians</w:t>
      </w:r>
      <w:r w:rsidR="00742664">
        <w:t>)</w:t>
      </w:r>
      <w:r w:rsidR="005F2861">
        <w:t xml:space="preserve"> are only engaged from the stage of a HTA submission lodgement it can result in implementation challenges not being </w:t>
      </w:r>
      <w:r w:rsidR="00F20215">
        <w:t xml:space="preserve">identified </w:t>
      </w:r>
      <w:r w:rsidR="00225597">
        <w:t xml:space="preserve">early which can delay access. Further it can result in the submission missing outcomes of importance to consumers, or </w:t>
      </w:r>
      <w:r w:rsidR="00E7068B">
        <w:t xml:space="preserve">in some cases indications for some sub-groups. </w:t>
      </w:r>
    </w:p>
    <w:p w14:paraId="4DCB2930" w14:textId="3C6DB589" w:rsidR="00253831" w:rsidRDefault="00E7068B" w:rsidP="00890F84">
      <w:r>
        <w:t xml:space="preserve">The quality of the information provided by consumers, </w:t>
      </w:r>
      <w:proofErr w:type="gramStart"/>
      <w:r>
        <w:t>clinicians</w:t>
      </w:r>
      <w:proofErr w:type="gramEnd"/>
      <w:r>
        <w:t xml:space="preserve"> and other stakeholders to support submissions could be improved if stakeholders were better informed on what information </w:t>
      </w:r>
      <w:r w:rsidR="00960520">
        <w:t xml:space="preserve">would be </w:t>
      </w:r>
      <w:r>
        <w:t xml:space="preserve">most useful to the HTA Committee and how that information </w:t>
      </w:r>
      <w:r w:rsidR="00F204E5">
        <w:t>could be</w:t>
      </w:r>
      <w:r w:rsidR="00766D77">
        <w:t xml:space="preserve"> best presented. Currently</w:t>
      </w:r>
      <w:r w:rsidR="00061CBA">
        <w:t xml:space="preserve">, while the information is contained in the public summary documents released after the HTA Committee </w:t>
      </w:r>
      <w:r w:rsidR="00EF3912">
        <w:t xml:space="preserve">has </w:t>
      </w:r>
      <w:proofErr w:type="gramStart"/>
      <w:r w:rsidR="00EF3912">
        <w:t xml:space="preserve">made a </w:t>
      </w:r>
      <w:r w:rsidR="00061CBA">
        <w:t>decision</w:t>
      </w:r>
      <w:proofErr w:type="gramEnd"/>
      <w:r w:rsidR="00061CBA">
        <w:t>,</w:t>
      </w:r>
      <w:r w:rsidR="00766D77">
        <w:t xml:space="preserve"> there is a lack of formalised feedback </w:t>
      </w:r>
      <w:r w:rsidR="007C3F75">
        <w:t>regarding</w:t>
      </w:r>
      <w:r w:rsidR="00766D77">
        <w:t xml:space="preserve"> how stakeholder submissions </w:t>
      </w:r>
      <w:r w:rsidR="00061CBA">
        <w:t xml:space="preserve">contributed to the HTA </w:t>
      </w:r>
      <w:r w:rsidR="00960520">
        <w:t>d</w:t>
      </w:r>
      <w:r w:rsidR="00061CBA">
        <w:t xml:space="preserve">ecision in a format that is easily understood by stakeholders broadly. While the </w:t>
      </w:r>
      <w:r w:rsidR="00FC4637">
        <w:t>CCC</w:t>
      </w:r>
      <w:r w:rsidR="00061CBA">
        <w:t xml:space="preserve"> does </w:t>
      </w:r>
      <w:r w:rsidR="008335D8">
        <w:t xml:space="preserve">perform this process, </w:t>
      </w:r>
      <w:r w:rsidR="001C71CC">
        <w:t>it has</w:t>
      </w:r>
      <w:r w:rsidR="008335D8">
        <w:t xml:space="preserve"> limited resourcing</w:t>
      </w:r>
      <w:r w:rsidR="00B651A3">
        <w:t>,</w:t>
      </w:r>
      <w:r w:rsidR="008335D8">
        <w:t xml:space="preserve"> and this is </w:t>
      </w:r>
      <w:r w:rsidR="00187A63">
        <w:t>not done as a standard</w:t>
      </w:r>
      <w:r w:rsidR="00F740CC">
        <w:t xml:space="preserve"> course of action. </w:t>
      </w:r>
    </w:p>
    <w:p w14:paraId="3F5D5398" w14:textId="7C3CB52C" w:rsidR="00966CA8" w:rsidRDefault="00F80FBF" w:rsidP="00687095">
      <w:pPr>
        <w:pStyle w:val="Heading3"/>
      </w:pPr>
      <w:bookmarkStart w:id="110" w:name="_Toc157029060"/>
      <w:r w:rsidRPr="006647C5">
        <w:lastRenderedPageBreak/>
        <w:t xml:space="preserve">Options to address identified </w:t>
      </w:r>
      <w:proofErr w:type="gramStart"/>
      <w:r w:rsidRPr="006647C5">
        <w:t>issues</w:t>
      </w:r>
      <w:bookmarkEnd w:id="110"/>
      <w:proofErr w:type="gramEnd"/>
    </w:p>
    <w:tbl>
      <w:tblPr>
        <w:tblStyle w:val="TableGrid"/>
        <w:tblpPr w:leftFromText="180" w:rightFromText="180" w:vertAnchor="text" w:tblpY="98"/>
        <w:tblW w:w="0" w:type="auto"/>
        <w:tblLook w:val="04A0" w:firstRow="1" w:lastRow="0" w:firstColumn="1" w:lastColumn="0" w:noHBand="0" w:noVBand="1"/>
      </w:tblPr>
      <w:tblGrid>
        <w:gridCol w:w="9016"/>
      </w:tblGrid>
      <w:tr w:rsidR="008A5859" w14:paraId="3F1CD021" w14:textId="77777777" w:rsidTr="00C01791">
        <w:tc>
          <w:tcPr>
            <w:tcW w:w="9016" w:type="dxa"/>
            <w:tcBorders>
              <w:top w:val="single" w:sz="18" w:space="0" w:color="ACC02A" w:themeColor="accent5"/>
              <w:left w:val="nil"/>
              <w:bottom w:val="nil"/>
              <w:right w:val="nil"/>
            </w:tcBorders>
            <w:shd w:val="clear" w:color="auto" w:fill="F2F2F2" w:themeFill="background1" w:themeFillShade="F2"/>
          </w:tcPr>
          <w:p w14:paraId="0997EDC3" w14:textId="77777777" w:rsidR="008A5859" w:rsidRPr="00E61E42" w:rsidRDefault="008A5859" w:rsidP="008A5859">
            <w:pPr>
              <w:spacing w:before="160" w:after="160" w:line="259" w:lineRule="auto"/>
              <w:rPr>
                <w:b/>
                <w:bCs/>
              </w:rPr>
            </w:pPr>
            <w:r w:rsidRPr="00E61E42">
              <w:rPr>
                <w:b/>
                <w:bCs/>
              </w:rPr>
              <w:t xml:space="preserve">Develop an engagement </w:t>
            </w:r>
            <w:proofErr w:type="gramStart"/>
            <w:r w:rsidRPr="00E61E42">
              <w:rPr>
                <w:b/>
                <w:bCs/>
              </w:rPr>
              <w:t>framework</w:t>
            </w:r>
            <w:proofErr w:type="gramEnd"/>
          </w:p>
          <w:p w14:paraId="2488F522" w14:textId="77777777" w:rsidR="008A5859" w:rsidRPr="00E61E42" w:rsidRDefault="008A5859" w:rsidP="008C10BB">
            <w:pPr>
              <w:spacing w:after="120" w:line="259" w:lineRule="auto"/>
              <w:rPr>
                <w:rFonts w:eastAsia="Times New Roman" w:cs="Segoe UI"/>
                <w:color w:val="222A35"/>
                <w:kern w:val="24"/>
                <w:lang w:eastAsia="en-AU"/>
              </w:rPr>
            </w:pPr>
            <w:r w:rsidRPr="00E61E42">
              <w:rPr>
                <w:rFonts w:eastAsia="Times New Roman" w:cs="Segoe UI"/>
                <w:color w:val="222A35"/>
                <w:kern w:val="24"/>
                <w:lang w:eastAsia="en-AU"/>
              </w:rPr>
              <w:t>Development of an engagement framework which:</w:t>
            </w:r>
          </w:p>
          <w:p w14:paraId="3530E208" w14:textId="34635F57" w:rsidR="008A5859" w:rsidRPr="00E61E42" w:rsidRDefault="008A5859" w:rsidP="008505D7">
            <w:pPr>
              <w:pStyle w:val="ListParagraph"/>
              <w:numPr>
                <w:ilvl w:val="0"/>
                <w:numId w:val="54"/>
              </w:numPr>
              <w:spacing w:line="259" w:lineRule="auto"/>
              <w:rPr>
                <w:lang w:eastAsia="en-AU"/>
              </w:rPr>
            </w:pPr>
            <w:r w:rsidRPr="00E61E42">
              <w:rPr>
                <w:lang w:eastAsia="en-AU"/>
              </w:rPr>
              <w:t>establishes the inclusion of consumers, clinicians and other relevant stakeholders (such as ACCHO representatives) earlier and more consistently throughout the HTA processes including: horizon scanning</w:t>
            </w:r>
            <w:r w:rsidRPr="00E61E42">
              <w:rPr>
                <w:lang w:eastAsia="en-AU"/>
              </w:rPr>
              <w:fldChar w:fldCharType="begin"/>
            </w:r>
            <w:r w:rsidRPr="00E61E42">
              <w:rPr>
                <w:lang w:eastAsia="en-AU"/>
              </w:rPr>
              <w:instrText xml:space="preserve"> XE "horizon scanning" \b </w:instrText>
            </w:r>
            <w:r w:rsidRPr="00E61E42">
              <w:rPr>
                <w:lang w:eastAsia="en-AU"/>
              </w:rPr>
              <w:fldChar w:fldCharType="end"/>
            </w:r>
            <w:r w:rsidRPr="00E61E42">
              <w:rPr>
                <w:lang w:eastAsia="en-AU"/>
              </w:rPr>
              <w:t>, pipeline analysis, early assessment, PICO</w:t>
            </w:r>
            <w:r w:rsidRPr="00E61E42">
              <w:rPr>
                <w:lang w:eastAsia="en-AU"/>
              </w:rPr>
              <w:fldChar w:fldCharType="begin"/>
            </w:r>
            <w:r w:rsidRPr="00E61E42">
              <w:rPr>
                <w:lang w:eastAsia="en-AU"/>
              </w:rPr>
              <w:instrText xml:space="preserve"> XE "PICO" \b </w:instrText>
            </w:r>
            <w:r w:rsidRPr="00E61E42">
              <w:rPr>
                <w:lang w:eastAsia="en-AU"/>
              </w:rPr>
              <w:fldChar w:fldCharType="end"/>
            </w:r>
            <w:r w:rsidRPr="00E61E42">
              <w:rPr>
                <w:lang w:eastAsia="en-AU"/>
              </w:rPr>
              <w:t xml:space="preserve"> scoping workshops or pre-submission meetings to ensure that the PICO and HTA is addressing and including issues outcomes and populations relevant to consumers (for selected therapies), evaluation, appraisal committee, post market reviews, and disinvestment.</w:t>
            </w:r>
          </w:p>
          <w:p w14:paraId="2F5C2E17" w14:textId="634D56C8" w:rsidR="008A5859" w:rsidRPr="00E61E42" w:rsidRDefault="008A5859" w:rsidP="008505D7">
            <w:pPr>
              <w:pStyle w:val="ListParagraph"/>
              <w:numPr>
                <w:ilvl w:val="0"/>
                <w:numId w:val="54"/>
              </w:numPr>
              <w:spacing w:line="259" w:lineRule="auto"/>
              <w:rPr>
                <w:lang w:eastAsia="en-AU"/>
              </w:rPr>
            </w:pPr>
            <w:r w:rsidRPr="00E61E42">
              <w:rPr>
                <w:lang w:eastAsia="en-AU"/>
              </w:rPr>
              <w:t>describes how and why engagement with all stakeholders (with a particular focus on consumers) is used across all HTA processes and how engagement is used to co-design new processes and tools arising from the HTA review.</w:t>
            </w:r>
          </w:p>
          <w:p w14:paraId="7E60F262" w14:textId="76457D1C" w:rsidR="008A5859" w:rsidRPr="00E61E42" w:rsidRDefault="008A5859" w:rsidP="008505D7">
            <w:pPr>
              <w:pStyle w:val="ListParagraph"/>
              <w:numPr>
                <w:ilvl w:val="0"/>
                <w:numId w:val="54"/>
              </w:numPr>
              <w:spacing w:line="259" w:lineRule="auto"/>
              <w:rPr>
                <w:rFonts w:eastAsia="Times New Roman" w:cs="Segoe UI"/>
                <w:color w:val="222A35"/>
                <w:kern w:val="24"/>
                <w:lang w:eastAsia="en-AU"/>
              </w:rPr>
            </w:pPr>
            <w:r w:rsidRPr="00E61E42">
              <w:rPr>
                <w:lang w:eastAsia="en-AU"/>
              </w:rPr>
              <w:t xml:space="preserve">integrates key outcomes of the </w:t>
            </w:r>
            <w:r w:rsidR="0048557F" w:rsidRPr="00445A19">
              <w:t xml:space="preserve">House of Representatives Standing Committee Inquiry </w:t>
            </w:r>
            <w:r w:rsidR="0048557F">
              <w:t>(</w:t>
            </w:r>
            <w:hyperlink r:id="rId130" w:history="1">
              <w:r w:rsidR="0048557F" w:rsidRPr="0048557F">
                <w:rPr>
                  <w:rStyle w:val="Hyperlink"/>
                </w:rPr>
                <w:t>the Inquiry</w:t>
              </w:r>
            </w:hyperlink>
            <w:r w:rsidR="0048557F">
              <w:rPr>
                <w:i/>
                <w:iCs/>
              </w:rPr>
              <w:t xml:space="preserve">) </w:t>
            </w:r>
            <w:r w:rsidR="0048557F" w:rsidRPr="00445A19">
              <w:t>report</w:t>
            </w:r>
            <w:r w:rsidR="0048557F">
              <w:t>,</w:t>
            </w:r>
            <w:r w:rsidR="0048557F" w:rsidRPr="00445A19">
              <w:t xml:space="preserve"> </w:t>
            </w:r>
            <w:hyperlink r:id="rId131" w:history="1">
              <w:r w:rsidR="0048557F" w:rsidRPr="00CB6FCA">
                <w:rPr>
                  <w:rStyle w:val="Hyperlink"/>
                </w:rPr>
                <w:t>The New Frontier - Delivering better health for all Australians</w:t>
              </w:r>
            </w:hyperlink>
            <w:r w:rsidR="0048557F">
              <w:rPr>
                <w:i/>
                <w:iCs/>
              </w:rPr>
              <w:t xml:space="preserve"> </w:t>
            </w:r>
            <w:r w:rsidR="0048557F" w:rsidRPr="00CB6FCA">
              <w:t>(The New Frontier report)</w:t>
            </w:r>
            <w:r w:rsidRPr="00E61E42">
              <w:rPr>
                <w:lang w:eastAsia="en-AU"/>
              </w:rPr>
              <w:t xml:space="preserve">, </w:t>
            </w:r>
            <w:hyperlink r:id="rId132" w:history="1">
              <w:r w:rsidRPr="00A3107B">
                <w:rPr>
                  <w:rStyle w:val="Hyperlink"/>
                  <w:lang w:eastAsia="en-AU"/>
                </w:rPr>
                <w:t>Conversations for Change consultation and report</w:t>
              </w:r>
            </w:hyperlink>
            <w:r w:rsidRPr="00E61E42">
              <w:rPr>
                <w:lang w:eastAsia="en-AU"/>
              </w:rPr>
              <w:t xml:space="preserve">, the </w:t>
            </w:r>
            <w:hyperlink r:id="rId133" w:history="1">
              <w:r w:rsidRPr="00A3107B">
                <w:rPr>
                  <w:rStyle w:val="Hyperlink"/>
                  <w:lang w:eastAsia="en-AU"/>
                </w:rPr>
                <w:t>Consumer co-design project</w:t>
              </w:r>
            </w:hyperlink>
            <w:r w:rsidRPr="00E61E42">
              <w:rPr>
                <w:lang w:eastAsia="en-AU"/>
              </w:rPr>
              <w:t>,</w:t>
            </w:r>
            <w:r w:rsidRPr="00E61E42">
              <w:rPr>
                <w:rFonts w:eastAsia="Times New Roman" w:cs="Segoe UI"/>
                <w:color w:val="222A35"/>
                <w:kern w:val="24"/>
                <w:lang w:eastAsia="en-AU"/>
              </w:rPr>
              <w:t xml:space="preserve"> and the HTA Review </w:t>
            </w:r>
            <w:hyperlink r:id="rId134" w:history="1">
              <w:r w:rsidRPr="00A3107B">
                <w:rPr>
                  <w:rStyle w:val="Hyperlink"/>
                  <w:rFonts w:eastAsia="Times New Roman" w:cs="Segoe UI"/>
                  <w:kern w:val="24"/>
                  <w:lang w:eastAsia="en-AU"/>
                </w:rPr>
                <w:t>literature analysis</w:t>
              </w:r>
            </w:hyperlink>
            <w:r w:rsidRPr="00E61E42">
              <w:rPr>
                <w:rFonts w:eastAsia="Times New Roman" w:cs="Segoe UI"/>
                <w:color w:val="222A35"/>
                <w:kern w:val="24"/>
                <w:lang w:eastAsia="en-AU"/>
              </w:rPr>
              <w:t xml:space="preserve"> and </w:t>
            </w:r>
            <w:hyperlink r:id="rId135" w:history="1">
              <w:r w:rsidRPr="00A3107B">
                <w:rPr>
                  <w:rStyle w:val="Hyperlink"/>
                  <w:rFonts w:eastAsia="Times New Roman" w:cs="Segoe UI"/>
                  <w:kern w:val="24"/>
                  <w:lang w:eastAsia="en-AU"/>
                </w:rPr>
                <w:t>consultations</w:t>
              </w:r>
            </w:hyperlink>
            <w:r w:rsidRPr="00E61E42">
              <w:rPr>
                <w:rFonts w:eastAsia="Times New Roman" w:cs="Segoe UI"/>
                <w:color w:val="222A35"/>
                <w:kern w:val="24"/>
                <w:lang w:eastAsia="en-AU"/>
              </w:rPr>
              <w:t>. This would include the following:</w:t>
            </w:r>
          </w:p>
          <w:p w14:paraId="683F851F"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 xml:space="preserve">promoting consumer input into clinical trials and reduce duplication by asking sponsors to report any patient input or use of patient experience data in the research and development of the </w:t>
            </w:r>
            <w:proofErr w:type="gramStart"/>
            <w:r w:rsidRPr="00E61E42">
              <w:rPr>
                <w:rFonts w:eastAsia="Times New Roman" w:cs="Segoe UI"/>
                <w:color w:val="222A35"/>
                <w:kern w:val="24"/>
                <w:lang w:eastAsia="en-AU"/>
              </w:rPr>
              <w:t>product</w:t>
            </w:r>
            <w:proofErr w:type="gramEnd"/>
          </w:p>
          <w:p w14:paraId="67E2E946"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public and consumer participant summary materials evolving from earliest engagement to final outcomes (including information about applications to support more targeted engagement)</w:t>
            </w:r>
          </w:p>
          <w:p w14:paraId="071C1BAB" w14:textId="18105760"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 xml:space="preserve">creating a patient/clinician HTA subcommittee to provide information to the HTA </w:t>
            </w:r>
            <w:proofErr w:type="gramStart"/>
            <w:r w:rsidRPr="00E61E42">
              <w:rPr>
                <w:rFonts w:eastAsia="Times New Roman" w:cs="Segoe UI"/>
                <w:color w:val="222A35"/>
                <w:kern w:val="24"/>
                <w:lang w:eastAsia="en-AU"/>
              </w:rPr>
              <w:t>committee</w:t>
            </w:r>
            <w:proofErr w:type="gramEnd"/>
            <w:r w:rsidRPr="00E61E42">
              <w:rPr>
                <w:rFonts w:eastAsia="Times New Roman" w:cs="Segoe UI"/>
                <w:color w:val="222A35"/>
                <w:kern w:val="24"/>
                <w:lang w:eastAsia="en-AU"/>
              </w:rPr>
              <w:t xml:space="preserve"> </w:t>
            </w:r>
          </w:p>
          <w:p w14:paraId="5C5E1E8D"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 xml:space="preserve">provide information, support, education and training to support more meaningful </w:t>
            </w:r>
            <w:proofErr w:type="gramStart"/>
            <w:r w:rsidRPr="00E61E42">
              <w:rPr>
                <w:rFonts w:eastAsia="Times New Roman" w:cs="Segoe UI"/>
                <w:color w:val="222A35"/>
                <w:kern w:val="24"/>
                <w:lang w:eastAsia="en-AU"/>
              </w:rPr>
              <w:t>input</w:t>
            </w:r>
            <w:proofErr w:type="gramEnd"/>
            <w:r w:rsidRPr="00E61E42">
              <w:rPr>
                <w:rFonts w:eastAsia="Times New Roman" w:cs="Segoe UI"/>
                <w:color w:val="222A35"/>
                <w:kern w:val="24"/>
                <w:lang w:eastAsia="en-AU"/>
              </w:rPr>
              <w:t xml:space="preserve"> </w:t>
            </w:r>
          </w:p>
          <w:p w14:paraId="21C6E03D"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reporting to groups about how their input has been used (such as through a values framework and briefings)</w:t>
            </w:r>
          </w:p>
          <w:p w14:paraId="659555E8"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inviting consumer inputs into how the technology is/will be used in the community (post-market reviews)</w:t>
            </w:r>
          </w:p>
          <w:p w14:paraId="2D0D85A4" w14:textId="2907301E"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adequate resourcing of proactive engagement: Address inequity of engagement by identifying consumer sub</w:t>
            </w:r>
            <w:r>
              <w:rPr>
                <w:rFonts w:eastAsia="Times New Roman" w:cs="Segoe UI"/>
                <w:color w:val="222A35"/>
                <w:kern w:val="24"/>
                <w:lang w:eastAsia="en-AU"/>
              </w:rPr>
              <w:t>-</w:t>
            </w:r>
            <w:r w:rsidRPr="00E61E42">
              <w:rPr>
                <w:rFonts w:eastAsia="Times New Roman" w:cs="Segoe UI"/>
                <w:color w:val="222A35"/>
                <w:kern w:val="24"/>
                <w:lang w:eastAsia="en-AU"/>
              </w:rPr>
              <w:t xml:space="preserve">groups that do not engage with online portal and work with them to co-design appropriate engagement </w:t>
            </w:r>
            <w:proofErr w:type="gramStart"/>
            <w:r w:rsidRPr="00E61E42">
              <w:rPr>
                <w:rFonts w:eastAsia="Times New Roman" w:cs="Segoe UI"/>
                <w:color w:val="222A35"/>
                <w:kern w:val="24"/>
                <w:lang w:eastAsia="en-AU"/>
              </w:rPr>
              <w:t>approaches</w:t>
            </w:r>
            <w:proofErr w:type="gramEnd"/>
          </w:p>
          <w:p w14:paraId="7ACCAEAE"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 xml:space="preserve">clear and transparent guidance about how input should be prepared and is used by </w:t>
            </w:r>
            <w:proofErr w:type="gramStart"/>
            <w:r w:rsidRPr="00E61E42">
              <w:rPr>
                <w:rFonts w:eastAsia="Times New Roman" w:cs="Segoe UI"/>
                <w:color w:val="222A35"/>
                <w:kern w:val="24"/>
                <w:lang w:eastAsia="en-AU"/>
              </w:rPr>
              <w:t>committees</w:t>
            </w:r>
            <w:proofErr w:type="gramEnd"/>
          </w:p>
          <w:p w14:paraId="19563BB4"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lastRenderedPageBreak/>
              <w:t>adoption of a consumer navigator for selected topics</w:t>
            </w:r>
          </w:p>
          <w:p w14:paraId="1C3D30D9" w14:textId="77777777"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consumer participation in HTA committee meetings</w:t>
            </w:r>
          </w:p>
          <w:p w14:paraId="7287C11B" w14:textId="17FE16FD"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process for continuous improvement and review</w:t>
            </w:r>
            <w:r w:rsidR="00B651A3">
              <w:rPr>
                <w:rFonts w:eastAsia="Times New Roman" w:cs="Segoe UI"/>
                <w:color w:val="222A35"/>
                <w:kern w:val="24"/>
                <w:lang w:eastAsia="en-AU"/>
              </w:rPr>
              <w:t>, and</w:t>
            </w:r>
          </w:p>
          <w:p w14:paraId="5D082590" w14:textId="09C4B850" w:rsidR="008A5859" w:rsidRPr="00E61E42" w:rsidRDefault="008A5859" w:rsidP="008D2A3F">
            <w:pPr>
              <w:numPr>
                <w:ilvl w:val="0"/>
                <w:numId w:val="3"/>
              </w:numPr>
              <w:spacing w:line="259" w:lineRule="auto"/>
              <w:ind w:left="737" w:hanging="340"/>
              <w:rPr>
                <w:rFonts w:eastAsia="Times New Roman" w:cs="Segoe UI"/>
                <w:color w:val="222A35"/>
                <w:kern w:val="24"/>
                <w:lang w:eastAsia="en-AU"/>
              </w:rPr>
            </w:pPr>
            <w:r w:rsidRPr="00E61E42">
              <w:rPr>
                <w:rFonts w:eastAsia="Times New Roman" w:cs="Segoe UI"/>
                <w:color w:val="222A35"/>
                <w:kern w:val="24"/>
                <w:lang w:eastAsia="en-AU"/>
              </w:rPr>
              <w:t>approaches for managing confidentiality and conflicts of interest</w:t>
            </w:r>
            <w:r w:rsidR="00B651A3">
              <w:rPr>
                <w:rFonts w:eastAsia="Times New Roman" w:cs="Segoe UI"/>
                <w:color w:val="222A35"/>
                <w:kern w:val="24"/>
                <w:lang w:eastAsia="en-AU"/>
              </w:rPr>
              <w:t>.</w:t>
            </w:r>
          </w:p>
          <w:p w14:paraId="1C95EFCA" w14:textId="77777777" w:rsidR="008A5859" w:rsidRDefault="008A5859" w:rsidP="008C10BB">
            <w:pPr>
              <w:spacing w:line="259" w:lineRule="auto"/>
            </w:pPr>
          </w:p>
        </w:tc>
      </w:tr>
    </w:tbl>
    <w:p w14:paraId="3D37DF94" w14:textId="77777777" w:rsidR="008A5859" w:rsidRPr="008A5859" w:rsidRDefault="008A5859" w:rsidP="008A5859"/>
    <w:tbl>
      <w:tblPr>
        <w:tblStyle w:val="TableGrid"/>
        <w:tblW w:w="0" w:type="auto"/>
        <w:tblLook w:val="04A0" w:firstRow="1" w:lastRow="0" w:firstColumn="1" w:lastColumn="0" w:noHBand="0" w:noVBand="1"/>
      </w:tblPr>
      <w:tblGrid>
        <w:gridCol w:w="9016"/>
      </w:tblGrid>
      <w:tr w:rsidR="00660223" w14:paraId="134CB940" w14:textId="77777777" w:rsidTr="00C01791">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293FE01D" w14:textId="074DDB06" w:rsidR="00982B45" w:rsidRPr="00F210E2" w:rsidRDefault="00982B45" w:rsidP="008A5859">
            <w:pPr>
              <w:spacing w:before="160" w:after="160" w:line="259" w:lineRule="auto"/>
              <w:rPr>
                <w:b/>
                <w:bCs/>
              </w:rPr>
            </w:pPr>
            <w:r w:rsidRPr="00982B45">
              <w:rPr>
                <w:b/>
                <w:bCs/>
              </w:rPr>
              <w:t xml:space="preserve">Strengthen consumer </w:t>
            </w:r>
            <w:proofErr w:type="gramStart"/>
            <w:r w:rsidRPr="00982B45">
              <w:rPr>
                <w:b/>
                <w:bCs/>
              </w:rPr>
              <w:t>evidence</w:t>
            </w:r>
            <w:proofErr w:type="gramEnd"/>
            <w:r w:rsidRPr="00982B45" w:rsidDel="00982B45">
              <w:rPr>
                <w:b/>
                <w:bCs/>
              </w:rPr>
              <w:t xml:space="preserve"> </w:t>
            </w:r>
          </w:p>
          <w:p w14:paraId="133B4093" w14:textId="77777777" w:rsidR="006D6F81" w:rsidRPr="006D6F81" w:rsidRDefault="006D6F81" w:rsidP="008505D7">
            <w:pPr>
              <w:pStyle w:val="ListParagraph"/>
              <w:numPr>
                <w:ilvl w:val="0"/>
                <w:numId w:val="56"/>
              </w:numPr>
              <w:spacing w:line="259" w:lineRule="auto"/>
              <w:ind w:hanging="357"/>
            </w:pPr>
            <w:r w:rsidRPr="006D6F81">
              <w:t>In addition to a consumer engagement</w:t>
            </w:r>
            <w:r w:rsidRPr="006D6F81">
              <w:fldChar w:fldCharType="begin"/>
            </w:r>
            <w:r w:rsidRPr="006D6F81">
              <w:instrText xml:space="preserve"> XE "consumer engagement" \b </w:instrText>
            </w:r>
            <w:r w:rsidRPr="006D6F81">
              <w:fldChar w:fldCharType="end"/>
            </w:r>
            <w:r w:rsidRPr="006D6F81">
              <w:t xml:space="preserve"> framework, strengthen consumer evidence</w:t>
            </w:r>
            <w:r w:rsidRPr="006D6F81">
              <w:fldChar w:fldCharType="begin"/>
            </w:r>
            <w:r w:rsidRPr="006D6F81">
              <w:instrText xml:space="preserve"> XE "consumer evidence" \b </w:instrText>
            </w:r>
            <w:r w:rsidRPr="006D6F81">
              <w:fldChar w:fldCharType="end"/>
            </w:r>
            <w:r w:rsidRPr="006D6F81">
              <w:t xml:space="preserve"> by:</w:t>
            </w:r>
          </w:p>
          <w:p w14:paraId="39101A2D" w14:textId="07618678" w:rsidR="006D6F81" w:rsidRPr="006D6F81" w:rsidRDefault="006D6F81" w:rsidP="008505D7">
            <w:pPr>
              <w:numPr>
                <w:ilvl w:val="0"/>
                <w:numId w:val="55"/>
              </w:numPr>
              <w:spacing w:line="259" w:lineRule="auto"/>
              <w:ind w:hanging="357"/>
            </w:pPr>
            <w:r w:rsidRPr="006D6F81">
              <w:t xml:space="preserve">Adding additional guidance to the </w:t>
            </w:r>
            <w:hyperlink r:id="rId136" w:history="1">
              <w:r w:rsidRPr="00F2784E">
                <w:rPr>
                  <w:rStyle w:val="Hyperlink"/>
                </w:rPr>
                <w:t>PBAC guidelines</w:t>
              </w:r>
            </w:hyperlink>
            <w:r w:rsidRPr="006D6F81">
              <w:t xml:space="preserve"> on the preparation and use of </w:t>
            </w:r>
            <w:r w:rsidR="00BF4DE9">
              <w:t>RWD/</w:t>
            </w:r>
            <w:r w:rsidR="00C4134E">
              <w:t>RWE</w:t>
            </w:r>
            <w:r w:rsidRPr="006D6F81">
              <w:fldChar w:fldCharType="begin"/>
            </w:r>
            <w:r w:rsidRPr="006D6F81">
              <w:instrText xml:space="preserve"> XE "real-world evidence" \b </w:instrText>
            </w:r>
            <w:r w:rsidRPr="006D6F81">
              <w:fldChar w:fldCharType="end"/>
            </w:r>
            <w:r w:rsidRPr="006D6F81">
              <w:t>, consumer evidence</w:t>
            </w:r>
            <w:r w:rsidRPr="006D6F81">
              <w:fldChar w:fldCharType="begin"/>
            </w:r>
            <w:r w:rsidRPr="006D6F81">
              <w:instrText xml:space="preserve"> XE "consumer evidence" \b </w:instrText>
            </w:r>
            <w:r w:rsidRPr="006D6F81">
              <w:fldChar w:fldCharType="end"/>
            </w:r>
            <w:r w:rsidRPr="006D6F81">
              <w:t xml:space="preserve"> (qualitative, PROMs, preferences, PREMs and equity</w:t>
            </w:r>
            <w:r w:rsidRPr="006D6F81">
              <w:fldChar w:fldCharType="begin"/>
            </w:r>
            <w:r w:rsidRPr="006D6F81">
              <w:instrText xml:space="preserve"> XE "equity" </w:instrText>
            </w:r>
            <w:r w:rsidRPr="006D6F81">
              <w:fldChar w:fldCharType="end"/>
            </w:r>
            <w:r w:rsidRPr="006D6F81">
              <w:t xml:space="preserve"> in health (note this is detailed in clinical evaluation recommendations)</w:t>
            </w:r>
          </w:p>
          <w:p w14:paraId="39C8F26F" w14:textId="77777777" w:rsidR="006D6F81" w:rsidRPr="006D6F81" w:rsidRDefault="006D6F81" w:rsidP="008505D7">
            <w:pPr>
              <w:numPr>
                <w:ilvl w:val="0"/>
                <w:numId w:val="55"/>
              </w:numPr>
              <w:spacing w:line="259" w:lineRule="auto"/>
              <w:ind w:hanging="357"/>
            </w:pPr>
            <w:r w:rsidRPr="006D6F81">
              <w:t>Generating a curated list of methodologies that are preferred by decision-makers, including an explanation for consumers (note this is detailed in clinical evaluation recommendations)</w:t>
            </w:r>
          </w:p>
          <w:p w14:paraId="6D096E1A" w14:textId="6CF8D75A" w:rsidR="006D6F81" w:rsidRPr="006D6F81" w:rsidRDefault="006D6F81" w:rsidP="008505D7">
            <w:pPr>
              <w:numPr>
                <w:ilvl w:val="0"/>
                <w:numId w:val="55"/>
              </w:numPr>
              <w:spacing w:line="259" w:lineRule="auto"/>
              <w:ind w:hanging="357"/>
            </w:pPr>
            <w:r w:rsidRPr="006D6F81">
              <w:t xml:space="preserve">Working with a multi-stakeholder advisory group (including consumers) reporting to government, to co-design and oversee the development and implementation of enabling systems, pathways, evaluation, and research to optimise access and use of </w:t>
            </w:r>
            <w:r w:rsidR="002020D3">
              <w:t>RWD</w:t>
            </w:r>
            <w:r w:rsidRPr="006D6F81">
              <w:t xml:space="preserve"> in HTA. (</w:t>
            </w:r>
            <w:proofErr w:type="gramStart"/>
            <w:r w:rsidRPr="006D6F81">
              <w:t>including</w:t>
            </w:r>
            <w:proofErr w:type="gramEnd"/>
            <w:r w:rsidRPr="006D6F81">
              <w:t xml:space="preserve"> involving consumers to determine questions that can be addressed by </w:t>
            </w:r>
            <w:r w:rsidRPr="00C32C08">
              <w:t>RWD/RWE</w:t>
            </w:r>
            <w:r w:rsidRPr="00C32C08">
              <w:fldChar w:fldCharType="begin"/>
            </w:r>
            <w:r w:rsidRPr="00C32C08">
              <w:instrText xml:space="preserve"> XE "real-world </w:instrText>
            </w:r>
            <w:proofErr w:type="spellStart"/>
            <w:r w:rsidRPr="00C32C08">
              <w:instrText>evidence:RWE</w:instrText>
            </w:r>
            <w:proofErr w:type="spellEnd"/>
            <w:r w:rsidRPr="00C32C08">
              <w:instrText xml:space="preserve">" \b </w:instrText>
            </w:r>
            <w:r w:rsidRPr="00C32C08">
              <w:fldChar w:fldCharType="end"/>
            </w:r>
            <w:r w:rsidRPr="006D6F81">
              <w:t xml:space="preserve"> and involving consumers in the generation of data and co-design of communication</w:t>
            </w:r>
            <w:r w:rsidRPr="006D6F81">
              <w:fldChar w:fldCharType="begin"/>
            </w:r>
            <w:r w:rsidRPr="006D6F81">
              <w:instrText xml:space="preserve"> XE "communication" \b </w:instrText>
            </w:r>
            <w:r w:rsidRPr="006D6F81">
              <w:fldChar w:fldCharType="end"/>
            </w:r>
            <w:r w:rsidRPr="006D6F81">
              <w:t xml:space="preserve"> materials)</w:t>
            </w:r>
          </w:p>
          <w:p w14:paraId="1DD1DD39" w14:textId="77777777" w:rsidR="006D6F81" w:rsidRPr="006D6F81" w:rsidRDefault="006D6F81" w:rsidP="008505D7">
            <w:pPr>
              <w:numPr>
                <w:ilvl w:val="0"/>
                <w:numId w:val="55"/>
              </w:numPr>
              <w:spacing w:line="259" w:lineRule="auto"/>
              <w:ind w:hanging="357"/>
            </w:pPr>
            <w:r w:rsidRPr="006D6F81">
              <w:t xml:space="preserve">Establishing mechanism or methods to collate patient perspectives formally and </w:t>
            </w:r>
            <w:proofErr w:type="gramStart"/>
            <w:r w:rsidRPr="006D6F81">
              <w:t>routinely</w:t>
            </w:r>
            <w:proofErr w:type="gramEnd"/>
          </w:p>
          <w:p w14:paraId="17209E43" w14:textId="77777777" w:rsidR="006D6F81" w:rsidRPr="006D6F81" w:rsidRDefault="006D6F81" w:rsidP="008505D7">
            <w:pPr>
              <w:numPr>
                <w:ilvl w:val="0"/>
                <w:numId w:val="55"/>
              </w:numPr>
              <w:spacing w:line="259" w:lineRule="auto"/>
              <w:ind w:hanging="357"/>
            </w:pPr>
            <w:r w:rsidRPr="006D6F81">
              <w:t xml:space="preserve">Provide a feedback loop for consumer inputs to show how and where consumers have been consulted and how HTA committees considered this </w:t>
            </w:r>
            <w:proofErr w:type="gramStart"/>
            <w:r w:rsidRPr="006D6F81">
              <w:t>input</w:t>
            </w:r>
            <w:proofErr w:type="gramEnd"/>
          </w:p>
          <w:p w14:paraId="59643FEA" w14:textId="77777777" w:rsidR="006D6F81" w:rsidRPr="006D6F81" w:rsidRDefault="006D6F81" w:rsidP="008505D7">
            <w:pPr>
              <w:numPr>
                <w:ilvl w:val="0"/>
                <w:numId w:val="55"/>
              </w:numPr>
              <w:spacing w:line="259" w:lineRule="auto"/>
              <w:ind w:hanging="357"/>
            </w:pPr>
            <w:r w:rsidRPr="006D6F81">
              <w:t>Update technical/committee guidelines to include methodological guidance (beyond the use of quantitative data) for committees and subcommittees to ensure there is a clear account of how consumer input is integrated and provide greater transparency</w:t>
            </w:r>
            <w:r w:rsidRPr="006D6F81">
              <w:fldChar w:fldCharType="begin"/>
            </w:r>
            <w:r w:rsidRPr="006D6F81">
              <w:instrText xml:space="preserve"> XE "transparency" </w:instrText>
            </w:r>
            <w:r w:rsidRPr="006D6F81">
              <w:fldChar w:fldCharType="end"/>
            </w:r>
            <w:r w:rsidRPr="006D6F81">
              <w:t xml:space="preserve"> on how committees consider consumer inputs.</w:t>
            </w:r>
          </w:p>
          <w:p w14:paraId="6E251685" w14:textId="77777777" w:rsidR="00E01D02" w:rsidRDefault="006D6F81" w:rsidP="008505D7">
            <w:pPr>
              <w:pStyle w:val="ListParagraph"/>
              <w:numPr>
                <w:ilvl w:val="0"/>
                <w:numId w:val="56"/>
              </w:numPr>
              <w:spacing w:line="259" w:lineRule="auto"/>
              <w:ind w:hanging="357"/>
            </w:pPr>
            <w:r w:rsidRPr="006D6F81">
              <w:t xml:space="preserve">Promote consumer input into clinical trials and reduce duplication by asking sponsors to report any patient input or use of patient experience data in the research and development of the </w:t>
            </w:r>
            <w:proofErr w:type="gramStart"/>
            <w:r w:rsidRPr="006D6F81">
              <w:t>product</w:t>
            </w:r>
            <w:proofErr w:type="gramEnd"/>
          </w:p>
          <w:p w14:paraId="34F3164A" w14:textId="273317CF" w:rsidR="007C590C" w:rsidRDefault="006D6F81" w:rsidP="008505D7">
            <w:pPr>
              <w:pStyle w:val="ListParagraph"/>
              <w:numPr>
                <w:ilvl w:val="0"/>
                <w:numId w:val="56"/>
              </w:numPr>
              <w:spacing w:line="259" w:lineRule="auto"/>
              <w:ind w:hanging="357"/>
            </w:pPr>
            <w:r w:rsidRPr="006D6F81">
              <w:t>Establish a dedicated consumer evidence</w:t>
            </w:r>
            <w:r w:rsidRPr="006D6F81">
              <w:fldChar w:fldCharType="begin"/>
            </w:r>
            <w:r w:rsidRPr="006D6F81">
              <w:instrText xml:space="preserve"> XE "consumer evidence" \b </w:instrText>
            </w:r>
            <w:r w:rsidRPr="006D6F81">
              <w:fldChar w:fldCharType="end"/>
            </w:r>
            <w:r w:rsidRPr="006D6F81">
              <w:t xml:space="preserve"> base and condition/disease repository to develop specific measurement tools, collect </w:t>
            </w:r>
            <w:r w:rsidRPr="006D6F81">
              <w:lastRenderedPageBreak/>
              <w:t>relevant data for future HTA activities, and track patient outcomes and expectations over time</w:t>
            </w:r>
            <w:r w:rsidR="007C590C">
              <w:t>.</w:t>
            </w:r>
          </w:p>
          <w:p w14:paraId="27088F0E" w14:textId="4FCDEB88" w:rsidR="006C7A51" w:rsidRDefault="006C7A51" w:rsidP="008505D7">
            <w:pPr>
              <w:pStyle w:val="ListParagraph"/>
              <w:numPr>
                <w:ilvl w:val="0"/>
                <w:numId w:val="56"/>
              </w:numPr>
              <w:spacing w:line="259" w:lineRule="auto"/>
              <w:ind w:hanging="357"/>
            </w:pPr>
            <w:r w:rsidRPr="006C7A51">
              <w:t>Include consumers in the HTA committee meetings: pilot real-time interaction to gain additional inputs required for deliberations and decision-making either before the committee meeting or during a more open part of the committee meeting (</w:t>
            </w:r>
            <w:proofErr w:type="gramStart"/>
            <w:r w:rsidRPr="006C7A51">
              <w:t>i.e.</w:t>
            </w:r>
            <w:proofErr w:type="gramEnd"/>
            <w:r w:rsidRPr="006C7A51">
              <w:t xml:space="preserve"> prior to committee deliberations)</w:t>
            </w:r>
          </w:p>
          <w:p w14:paraId="51FDDE79" w14:textId="7B1B7597" w:rsidR="00660223" w:rsidRDefault="00660223" w:rsidP="008C10BB">
            <w:pPr>
              <w:spacing w:line="259" w:lineRule="auto"/>
            </w:pPr>
          </w:p>
        </w:tc>
      </w:tr>
    </w:tbl>
    <w:p w14:paraId="6037E79D" w14:textId="765D01D3" w:rsidR="00F80FBF" w:rsidRPr="00657437" w:rsidRDefault="00A204D5" w:rsidP="008C10BB">
      <w:pPr>
        <w:pStyle w:val="Heading2"/>
        <w:spacing w:line="259" w:lineRule="auto"/>
        <w:ind w:left="709"/>
      </w:pPr>
      <w:bookmarkStart w:id="111" w:name="_Toc157029061"/>
      <w:bookmarkStart w:id="112" w:name="_Toc157029486"/>
      <w:bookmarkStart w:id="113" w:name="_Toc157030178"/>
      <w:r w:rsidRPr="00657437">
        <w:lastRenderedPageBreak/>
        <w:t xml:space="preserve">First </w:t>
      </w:r>
      <w:r w:rsidRPr="00D74C63">
        <w:t>Nation</w:t>
      </w:r>
      <w:r w:rsidR="00A61774" w:rsidRPr="00D74C63">
        <w:t>s</w:t>
      </w:r>
      <w:r w:rsidRPr="00D74C63">
        <w:t xml:space="preserve"> </w:t>
      </w:r>
      <w:r w:rsidR="00091C40" w:rsidRPr="00D74C63">
        <w:t>people</w:t>
      </w:r>
      <w:r w:rsidR="00FA5DA8" w:rsidRPr="00D74C63">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CB0779" w:rsidRPr="00D74C63">
        <w:t xml:space="preserve"> </w:t>
      </w:r>
      <w:r w:rsidR="005F3639" w:rsidRPr="00657437">
        <w:t>involvement and consideration in HTA</w:t>
      </w:r>
      <w:bookmarkEnd w:id="111"/>
      <w:bookmarkEnd w:id="112"/>
      <w:bookmarkEnd w:id="113"/>
    </w:p>
    <w:p w14:paraId="02E8F03B" w14:textId="5D967883" w:rsidR="003A59E9" w:rsidRDefault="00C94EA8" w:rsidP="00DF557A">
      <w:pPr>
        <w:pStyle w:val="Heading3"/>
      </w:pPr>
      <w:bookmarkStart w:id="114" w:name="_Toc157029062"/>
      <w:r>
        <w:t>C</w:t>
      </w:r>
      <w:r w:rsidR="003A59E9">
        <w:t>urrent state</w:t>
      </w:r>
      <w:bookmarkEnd w:id="114"/>
    </w:p>
    <w:p w14:paraId="7409C8AA" w14:textId="1592F1A9" w:rsidR="00644657" w:rsidRDefault="00D4619B" w:rsidP="00D44FBB">
      <w:r w:rsidRPr="00875742">
        <w:t>Under current arrangements, process</w:t>
      </w:r>
      <w:r w:rsidR="004501BD" w:rsidRPr="00875742">
        <w:t>es</w:t>
      </w:r>
      <w:r w:rsidRPr="00875742">
        <w:t xml:space="preserve"> for involving </w:t>
      </w:r>
      <w:r w:rsidR="00657437">
        <w:t>First Nation</w:t>
      </w:r>
      <w:r w:rsidR="009E690B">
        <w:t>s</w:t>
      </w:r>
      <w:r w:rsidR="00C86C74" w:rsidRPr="00D74C63">
        <w:fldChar w:fldCharType="begin"/>
      </w:r>
      <w:r w:rsidR="00C86C74" w:rsidRPr="00D74C63">
        <w:instrText xml:space="preserve"> XE "</w:instrText>
      </w:r>
      <w:r w:rsidR="00C86C74" w:rsidRPr="00D74C63">
        <w:rPr>
          <w:rFonts w:eastAsia="Times New Roman" w:cs="Segoe UI"/>
          <w:color w:val="222A35"/>
          <w:kern w:val="24"/>
          <w:lang w:eastAsia="en-AU"/>
        </w:rPr>
        <w:instrText>Aboriginal and Torres Strait Islander</w:instrText>
      </w:r>
      <w:r w:rsidR="00C86C74" w:rsidRPr="00D74C63">
        <w:instrText xml:space="preserve">" \b </w:instrText>
      </w:r>
      <w:r w:rsidR="00C86C74" w:rsidRPr="00D74C63">
        <w:fldChar w:fldCharType="end"/>
      </w:r>
      <w:r w:rsidR="00786A64" w:rsidRPr="00D74C63">
        <w:t xml:space="preserve"> people</w:t>
      </w:r>
      <w:r w:rsidR="00B52282" w:rsidRPr="00D74C63">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4501BD" w:rsidRPr="00875742">
        <w:t xml:space="preserve"> in HTA </w:t>
      </w:r>
      <w:r w:rsidR="0079396D" w:rsidRPr="00875742">
        <w:t xml:space="preserve">processes </w:t>
      </w:r>
      <w:r w:rsidR="004501BD" w:rsidRPr="00875742">
        <w:t>are the same as for othe</w:t>
      </w:r>
      <w:r w:rsidR="000D1339" w:rsidRPr="00875742">
        <w:t xml:space="preserve">r groups impacted by </w:t>
      </w:r>
      <w:r w:rsidR="00113923" w:rsidRPr="00875742">
        <w:t>HTA decisions</w:t>
      </w:r>
      <w:r w:rsidR="004501BD" w:rsidRPr="00875742">
        <w:t xml:space="preserve">. </w:t>
      </w:r>
      <w:r w:rsidR="00F24056" w:rsidRPr="00875742">
        <w:t xml:space="preserve">There is an opportunity </w:t>
      </w:r>
      <w:r w:rsidR="00A965D8" w:rsidRPr="00875742">
        <w:t xml:space="preserve">for stakeholders to make submissions </w:t>
      </w:r>
      <w:r w:rsidR="00925DD6">
        <w:t>for</w:t>
      </w:r>
      <w:r w:rsidR="00A965D8">
        <w:t xml:space="preserve"> </w:t>
      </w:r>
      <w:r w:rsidR="00170944">
        <w:t>fund</w:t>
      </w:r>
      <w:r w:rsidR="00310337">
        <w:t>ing of</w:t>
      </w:r>
      <w:r w:rsidR="00170944" w:rsidRPr="00875742">
        <w:t xml:space="preserve"> new health technologies.</w:t>
      </w:r>
      <w:r w:rsidR="00170944">
        <w:t xml:space="preserve"> </w:t>
      </w:r>
    </w:p>
    <w:p w14:paraId="0D30AD62" w14:textId="46BD09C2" w:rsidR="000A3329" w:rsidRDefault="000A3329" w:rsidP="00D44FBB">
      <w:r>
        <w:t>When making a submission</w:t>
      </w:r>
      <w:r w:rsidR="00A52A1E">
        <w:t>,</w:t>
      </w:r>
      <w:r>
        <w:t xml:space="preserve"> sponsors have the option to include details regarding the impact of the medicine </w:t>
      </w:r>
      <w:r w:rsidR="00286593">
        <w:t>on</w:t>
      </w:r>
      <w:r>
        <w:t xml:space="preserve"> health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00CA5828">
        <w:t>,</w:t>
      </w:r>
      <w:r>
        <w:t xml:space="preserve"> including for </w:t>
      </w:r>
      <w:r w:rsidR="00091C40" w:rsidRPr="009D14F6">
        <w:t>Aboriginal and</w:t>
      </w:r>
      <w:r w:rsidR="00C5078C">
        <w:t>/or</w:t>
      </w:r>
      <w:r w:rsidR="00091C40" w:rsidRPr="009D14F6">
        <w:t xml:space="preserve"> Torres Strait Islander</w:t>
      </w:r>
      <w:r w:rsidR="00C86C74">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fldChar w:fldCharType="end"/>
      </w:r>
      <w:r w:rsidR="00091C40" w:rsidRPr="009D14F6">
        <w:t xml:space="preserve"> peoples</w:t>
      </w:r>
      <w:r w:rsidRPr="006150D8">
        <w:t>.</w:t>
      </w:r>
      <w:r>
        <w:t xml:space="preserve"> </w:t>
      </w:r>
      <w:r w:rsidR="00F84FFE">
        <w:t>However</w:t>
      </w:r>
      <w:r w:rsidR="00CA5828">
        <w:t>,</w:t>
      </w:r>
      <w:r w:rsidR="00F84FFE">
        <w:t xml:space="preserve"> </w:t>
      </w:r>
      <w:r w:rsidR="00DC1769">
        <w:t xml:space="preserve">as the inclusion of this information is at the discretion of the sponsor </w:t>
      </w:r>
      <w:r w:rsidR="00FF0722">
        <w:t>it</w:t>
      </w:r>
      <w:r w:rsidR="00DC1769">
        <w:t xml:space="preserve"> is not often included. </w:t>
      </w:r>
    </w:p>
    <w:p w14:paraId="0C082471" w14:textId="7A382A6E" w:rsidR="00D44FBB" w:rsidRDefault="00C07549" w:rsidP="00D44FBB">
      <w:r>
        <w:t xml:space="preserve">Where a decision about funding arrangements </w:t>
      </w:r>
      <w:r w:rsidR="00144B2C">
        <w:t>is identified as impacting</w:t>
      </w:r>
      <w:r>
        <w:t xml:space="preserve"> </w:t>
      </w:r>
      <w:r w:rsidR="00786A64">
        <w:t>Aboriginal and</w:t>
      </w:r>
      <w:r w:rsidR="007B0280">
        <w:t>/or</w:t>
      </w:r>
      <w:r w:rsidR="00786A64">
        <w:t xml:space="preserve"> Torres Strait Islander</w:t>
      </w:r>
      <w:r w:rsidR="00C86C74">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fldChar w:fldCharType="end"/>
      </w:r>
      <w:r w:rsidR="00786A64">
        <w:t xml:space="preserve"> </w:t>
      </w:r>
      <w:r w:rsidR="000477DD">
        <w:t>peoples</w:t>
      </w:r>
      <w:r w:rsidR="00D15A37">
        <w:t>, advice</w:t>
      </w:r>
      <w:r w:rsidR="0025197E">
        <w:t xml:space="preserve"> </w:t>
      </w:r>
      <w:r w:rsidR="00C5226C">
        <w:t>is</w:t>
      </w:r>
      <w:r w:rsidR="0025197E">
        <w:t xml:space="preserve"> sought</w:t>
      </w:r>
      <w:r w:rsidR="00B92CB5">
        <w:t xml:space="preserve"> from </w:t>
      </w:r>
      <w:r w:rsidR="00581BC9">
        <w:t xml:space="preserve">people </w:t>
      </w:r>
      <w:r w:rsidR="00AE6569">
        <w:t xml:space="preserve">(such as </w:t>
      </w:r>
      <w:r w:rsidR="00A727D9" w:rsidRPr="00E61E42">
        <w:t>Aboriginal and Torres Strait Islander</w:t>
      </w:r>
      <w:r w:rsidR="00A727D9" w:rsidRPr="00E61E42">
        <w:fldChar w:fldCharType="begin"/>
      </w:r>
      <w:r w:rsidR="00A727D9">
        <w:instrText xml:space="preserve"> XE "</w:instrText>
      </w:r>
      <w:r w:rsidR="00A727D9" w:rsidRPr="00E61E42">
        <w:instrText>Aboriginal and Torres Strait Islander</w:instrText>
      </w:r>
      <w:r w:rsidR="00A727D9">
        <w:instrText xml:space="preserve">" \b </w:instrText>
      </w:r>
      <w:r w:rsidR="00A727D9" w:rsidRPr="00E61E42">
        <w:fldChar w:fldCharType="end"/>
      </w:r>
      <w:r w:rsidR="00A727D9" w:rsidRPr="00E61E42">
        <w:t xml:space="preserve"> community-controlled health services </w:t>
      </w:r>
      <w:r w:rsidR="00A727D9">
        <w:t>(</w:t>
      </w:r>
      <w:r w:rsidR="00E73B4E">
        <w:t>ACCH</w:t>
      </w:r>
      <w:r w:rsidR="007D40BB">
        <w:t>S</w:t>
      </w:r>
      <w:r w:rsidR="00A727D9">
        <w:t>)</w:t>
      </w:r>
      <w:r w:rsidR="006E1C23">
        <w:t xml:space="preserve"> represen</w:t>
      </w:r>
      <w:r w:rsidR="00D022C0">
        <w:t>t</w:t>
      </w:r>
      <w:r w:rsidR="006E1C23">
        <w:t>ati</w:t>
      </w:r>
      <w:r w:rsidR="00D022C0">
        <w:t>v</w:t>
      </w:r>
      <w:r w:rsidR="006E1C23">
        <w:t>es</w:t>
      </w:r>
      <w:r w:rsidR="00AE6569">
        <w:t>)</w:t>
      </w:r>
      <w:r w:rsidR="005D0687">
        <w:t xml:space="preserve"> with appropriate knowledge to determine the impact. </w:t>
      </w:r>
    </w:p>
    <w:p w14:paraId="08A260FB" w14:textId="434A0A91" w:rsidR="004A4612" w:rsidRDefault="00701E8D" w:rsidP="00687095">
      <w:r>
        <w:t xml:space="preserve">To mitigate barriers </w:t>
      </w:r>
      <w:r w:rsidR="00D57853">
        <w:t xml:space="preserve">First </w:t>
      </w:r>
      <w:r w:rsidR="00D57663">
        <w:t xml:space="preserve">Nations people </w:t>
      </w:r>
      <w:r w:rsidR="008C3F68">
        <w:t xml:space="preserve">have accessing </w:t>
      </w:r>
      <w:r w:rsidRPr="00701E8D">
        <w:t>PBS pharmaceuticals</w:t>
      </w:r>
      <w:r w:rsidR="00FE5CB3">
        <w:t xml:space="preserve">, </w:t>
      </w:r>
      <w:r>
        <w:t xml:space="preserve">a range of strategies are used including </w:t>
      </w:r>
      <w:r w:rsidR="004A4612">
        <w:t>cost</w:t>
      </w:r>
      <w:r w:rsidR="006955D5">
        <w:t>-</w:t>
      </w:r>
      <w:r w:rsidR="004A4612">
        <w:t>recovery fee</w:t>
      </w:r>
      <w:r w:rsidR="008B162D">
        <w:t xml:space="preserve"> waiver</w:t>
      </w:r>
      <w:r w:rsidR="004A4612">
        <w:t xml:space="preserve">s for </w:t>
      </w:r>
      <w:r w:rsidR="00E507A9">
        <w:t xml:space="preserve">submissions </w:t>
      </w:r>
      <w:r w:rsidR="004A4612">
        <w:t xml:space="preserve">to the PBAC </w:t>
      </w:r>
      <w:r w:rsidR="008B162D">
        <w:t>for</w:t>
      </w:r>
      <w:r w:rsidR="004A4612">
        <w:t xml:space="preserve"> medicines for </w:t>
      </w:r>
      <w:r w:rsidR="00950AB7" w:rsidRPr="009D14F6">
        <w:t>Aboriginal and Torres Strait Islander</w:t>
      </w:r>
      <w:r w:rsidR="00C86C74">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fldChar w:fldCharType="end"/>
      </w:r>
      <w:r w:rsidR="00950AB7" w:rsidRPr="009D14F6">
        <w:t xml:space="preserve"> peoples</w:t>
      </w:r>
      <w:r w:rsidR="004A4612">
        <w:t>.</w:t>
      </w:r>
      <w:r w:rsidR="004B4C86">
        <w:t xml:space="preserve"> </w:t>
      </w:r>
    </w:p>
    <w:p w14:paraId="5FE2767B" w14:textId="1DFD1F4B" w:rsidR="00DC558D" w:rsidRDefault="004A4612" w:rsidP="005837F9">
      <w:r>
        <w:t>In recognition of the</w:t>
      </w:r>
      <w:r w:rsidR="00BE21E3">
        <w:t>ir</w:t>
      </w:r>
      <w:r>
        <w:t xml:space="preserve"> specific health needs, a range of </w:t>
      </w:r>
      <w:proofErr w:type="gramStart"/>
      <w:r>
        <w:t>over-the-counter</w:t>
      </w:r>
      <w:proofErr w:type="gramEnd"/>
      <w:r>
        <w:t xml:space="preserve"> </w:t>
      </w:r>
      <w:r w:rsidR="005B0E2C">
        <w:t xml:space="preserve">(OTC) </w:t>
      </w:r>
      <w:r>
        <w:t xml:space="preserve">medicines are subsidised through the PBS specifically for prescription to </w:t>
      </w:r>
      <w:r w:rsidR="000933D7">
        <w:t>Aboriginal and Torres Strait Islander peoples</w:t>
      </w:r>
      <w:r w:rsidRPr="006150D8">
        <w:t>.</w:t>
      </w:r>
      <w:r w:rsidR="00EF4FB3">
        <w:t xml:space="preserve"> </w:t>
      </w:r>
      <w:r w:rsidR="00D03074" w:rsidRPr="00D03074">
        <w:t xml:space="preserve">Special supply arrangements administered under Section 100 of the </w:t>
      </w:r>
      <w:r w:rsidR="00D03074" w:rsidRPr="009D14F6">
        <w:rPr>
          <w:i/>
          <w:iCs/>
        </w:rPr>
        <w:t>National Health Act 1953</w:t>
      </w:r>
      <w:r w:rsidR="00D03074" w:rsidRPr="00D03074">
        <w:t xml:space="preserve"> allow for PBS medicines to be provided to Indigenous </w:t>
      </w:r>
      <w:r w:rsidR="00E843CB">
        <w:t>primary health care</w:t>
      </w:r>
      <w:r w:rsidR="00E843CB" w:rsidRPr="00D03074">
        <w:t xml:space="preserve"> </w:t>
      </w:r>
      <w:r w:rsidR="00D03074" w:rsidRPr="00D03074">
        <w:t xml:space="preserve">services in remote locations, at no cost, by a </w:t>
      </w:r>
      <w:r w:rsidR="00D03074" w:rsidRPr="00D03074">
        <w:lastRenderedPageBreak/>
        <w:t>suitably qualified and approved health service professional, without the need for a prescription.</w:t>
      </w:r>
    </w:p>
    <w:p w14:paraId="6FCE2ACB" w14:textId="0ED83E2C" w:rsidR="00EE49FA" w:rsidRPr="00D44FBB" w:rsidRDefault="00EE49FA" w:rsidP="005837F9">
      <w:r>
        <w:t xml:space="preserve">Despite the measures </w:t>
      </w:r>
      <w:r w:rsidR="000670A4">
        <w:t xml:space="preserve">aimed at </w:t>
      </w:r>
      <w:r w:rsidR="00437885">
        <w:t>minimising</w:t>
      </w:r>
      <w:r w:rsidR="000670A4">
        <w:t xml:space="preserve"> barriers to access for First Nations </w:t>
      </w:r>
      <w:r w:rsidR="00D23CFA" w:rsidRPr="006150D8">
        <w:t>p</w:t>
      </w:r>
      <w:r w:rsidR="000670A4" w:rsidRPr="006150D8">
        <w:t>eople</w:t>
      </w:r>
      <w:r w:rsidR="00FB2252">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0670A4">
        <w:t xml:space="preserve">, the per-person </w:t>
      </w:r>
      <w:r w:rsidR="00437885">
        <w:t>pharmaceutical</w:t>
      </w:r>
      <w:r w:rsidR="000670A4">
        <w:t xml:space="preserve"> expenditure and the PBS</w:t>
      </w:r>
      <w:r w:rsidR="00856904">
        <w:t>-</w:t>
      </w:r>
      <w:r w:rsidR="000670A4">
        <w:t xml:space="preserve">subsidised </w:t>
      </w:r>
      <w:r w:rsidR="00437885">
        <w:t>pharmaceutical</w:t>
      </w:r>
      <w:r w:rsidR="000670A4">
        <w:t xml:space="preserve"> expenditure show a disparity is still prevalent</w:t>
      </w:r>
      <w:r w:rsidR="002230AA">
        <w:t>.</w:t>
      </w:r>
      <w:r w:rsidR="000670A4">
        <w:t xml:space="preserve"> </w:t>
      </w:r>
      <w:r w:rsidR="002D128D">
        <w:t>T</w:t>
      </w:r>
      <w:r w:rsidR="000670A4">
        <w:t>he per</w:t>
      </w:r>
      <w:r w:rsidR="007E13F5">
        <w:t>-</w:t>
      </w:r>
      <w:r w:rsidR="000670A4">
        <w:t xml:space="preserve">person spend on </w:t>
      </w:r>
      <w:r w:rsidR="00437885">
        <w:t>pharmaceuticals</w:t>
      </w:r>
      <w:r w:rsidR="000670A4">
        <w:t xml:space="preserve"> for First Nations </w:t>
      </w:r>
      <w:r w:rsidR="00D23CFA" w:rsidRPr="006150D8">
        <w:t>p</w:t>
      </w:r>
      <w:r w:rsidR="000670A4" w:rsidRPr="006150D8">
        <w:t>eople</w:t>
      </w:r>
      <w:r w:rsidR="0013655B">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E87253">
        <w:t xml:space="preserve"> was $537</w:t>
      </w:r>
      <w:r w:rsidR="00E555EF">
        <w:t xml:space="preserve"> in </w:t>
      </w:r>
      <w:r w:rsidR="00F4685F">
        <w:t>2015–16</w:t>
      </w:r>
      <w:r w:rsidR="00E87253">
        <w:t xml:space="preserve">, compared </w:t>
      </w:r>
      <w:r w:rsidR="000670A4">
        <w:t>to $891 for non-</w:t>
      </w:r>
      <w:r w:rsidR="14E1CAE2">
        <w:t>Indigenous</w:t>
      </w:r>
      <w:r w:rsidR="000670A4">
        <w:t xml:space="preserve"> Australians</w:t>
      </w:r>
      <w:r w:rsidR="00EB366A">
        <w:t xml:space="preserve">. Spending </w:t>
      </w:r>
      <w:r w:rsidR="00BF7286" w:rsidRPr="00BF7286">
        <w:t xml:space="preserve">by the Government through the PBS and the </w:t>
      </w:r>
      <w:r w:rsidR="24C10B66" w:rsidRPr="006150D8">
        <w:rPr>
          <w:rFonts w:eastAsia="Segoe UI" w:cs="Segoe UI"/>
          <w:color w:val="000000" w:themeColor="text1"/>
          <w:lang w:val="en-US"/>
        </w:rPr>
        <w:t>Repatriation Pharmaceutical Benefits Scheme</w:t>
      </w:r>
      <w:r w:rsidR="00BF7286" w:rsidRPr="00BF7286">
        <w:t xml:space="preserve"> </w:t>
      </w:r>
      <w:r w:rsidR="006E22CF">
        <w:t xml:space="preserve">(RPBS) </w:t>
      </w:r>
      <w:r w:rsidR="00BF7286" w:rsidRPr="00BF7286">
        <w:t xml:space="preserve">accounted for 31% of total pharmaceutical expenditure for </w:t>
      </w:r>
      <w:r w:rsidR="00950AB7">
        <w:t>First Nations people</w:t>
      </w:r>
      <w:r w:rsidR="00072E57">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072E57">
        <w:t>,</w:t>
      </w:r>
      <w:r w:rsidR="00BF7286" w:rsidRPr="00BF7286">
        <w:t xml:space="preserve"> and 48% for non-Indigenous</w:t>
      </w:r>
      <w:r w:rsidR="008629AF">
        <w:t xml:space="preserve"> people</w:t>
      </w:r>
      <w:r w:rsidR="00BF7286">
        <w:t xml:space="preserve">. </w:t>
      </w:r>
      <w:r w:rsidR="00BF7286" w:rsidRPr="00BF7286">
        <w:t xml:space="preserve">This represents an average expenditure by the Government of $167 per person for </w:t>
      </w:r>
      <w:r w:rsidR="00950AB7">
        <w:t>First Nations people</w:t>
      </w:r>
      <w:r w:rsidR="00835712">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835712">
        <w:t>,</w:t>
      </w:r>
      <w:r w:rsidR="00BF7286" w:rsidRPr="00BF7286">
        <w:t xml:space="preserve"> compared </w:t>
      </w:r>
      <w:r w:rsidR="00DD75EA">
        <w:t xml:space="preserve">to </w:t>
      </w:r>
      <w:r w:rsidR="00BF7286" w:rsidRPr="00BF7286">
        <w:t>$427 per person for non-Indigenous</w:t>
      </w:r>
      <w:r w:rsidR="00DD75EA">
        <w:t xml:space="preserve"> people</w:t>
      </w:r>
      <w:r w:rsidR="00BF7286">
        <w:t xml:space="preserve"> (2015</w:t>
      </w:r>
      <w:r w:rsidR="00DD75EA">
        <w:t>–</w:t>
      </w:r>
      <w:r w:rsidR="00BF7286">
        <w:t>16 data)</w:t>
      </w:r>
      <w:r w:rsidR="00AF52CC">
        <w:rPr>
          <w:rStyle w:val="FootnoteReference"/>
        </w:rPr>
        <w:footnoteReference w:id="10"/>
      </w:r>
      <w:r w:rsidR="00DD75EA">
        <w:t>.</w:t>
      </w:r>
    </w:p>
    <w:p w14:paraId="3D54BFC8" w14:textId="7D5E1EFF" w:rsidR="003A59E9" w:rsidRPr="006647C5" w:rsidRDefault="003A59E9" w:rsidP="00DF557A">
      <w:pPr>
        <w:pStyle w:val="Heading3"/>
      </w:pPr>
      <w:bookmarkStart w:id="115" w:name="_Toc157029063"/>
      <w:r w:rsidRPr="006647C5">
        <w:t>What we heard from stakeholders</w:t>
      </w:r>
      <w:bookmarkEnd w:id="115"/>
    </w:p>
    <w:p w14:paraId="40346884" w14:textId="5402C774" w:rsidR="000C3FDA" w:rsidRDefault="00E8198D" w:rsidP="00D44FBB">
      <w:r>
        <w:t>Stakeholders raised</w:t>
      </w:r>
      <w:r w:rsidR="00D44FBB">
        <w:t xml:space="preserve"> concern</w:t>
      </w:r>
      <w:r w:rsidR="000C3FDA">
        <w:t>s</w:t>
      </w:r>
      <w:r w:rsidR="00D44FBB">
        <w:t xml:space="preserve"> that engagement of </w:t>
      </w:r>
      <w:r w:rsidR="0004417B">
        <w:t xml:space="preserve">ACCHOs </w:t>
      </w:r>
      <w:r w:rsidR="00D44FBB">
        <w:t xml:space="preserve">and First Nations </w:t>
      </w:r>
      <w:r w:rsidR="00950AB7">
        <w:t>people</w:t>
      </w:r>
      <w:r w:rsidR="003A0EE0">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950AB7">
        <w:t xml:space="preserve"> </w:t>
      </w:r>
      <w:r w:rsidR="00D44FBB">
        <w:t xml:space="preserve">was </w:t>
      </w:r>
      <w:r w:rsidR="00D44FBB" w:rsidRPr="005909DE">
        <w:rPr>
          <w:i/>
        </w:rPr>
        <w:t>ad hoc</w:t>
      </w:r>
      <w:r w:rsidR="00D44FBB">
        <w:t xml:space="preserve"> a</w:t>
      </w:r>
      <w:r w:rsidR="007E3B73">
        <w:t xml:space="preserve">nd there </w:t>
      </w:r>
      <w:r w:rsidR="68383B53">
        <w:t xml:space="preserve">was not </w:t>
      </w:r>
      <w:r w:rsidR="007E3B73">
        <w:t>a dedicated body that fostered these relationships</w:t>
      </w:r>
      <w:r w:rsidR="005C7C3D">
        <w:t xml:space="preserve"> or systematically sought </w:t>
      </w:r>
      <w:r w:rsidR="00366859">
        <w:t xml:space="preserve">advice on the impact </w:t>
      </w:r>
      <w:r w:rsidR="004E6962">
        <w:t>decisions had on</w:t>
      </w:r>
      <w:r w:rsidR="004F569A">
        <w:t xml:space="preserve"> Aboriginal or Torres Strait Islander peoples</w:t>
      </w:r>
      <w:r w:rsidR="007E3B73">
        <w:t xml:space="preserve">. </w:t>
      </w:r>
    </w:p>
    <w:p w14:paraId="17D5AC5B" w14:textId="54E676AA" w:rsidR="0045547D" w:rsidRDefault="00BF3D22" w:rsidP="00D44FBB">
      <w:r>
        <w:t xml:space="preserve">Stakeholders </w:t>
      </w:r>
      <w:r w:rsidR="00E20B78">
        <w:t xml:space="preserve">consider </w:t>
      </w:r>
      <w:r>
        <w:t xml:space="preserve">there are many medicines </w:t>
      </w:r>
      <w:r w:rsidR="17D4A68B">
        <w:t>integral</w:t>
      </w:r>
      <w:r>
        <w:t xml:space="preserve"> to the health and wellbeing of </w:t>
      </w:r>
      <w:r w:rsidR="00C42916">
        <w:t xml:space="preserve">First </w:t>
      </w:r>
      <w:r w:rsidR="00C26BFF">
        <w:t>Nations people</w:t>
      </w:r>
      <w:r w:rsidR="00FD591A">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C42916">
        <w:t xml:space="preserve"> that </w:t>
      </w:r>
      <w:r w:rsidR="216D3067">
        <w:t>are not</w:t>
      </w:r>
      <w:r w:rsidR="00C42916">
        <w:t xml:space="preserve"> listed on the PBS due to a range of reasons including:</w:t>
      </w:r>
      <w:r w:rsidR="00635D07">
        <w:t xml:space="preserve"> </w:t>
      </w:r>
    </w:p>
    <w:p w14:paraId="4A188F64" w14:textId="72CD065D" w:rsidR="00EA1DEE" w:rsidRDefault="00635D07" w:rsidP="008505D7">
      <w:pPr>
        <w:pStyle w:val="ListParagraph"/>
        <w:numPr>
          <w:ilvl w:val="0"/>
          <w:numId w:val="46"/>
        </w:numPr>
      </w:pPr>
      <w:r w:rsidRPr="00635D07">
        <w:t xml:space="preserve">small </w:t>
      </w:r>
      <w:r>
        <w:t xml:space="preserve">patient </w:t>
      </w:r>
      <w:r w:rsidRPr="00635D07">
        <w:t>population</w:t>
      </w:r>
      <w:r>
        <w:t xml:space="preserve"> </w:t>
      </w:r>
      <w:r w:rsidR="005B3C01">
        <w:t>resulting in</w:t>
      </w:r>
      <w:r>
        <w:t xml:space="preserve"> </w:t>
      </w:r>
      <w:r w:rsidRPr="00635D07">
        <w:t>low commercial viability</w:t>
      </w:r>
      <w:r>
        <w:t xml:space="preserve"> meaning sponsors </w:t>
      </w:r>
      <w:r w:rsidR="33E6EE9C">
        <w:t>are not</w:t>
      </w:r>
      <w:r>
        <w:t xml:space="preserve"> mak</w:t>
      </w:r>
      <w:r w:rsidR="2EDCFEDA">
        <w:t>ing</w:t>
      </w:r>
      <w:r>
        <w:t xml:space="preserve"> submissions for PBS </w:t>
      </w:r>
      <w:proofErr w:type="gramStart"/>
      <w:r>
        <w:t>listing</w:t>
      </w:r>
      <w:proofErr w:type="gramEnd"/>
    </w:p>
    <w:p w14:paraId="0F60C31D" w14:textId="3D5C51A1" w:rsidR="008D1164" w:rsidRDefault="00EA1DEE" w:rsidP="008505D7">
      <w:pPr>
        <w:pStyle w:val="ListParagraph"/>
        <w:numPr>
          <w:ilvl w:val="0"/>
          <w:numId w:val="46"/>
        </w:numPr>
      </w:pPr>
      <w:r>
        <w:t>s</w:t>
      </w:r>
      <w:r w:rsidR="00F928E0">
        <w:t xml:space="preserve">ponsors </w:t>
      </w:r>
      <w:r w:rsidR="58CCE6C1">
        <w:t>are</w:t>
      </w:r>
      <w:r w:rsidR="00F928E0">
        <w:t xml:space="preserve"> not making submissions for PBS listing of over</w:t>
      </w:r>
      <w:r w:rsidR="005E5EB7">
        <w:t>-</w:t>
      </w:r>
      <w:r w:rsidR="00F928E0">
        <w:t>the</w:t>
      </w:r>
      <w:r w:rsidR="005E5EB7">
        <w:t>-</w:t>
      </w:r>
      <w:r w:rsidR="00F928E0">
        <w:t xml:space="preserve">counter medications for </w:t>
      </w:r>
      <w:r w:rsidR="006971F7">
        <w:t xml:space="preserve">First Nation </w:t>
      </w:r>
      <w:r w:rsidR="005E5EB7">
        <w:t xml:space="preserve">peoples </w:t>
      </w:r>
      <w:r w:rsidR="008D1164">
        <w:t xml:space="preserve">because there is </w:t>
      </w:r>
      <w:r w:rsidR="006971F7">
        <w:t xml:space="preserve">no financial </w:t>
      </w:r>
      <w:proofErr w:type="gramStart"/>
      <w:r w:rsidR="006971F7">
        <w:t>incentive</w:t>
      </w:r>
      <w:proofErr w:type="gramEnd"/>
    </w:p>
    <w:p w14:paraId="3CBC9D9D" w14:textId="02DAA594" w:rsidR="00136BC7" w:rsidRDefault="00635D07" w:rsidP="008505D7">
      <w:pPr>
        <w:pStyle w:val="ListParagraph"/>
        <w:numPr>
          <w:ilvl w:val="0"/>
          <w:numId w:val="46"/>
        </w:numPr>
      </w:pPr>
      <w:r w:rsidRPr="00635D07">
        <w:t>no mechanism</w:t>
      </w:r>
      <w:r w:rsidR="006971F7">
        <w:t xml:space="preserve"> </w:t>
      </w:r>
      <w:r w:rsidRPr="00635D07">
        <w:t xml:space="preserve">to compel </w:t>
      </w:r>
      <w:r w:rsidR="006971F7">
        <w:t>sponsors</w:t>
      </w:r>
      <w:r w:rsidRPr="00635D07">
        <w:t xml:space="preserve"> to identify </w:t>
      </w:r>
      <w:r w:rsidR="00136BC7">
        <w:t xml:space="preserve">the needs of </w:t>
      </w:r>
      <w:r w:rsidRPr="00635D07">
        <w:t>subpopulations</w:t>
      </w:r>
      <w:r w:rsidR="00136BC7">
        <w:t xml:space="preserve">, and </w:t>
      </w:r>
    </w:p>
    <w:p w14:paraId="474F2ACD" w14:textId="190EE25B" w:rsidR="00583B47" w:rsidRDefault="00635D07" w:rsidP="008505D7">
      <w:pPr>
        <w:pStyle w:val="ListParagraph"/>
        <w:numPr>
          <w:ilvl w:val="0"/>
          <w:numId w:val="46"/>
        </w:numPr>
      </w:pPr>
      <w:r w:rsidRPr="00635D07">
        <w:t>complexity with multiple sponsor</w:t>
      </w:r>
      <w:r w:rsidR="002860B9">
        <w:t xml:space="preserve"> submissions</w:t>
      </w:r>
      <w:r w:rsidRPr="00635D07">
        <w:t>.</w:t>
      </w:r>
      <w:r w:rsidR="00C42916">
        <w:t xml:space="preserve"> </w:t>
      </w:r>
    </w:p>
    <w:p w14:paraId="1A44BC33" w14:textId="229D5E87" w:rsidR="00D44FBB" w:rsidRDefault="003B52A7" w:rsidP="00D44FBB">
      <w:r>
        <w:t>Stakeholders also expressed concern</w:t>
      </w:r>
      <w:r w:rsidR="009A3621">
        <w:t xml:space="preserve"> that the absence of a proactive approach to identifying </w:t>
      </w:r>
      <w:r w:rsidR="008B62C4">
        <w:t xml:space="preserve">unmet clinical needs and appropriate treatment disproportionately affects </w:t>
      </w:r>
      <w:r w:rsidR="00C26BFF">
        <w:lastRenderedPageBreak/>
        <w:t>First Nations people</w:t>
      </w:r>
      <w:r w:rsidR="00C36AB3">
        <w:t>s</w:t>
      </w:r>
      <w:r w:rsidR="009950D4">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fldChar w:fldCharType="end"/>
      </w:r>
      <w:r w:rsidR="008A1972">
        <w:t xml:space="preserve">. </w:t>
      </w:r>
    </w:p>
    <w:p w14:paraId="5146025D" w14:textId="07CEFF33" w:rsidR="00DC3D92" w:rsidRDefault="00DC3D92" w:rsidP="00D44FBB">
      <w:r>
        <w:t>Stakeholders also felt there was inadequate support for groups that were not health technology suppliers to bring forward applications for funding</w:t>
      </w:r>
      <w:r w:rsidR="0045111F">
        <w:t xml:space="preserve"> and that current arrangements were prohibitive</w:t>
      </w:r>
      <w:r>
        <w:t xml:space="preserve">. </w:t>
      </w:r>
    </w:p>
    <w:p w14:paraId="6247A7C0" w14:textId="2EDA4FF0" w:rsidR="000C3FDA" w:rsidRDefault="000C3FDA" w:rsidP="00DF557A">
      <w:pPr>
        <w:pStyle w:val="Heading3"/>
      </w:pPr>
      <w:bookmarkStart w:id="116" w:name="_Toc157029064"/>
      <w:r>
        <w:t>Issues</w:t>
      </w:r>
      <w:bookmarkEnd w:id="116"/>
    </w:p>
    <w:p w14:paraId="53A3D460" w14:textId="305FA360" w:rsidR="000C3FDA" w:rsidRDefault="003E7EEE" w:rsidP="000C3FDA">
      <w:r>
        <w:t xml:space="preserve">Lack of formal and routine involvement of a First Nations </w:t>
      </w:r>
      <w:r w:rsidR="0086141F">
        <w:t>h</w:t>
      </w:r>
      <w:r>
        <w:t xml:space="preserve">ealth </w:t>
      </w:r>
      <w:r w:rsidR="0086141F">
        <w:t>r</w:t>
      </w:r>
      <w:r>
        <w:t xml:space="preserve">epresentative and consideration of First Nations </w:t>
      </w:r>
      <w:r w:rsidR="00837709">
        <w:t>h</w:t>
      </w:r>
      <w:r>
        <w:t xml:space="preserve">ealth outcomes </w:t>
      </w:r>
      <w:r w:rsidR="00BA05A6">
        <w:t xml:space="preserve">is contributing to health inequity. </w:t>
      </w:r>
      <w:r w:rsidR="00826B09">
        <w:t>A</w:t>
      </w:r>
      <w:r w:rsidR="000C3FDA">
        <w:t xml:space="preserve">dvisory committees would benefit from more formal arrangements </w:t>
      </w:r>
      <w:r w:rsidR="003D2C04">
        <w:t xml:space="preserve">to </w:t>
      </w:r>
      <w:r w:rsidR="000C3FDA">
        <w:t>ensur</w:t>
      </w:r>
      <w:r w:rsidR="003D2C04">
        <w:t>e</w:t>
      </w:r>
      <w:r w:rsidR="000C3FDA">
        <w:t xml:space="preserve"> the impact of </w:t>
      </w:r>
      <w:r w:rsidR="00826B09">
        <w:t xml:space="preserve">all listing and delisting </w:t>
      </w:r>
      <w:r w:rsidR="000C3FDA">
        <w:t>decisions on Aboriginal and Torres Strait Islander</w:t>
      </w:r>
      <w:r w:rsidR="00C86C74">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fldChar w:fldCharType="end"/>
      </w:r>
      <w:r w:rsidR="000C3FDA">
        <w:t xml:space="preserve"> peoples </w:t>
      </w:r>
      <w:r w:rsidR="009F5186">
        <w:t>are</w:t>
      </w:r>
      <w:r w:rsidR="000C3FDA">
        <w:t xml:space="preserve"> considered </w:t>
      </w:r>
      <w:r w:rsidR="00DB6A92">
        <w:t xml:space="preserve">across the HTA system </w:t>
      </w:r>
      <w:r w:rsidR="000C3FDA">
        <w:t xml:space="preserve">and that a proactive approach is taken to identifying unmet needs and potential therapies that could address them. </w:t>
      </w:r>
    </w:p>
    <w:p w14:paraId="6CE86F02" w14:textId="007D4A18" w:rsidR="00177478" w:rsidRDefault="00177478" w:rsidP="00177478">
      <w:pPr>
        <w:pStyle w:val="ListParagraph"/>
        <w:ind w:left="284"/>
      </w:pPr>
      <w:r>
        <w:rPr>
          <w:noProof/>
        </w:rPr>
        <mc:AlternateContent>
          <mc:Choice Requires="wps">
            <w:drawing>
              <wp:anchor distT="0" distB="0" distL="114300" distR="114300" simplePos="0" relativeHeight="251714048" behindDoc="0" locked="0" layoutInCell="1" allowOverlap="1" wp14:anchorId="61903D07" wp14:editId="0522748A">
                <wp:simplePos x="0" y="0"/>
                <wp:positionH relativeFrom="column">
                  <wp:posOffset>19050</wp:posOffset>
                </wp:positionH>
                <wp:positionV relativeFrom="paragraph">
                  <wp:posOffset>-3810</wp:posOffset>
                </wp:positionV>
                <wp:extent cx="0" cy="666750"/>
                <wp:effectExtent l="19050" t="0" r="19050" b="19050"/>
                <wp:wrapNone/>
                <wp:docPr id="6" name="Straight Connector 6"/>
                <wp:cNvGraphicFramePr/>
                <a:graphic xmlns:a="http://schemas.openxmlformats.org/drawingml/2006/main">
                  <a:graphicData uri="http://schemas.microsoft.com/office/word/2010/wordprocessingShape">
                    <wps:wsp>
                      <wps:cNvCnPr/>
                      <wps:spPr>
                        <a:xfrm>
                          <a:off x="0" y="0"/>
                          <a:ext cx="0" cy="666750"/>
                        </a:xfrm>
                        <a:prstGeom prst="line">
                          <a:avLst/>
                        </a:prstGeom>
                        <a:ln w="2857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DE6E6B9" id="Straight Connector 6"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1.5pt,-.3pt" to="1.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" strokecolor="#1d437f [3204]" strokeweight="2.25pt">
                <v:stroke joinstyle="miter"/>
              </v:line>
            </w:pict>
          </mc:Fallback>
        </mc:AlternateContent>
      </w:r>
      <w:r>
        <w:t xml:space="preserve">This section should be read in conjunction with </w:t>
      </w:r>
      <w:r w:rsidRPr="00B9124A">
        <w:t>Horizon Scanning and Early Assessment</w:t>
      </w:r>
      <w:r>
        <w:t xml:space="preserve"> and</w:t>
      </w:r>
      <w:r w:rsidRPr="009B2E2A">
        <w:t xml:space="preserve"> </w:t>
      </w:r>
      <w:r w:rsidRPr="00B9124A">
        <w:t>International Health Technology Market Approval, Funding and Assessment Pathways</w:t>
      </w:r>
    </w:p>
    <w:p w14:paraId="3496316C" w14:textId="77777777" w:rsidR="00177478" w:rsidRDefault="00177478" w:rsidP="000C3FDA"/>
    <w:p w14:paraId="6AC800DD" w14:textId="1ED8126D" w:rsidR="00463EBE" w:rsidRDefault="003A59E9" w:rsidP="00605647">
      <w:pPr>
        <w:pStyle w:val="Heading3"/>
        <w:keepNext/>
        <w:keepLines/>
      </w:pPr>
      <w:bookmarkStart w:id="117" w:name="_Toc157029065"/>
      <w:r w:rsidRPr="006647C5">
        <w:t xml:space="preserve">Options to address identified </w:t>
      </w:r>
      <w:proofErr w:type="gramStart"/>
      <w:r w:rsidRPr="006647C5">
        <w:t>issues</w:t>
      </w:r>
      <w:bookmarkEnd w:id="117"/>
      <w:proofErr w:type="gramEnd"/>
    </w:p>
    <w:tbl>
      <w:tblPr>
        <w:tblStyle w:val="TableGrid"/>
        <w:tblpPr w:leftFromText="181" w:rightFromText="181" w:bottomFromText="142" w:vertAnchor="text" w:tblpY="1"/>
        <w:tblW w:w="0" w:type="auto"/>
        <w:tblLook w:val="04A0" w:firstRow="1" w:lastRow="0" w:firstColumn="1" w:lastColumn="0" w:noHBand="0" w:noVBand="1"/>
      </w:tblPr>
      <w:tblGrid>
        <w:gridCol w:w="9016"/>
      </w:tblGrid>
      <w:tr w:rsidR="00E34F48" w14:paraId="39EF0534" w14:textId="77777777" w:rsidTr="00AE1395">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4F03B44A" w14:textId="77777777" w:rsidR="001A33D1" w:rsidRDefault="00E34F48" w:rsidP="00E73C9F">
            <w:pPr>
              <w:spacing w:before="160" w:after="160" w:line="22" w:lineRule="atLeast"/>
              <w:rPr>
                <w:b/>
                <w:bCs/>
              </w:rPr>
            </w:pPr>
            <w:r w:rsidRPr="00E34F48">
              <w:rPr>
                <w:b/>
                <w:bCs/>
              </w:rPr>
              <w:t xml:space="preserve">First Nations people partnership in decision </w:t>
            </w:r>
            <w:proofErr w:type="gramStart"/>
            <w:r w:rsidRPr="00E34F48">
              <w:rPr>
                <w:b/>
                <w:bCs/>
              </w:rPr>
              <w:t>making</w:t>
            </w:r>
            <w:proofErr w:type="gramEnd"/>
            <w:r w:rsidRPr="00E34F48">
              <w:rPr>
                <w:b/>
                <w:bCs/>
              </w:rPr>
              <w:t xml:space="preserve"> </w:t>
            </w:r>
          </w:p>
          <w:p w14:paraId="06313F40" w14:textId="77777777" w:rsidR="00BD52F0" w:rsidRPr="0046135D" w:rsidRDefault="00BD52F0" w:rsidP="00E73C9F">
            <w:pPr>
              <w:pStyle w:val="ListParagraph"/>
              <w:numPr>
                <w:ilvl w:val="0"/>
                <w:numId w:val="149"/>
              </w:numPr>
              <w:spacing w:line="22" w:lineRule="atLeast"/>
              <w:ind w:left="462"/>
            </w:pPr>
            <w:r w:rsidRPr="0046135D">
              <w:t>Establish a First Nations Advisory Committee to contribute to decision making across the continuum of the below processes:</w:t>
            </w:r>
          </w:p>
          <w:p w14:paraId="2A5432E6" w14:textId="5A89B1B7" w:rsidR="00BD52F0" w:rsidRPr="0046135D" w:rsidRDefault="00BD52F0" w:rsidP="00E73C9F">
            <w:pPr>
              <w:pStyle w:val="ListParagraph"/>
              <w:numPr>
                <w:ilvl w:val="0"/>
                <w:numId w:val="179"/>
              </w:numPr>
              <w:spacing w:line="22" w:lineRule="atLeast"/>
              <w:ind w:left="1171"/>
            </w:pPr>
            <w:r w:rsidRPr="0046135D">
              <w:t>Development of a priority list of population indications with HUCN</w:t>
            </w:r>
            <w:r w:rsidR="00D027D9" w:rsidRPr="0046135D">
              <w:fldChar w:fldCharType="begin"/>
            </w:r>
            <w:r w:rsidR="00D027D9" w:rsidRPr="0046135D">
              <w:instrText xml:space="preserve"> XE "</w:instrText>
            </w:r>
            <w:r w:rsidR="00D027D9" w:rsidRPr="00E73C9F">
              <w:rPr>
                <w:lang w:val="en-US"/>
              </w:rPr>
              <w:instrText>high unmet clinical need:</w:instrText>
            </w:r>
            <w:r w:rsidR="00D027D9" w:rsidRPr="0046135D">
              <w:instrText xml:space="preserve">HUCN" </w:instrText>
            </w:r>
            <w:r w:rsidR="00D027D9" w:rsidRPr="0046135D">
              <w:fldChar w:fldCharType="end"/>
            </w:r>
            <w:r w:rsidR="00E73C9F">
              <w:t xml:space="preserve">: </w:t>
            </w:r>
            <w:r w:rsidR="00E73C9F" w:rsidRPr="0046135D">
              <w:t xml:space="preserve">In line with the priority reforms under the </w:t>
            </w:r>
            <w:hyperlink r:id="rId137">
              <w:r w:rsidR="00E73C9F" w:rsidRPr="00E73C9F">
                <w:rPr>
                  <w:rStyle w:val="Hyperlink"/>
                  <w:color w:val="auto"/>
                </w:rPr>
                <w:t>National Closing the Gap Agreement</w:t>
              </w:r>
            </w:hyperlink>
            <w:r w:rsidR="00E73C9F" w:rsidRPr="0046135D">
              <w:t xml:space="preserve"> 2020 between all Governments and the Coalition of Peaks, a sub-set of the priority list (see section on </w:t>
            </w:r>
            <w:r w:rsidR="00E73C9F">
              <w:t>Proactively addressing areas of unmet clinical need and gaps in funded access)</w:t>
            </w:r>
            <w:r w:rsidR="00E73C9F">
              <w:t xml:space="preserve"> </w:t>
            </w:r>
            <w:r w:rsidR="00E73C9F" w:rsidRPr="0046135D">
              <w:t>will be developed in partnership with ACCHSs for the priority areas of HUCN</w:t>
            </w:r>
            <w:r w:rsidR="00E73C9F" w:rsidRPr="0046135D">
              <w:fldChar w:fldCharType="begin"/>
            </w:r>
            <w:r w:rsidR="00E73C9F" w:rsidRPr="0046135D">
              <w:instrText xml:space="preserve"> XE "</w:instrText>
            </w:r>
            <w:r w:rsidR="00E73C9F" w:rsidRPr="00E73C9F">
              <w:rPr>
                <w:lang w:val="en-US"/>
              </w:rPr>
              <w:instrText>high unmet clinical need:</w:instrText>
            </w:r>
            <w:r w:rsidR="00E73C9F" w:rsidRPr="0046135D">
              <w:instrText xml:space="preserve">HUCN" </w:instrText>
            </w:r>
            <w:r w:rsidR="00E73C9F" w:rsidRPr="0046135D">
              <w:fldChar w:fldCharType="end"/>
            </w:r>
            <w:r w:rsidR="00E73C9F" w:rsidRPr="0046135D">
              <w:t xml:space="preserve"> for First Nations peoples</w:t>
            </w:r>
            <w:r w:rsidR="00E73C9F" w:rsidRPr="0046135D">
              <w:fldChar w:fldCharType="begin"/>
            </w:r>
            <w:r w:rsidR="00E73C9F" w:rsidRPr="0046135D">
              <w:instrText xml:space="preserve"> XE "Aboriginal and Torres Strait Islander:First Nations peoples" </w:instrText>
            </w:r>
            <w:r w:rsidR="00E73C9F" w:rsidRPr="0046135D">
              <w:fldChar w:fldCharType="end"/>
            </w:r>
            <w:r w:rsidR="00E73C9F">
              <w:t xml:space="preserve"> </w:t>
            </w:r>
          </w:p>
          <w:p w14:paraId="1D996C31" w14:textId="77777777" w:rsidR="0046135D" w:rsidRPr="0046135D" w:rsidRDefault="00BD52F0" w:rsidP="00E73C9F">
            <w:pPr>
              <w:pStyle w:val="ListParagraph"/>
              <w:numPr>
                <w:ilvl w:val="0"/>
                <w:numId w:val="179"/>
              </w:numPr>
              <w:spacing w:after="0" w:line="22" w:lineRule="atLeast"/>
              <w:ind w:left="1171"/>
            </w:pPr>
            <w:r w:rsidRPr="0046135D">
              <w:t>Horizon Scanning: An active horizon scanning</w:t>
            </w:r>
            <w:r w:rsidRPr="0046135D">
              <w:fldChar w:fldCharType="begin"/>
            </w:r>
            <w:r w:rsidRPr="0046135D">
              <w:instrText xml:space="preserve"> XE "horizon scanning" \b </w:instrText>
            </w:r>
            <w:r w:rsidRPr="0046135D">
              <w:fldChar w:fldCharType="end"/>
            </w:r>
            <w:r w:rsidRPr="0046135D">
              <w:t xml:space="preserve"> process be developed to identify therapies with promising </w:t>
            </w:r>
            <w:r w:rsidR="00BE2FBE" w:rsidRPr="0046135D">
              <w:t>HATV</w:t>
            </w:r>
            <w:r w:rsidRPr="0046135D">
              <w:t xml:space="preserve"> for indications on the priority list (this could include new therapies or new </w:t>
            </w:r>
            <w:r w:rsidRPr="0046135D">
              <w:lastRenderedPageBreak/>
              <w:t>patient indications for the ‘repurposing’ of existing therapies)</w:t>
            </w:r>
            <w:r w:rsidR="0046135D" w:rsidRPr="0046135D">
              <w:t xml:space="preserve"> </w:t>
            </w:r>
            <w:r w:rsidR="0046135D" w:rsidRPr="0046135D">
              <w:t xml:space="preserve">(see sections on </w:t>
            </w:r>
          </w:p>
          <w:p w14:paraId="306F505F" w14:textId="6F01B10A" w:rsidR="00BD52F0" w:rsidRPr="0046135D" w:rsidRDefault="0046135D" w:rsidP="00E73C9F">
            <w:pPr>
              <w:pStyle w:val="ListParagraph"/>
              <w:numPr>
                <w:ilvl w:val="0"/>
                <w:numId w:val="179"/>
              </w:numPr>
              <w:spacing w:line="22" w:lineRule="atLeast"/>
              <w:ind w:left="1171"/>
            </w:pPr>
            <w:r w:rsidRPr="0046135D">
              <w:t>Proactively addressing areas of unmet clinical need and gaps in funded access and Horizon Scanning)</w:t>
            </w:r>
          </w:p>
          <w:p w14:paraId="118297E0" w14:textId="4C8F9EAB" w:rsidR="3AE61FB4" w:rsidRPr="0046135D" w:rsidRDefault="5C8A310E" w:rsidP="00E73C9F">
            <w:pPr>
              <w:pStyle w:val="ListParagraph"/>
              <w:numPr>
                <w:ilvl w:val="0"/>
                <w:numId w:val="179"/>
              </w:numPr>
              <w:spacing w:line="22" w:lineRule="atLeast"/>
              <w:ind w:left="1171"/>
              <w:rPr>
                <w:u w:val="single"/>
              </w:rPr>
            </w:pPr>
            <w:r w:rsidRPr="0046135D">
              <w:t xml:space="preserve">Proactive submission request for therapies that are on the priority list (see </w:t>
            </w:r>
            <w:r w:rsidR="005E7605" w:rsidRPr="0046135D">
              <w:t xml:space="preserve">section on </w:t>
            </w:r>
            <w:r w:rsidR="0046135D" w:rsidRPr="0046135D">
              <w:t>Proactively addressing areas of unmet clinical need and gaps in funded access)</w:t>
            </w:r>
          </w:p>
          <w:p w14:paraId="37565C40" w14:textId="2E063E39" w:rsidR="00676455" w:rsidRPr="0046135D" w:rsidRDefault="00BD52F0" w:rsidP="00E73C9F">
            <w:pPr>
              <w:pStyle w:val="ListParagraph"/>
              <w:numPr>
                <w:ilvl w:val="0"/>
                <w:numId w:val="149"/>
              </w:numPr>
              <w:spacing w:line="22" w:lineRule="atLeast"/>
              <w:ind w:left="462" w:hanging="357"/>
            </w:pPr>
            <w:r w:rsidRPr="0046135D">
              <w:t xml:space="preserve">Include a First Nations representative on the PBAC that can speak to specific benefits for and issues relating to First Nations </w:t>
            </w:r>
            <w:proofErr w:type="spellStart"/>
            <w:r w:rsidRPr="0046135D">
              <w:t>peoples</w:t>
            </w:r>
            <w:proofErr w:type="spellEnd"/>
            <w:r w:rsidR="009950D4" w:rsidRPr="0046135D">
              <w:fldChar w:fldCharType="begin"/>
            </w:r>
            <w:r w:rsidR="009950D4" w:rsidRPr="0046135D">
              <w:instrText xml:space="preserve"> XE "Aboriginal and Torres Strait Islander:First Nations peoples" </w:instrText>
            </w:r>
            <w:r w:rsidR="009950D4" w:rsidRPr="0046135D">
              <w:fldChar w:fldCharType="end"/>
            </w:r>
            <w:r w:rsidRPr="0046135D">
              <w:t xml:space="preserve"> health</w:t>
            </w:r>
            <w:r w:rsidR="00655B47" w:rsidRPr="0046135D">
              <w:t>.</w:t>
            </w:r>
          </w:p>
          <w:p w14:paraId="31B50A01" w14:textId="6857D21B" w:rsidR="00E34F48" w:rsidRPr="0046135D" w:rsidRDefault="00BD52F0" w:rsidP="00E73C9F">
            <w:pPr>
              <w:pStyle w:val="ListParagraph"/>
              <w:numPr>
                <w:ilvl w:val="0"/>
                <w:numId w:val="149"/>
              </w:numPr>
              <w:spacing w:line="22" w:lineRule="atLeast"/>
              <w:ind w:left="462" w:hanging="357"/>
              <w:rPr>
                <w:rFonts w:eastAsia="Times New Roman" w:cs="Segoe UI"/>
                <w:kern w:val="24"/>
                <w:sz w:val="20"/>
                <w:szCs w:val="20"/>
                <w:lang w:eastAsia="en-AU"/>
              </w:rPr>
            </w:pPr>
            <w:r w:rsidRPr="0046135D">
              <w:t>Sponsor submissions to require consideration/assessment of the impact on health outcomes for First Nations peoples</w:t>
            </w:r>
            <w:r w:rsidR="009950D4" w:rsidRPr="0046135D">
              <w:fldChar w:fldCharType="begin"/>
            </w:r>
            <w:r w:rsidR="009950D4" w:rsidRPr="0046135D">
              <w:instrText xml:space="preserve"> XE "Aboriginal and Torres Strait Islander:First Nations peoples" </w:instrText>
            </w:r>
            <w:r w:rsidR="009950D4" w:rsidRPr="0046135D">
              <w:fldChar w:fldCharType="end"/>
            </w:r>
            <w:r w:rsidRPr="0046135D">
              <w:t xml:space="preserve"> to enable meaningful informed decision-making</w:t>
            </w:r>
            <w:r w:rsidR="00655B47" w:rsidRPr="0046135D">
              <w:t>.</w:t>
            </w:r>
          </w:p>
          <w:p w14:paraId="7F2E9AA1" w14:textId="0078B499" w:rsidR="00676455" w:rsidRPr="00E61E42" w:rsidRDefault="00676455" w:rsidP="00E61E42">
            <w:pPr>
              <w:pStyle w:val="ListParagraph"/>
              <w:spacing w:line="259" w:lineRule="auto"/>
              <w:ind w:left="360"/>
              <w:rPr>
                <w:rFonts w:eastAsia="Times New Roman" w:cs="Segoe UI"/>
                <w:color w:val="222A35"/>
                <w:kern w:val="24"/>
                <w:sz w:val="20"/>
                <w:szCs w:val="20"/>
                <w:lang w:eastAsia="en-AU"/>
              </w:rPr>
            </w:pPr>
          </w:p>
        </w:tc>
      </w:tr>
    </w:tbl>
    <w:p w14:paraId="5AF649E5" w14:textId="77777777" w:rsidR="0045576A" w:rsidRDefault="0045576A" w:rsidP="00E61E42">
      <w:pPr>
        <w:spacing w:after="0"/>
      </w:pPr>
    </w:p>
    <w:tbl>
      <w:tblPr>
        <w:tblStyle w:val="TableGrid"/>
        <w:tblpPr w:leftFromText="181" w:rightFromText="181" w:bottomFromText="142" w:vertAnchor="text" w:tblpY="1"/>
        <w:tblW w:w="0" w:type="auto"/>
        <w:tblLook w:val="04A0" w:firstRow="1" w:lastRow="0" w:firstColumn="1" w:lastColumn="0" w:noHBand="0" w:noVBand="1"/>
      </w:tblPr>
      <w:tblGrid>
        <w:gridCol w:w="9016"/>
      </w:tblGrid>
      <w:tr w:rsidR="0045576A" w14:paraId="2C978918" w14:textId="77777777" w:rsidTr="00D2668A">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1DA24E06" w14:textId="31944120" w:rsidR="0045576A" w:rsidRDefault="0045576A">
            <w:pPr>
              <w:spacing w:before="160" w:after="160" w:line="259" w:lineRule="auto"/>
              <w:rPr>
                <w:b/>
                <w:bCs/>
              </w:rPr>
            </w:pPr>
            <w:r w:rsidRPr="0045576A">
              <w:rPr>
                <w:b/>
                <w:bCs/>
              </w:rPr>
              <w:t>Dedicated resource for HTA submissions and education</w:t>
            </w:r>
            <w:r w:rsidRPr="00E34F48">
              <w:rPr>
                <w:b/>
                <w:bCs/>
              </w:rPr>
              <w:t xml:space="preserve"> </w:t>
            </w:r>
          </w:p>
          <w:p w14:paraId="0C3C76D6" w14:textId="69CBB2AC" w:rsidR="0045576A" w:rsidRDefault="0045576A" w:rsidP="008C10BB">
            <w:pPr>
              <w:spacing w:line="259" w:lineRule="auto"/>
              <w:rPr>
                <w:rFonts w:eastAsia="Times New Roman" w:cs="Segoe UI"/>
                <w:color w:val="222A35"/>
                <w:kern w:val="24"/>
                <w:lang w:eastAsia="en-AU"/>
              </w:rPr>
            </w:pPr>
            <w:r w:rsidRPr="00E61E42">
              <w:rPr>
                <w:rFonts w:eastAsia="Times New Roman" w:cs="Segoe UI"/>
                <w:color w:val="222A35"/>
                <w:kern w:val="24"/>
                <w:lang w:eastAsia="en-AU"/>
              </w:rPr>
              <w:t xml:space="preserve">Have a dedicated resource for to assist organisations representing First Nations </w:t>
            </w:r>
            <w:proofErr w:type="spellStart"/>
            <w:r w:rsidR="003F1975">
              <w:rPr>
                <w:rFonts w:eastAsia="Times New Roman" w:cs="Segoe UI"/>
                <w:color w:val="222A35"/>
                <w:kern w:val="24"/>
                <w:lang w:eastAsia="en-AU"/>
              </w:rPr>
              <w:t>p</w:t>
            </w:r>
            <w:r w:rsidRPr="00E61E42">
              <w:rPr>
                <w:rFonts w:eastAsia="Times New Roman" w:cs="Segoe UI"/>
                <w:color w:val="222A35"/>
                <w:kern w:val="24"/>
                <w:lang w:eastAsia="en-AU"/>
              </w:rPr>
              <w:t>eoples</w:t>
            </w:r>
            <w:proofErr w:type="spellEnd"/>
            <w:r w:rsidR="009950D4">
              <w:rPr>
                <w:rFonts w:eastAsia="Times New Roman" w:cs="Segoe UI"/>
                <w:color w:val="222A35"/>
                <w:kern w:val="24"/>
                <w:lang w:eastAsia="en-AU"/>
              </w:rPr>
              <w:fldChar w:fldCharType="begin"/>
            </w:r>
            <w:r w:rsidR="009950D4">
              <w:instrText xml:space="preserve"> XE "</w:instrText>
            </w:r>
            <w:r w:rsidR="009950D4" w:rsidRPr="0032056E">
              <w:instrText>Aboriginal and Torres Strait Islander:First Nations peoples</w:instrText>
            </w:r>
            <w:r w:rsidR="009950D4">
              <w:instrText xml:space="preserve">" </w:instrText>
            </w:r>
            <w:r w:rsidR="009950D4">
              <w:rPr>
                <w:rFonts w:eastAsia="Times New Roman" w:cs="Segoe UI"/>
                <w:color w:val="222A35"/>
                <w:kern w:val="24"/>
                <w:lang w:eastAsia="en-AU"/>
              </w:rPr>
              <w:fldChar w:fldCharType="end"/>
            </w:r>
            <w:r w:rsidRPr="00E61E42">
              <w:rPr>
                <w:rFonts w:eastAsia="Times New Roman" w:cs="Segoe UI"/>
                <w:color w:val="222A35"/>
                <w:kern w:val="24"/>
                <w:lang w:eastAsia="en-AU"/>
              </w:rPr>
              <w:t xml:space="preserve"> </w:t>
            </w:r>
            <w:r w:rsidR="003F1975">
              <w:rPr>
                <w:rFonts w:eastAsia="Times New Roman" w:cs="Segoe UI"/>
                <w:color w:val="222A35"/>
                <w:kern w:val="24"/>
                <w:lang w:eastAsia="en-AU"/>
              </w:rPr>
              <w:t>h</w:t>
            </w:r>
            <w:r w:rsidRPr="00E61E42">
              <w:rPr>
                <w:rFonts w:eastAsia="Times New Roman" w:cs="Segoe UI"/>
                <w:color w:val="222A35"/>
                <w:kern w:val="24"/>
                <w:lang w:eastAsia="en-AU"/>
              </w:rPr>
              <w:t>ealth outcomes making HTA submissions including education and support for the submission development</w:t>
            </w:r>
            <w:r w:rsidR="72516A59" w:rsidRPr="00E61E42">
              <w:rPr>
                <w:rFonts w:eastAsia="Times New Roman" w:cs="Segoe UI"/>
                <w:color w:val="222A35"/>
                <w:kern w:val="24"/>
                <w:lang w:eastAsia="en-AU"/>
              </w:rPr>
              <w:t>.</w:t>
            </w:r>
          </w:p>
          <w:p w14:paraId="68A211F3" w14:textId="6DFFDFE0" w:rsidR="0045576A" w:rsidRPr="00E61E42" w:rsidRDefault="0045576A" w:rsidP="008C10BB">
            <w:pPr>
              <w:spacing w:line="259" w:lineRule="auto"/>
              <w:rPr>
                <w:rFonts w:eastAsia="Times New Roman" w:cs="Segoe UI"/>
                <w:color w:val="222A35"/>
                <w:kern w:val="24"/>
                <w:sz w:val="20"/>
                <w:szCs w:val="20"/>
                <w:lang w:eastAsia="en-AU"/>
              </w:rPr>
            </w:pPr>
          </w:p>
        </w:tc>
      </w:tr>
    </w:tbl>
    <w:p w14:paraId="47705ADE" w14:textId="53546DAB" w:rsidR="00A204D5" w:rsidRPr="00A204D5" w:rsidRDefault="00E07975" w:rsidP="00605647">
      <w:pPr>
        <w:pStyle w:val="Heading2"/>
        <w:keepLines/>
        <w:spacing w:line="259" w:lineRule="auto"/>
        <w:ind w:left="709"/>
      </w:pPr>
      <w:bookmarkStart w:id="118" w:name="_State_and_territory"/>
      <w:bookmarkStart w:id="119" w:name="_Toc157029066"/>
      <w:bookmarkStart w:id="120" w:name="_Toc157029487"/>
      <w:bookmarkStart w:id="121" w:name="_Toc157030179"/>
      <w:bookmarkEnd w:id="118"/>
      <w:r>
        <w:t>State and territory government</w:t>
      </w:r>
      <w:r w:rsidR="001B47F5">
        <w:t xml:space="preserve"> </w:t>
      </w:r>
      <w:r w:rsidR="00337F33">
        <w:t>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rsidR="00337F33">
        <w:t xml:space="preserve"> </w:t>
      </w:r>
      <w:r w:rsidR="00B77272">
        <w:t>in HTA</w:t>
      </w:r>
      <w:bookmarkEnd w:id="119"/>
      <w:bookmarkEnd w:id="120"/>
      <w:bookmarkEnd w:id="121"/>
    </w:p>
    <w:p w14:paraId="3585AA69" w14:textId="77777777" w:rsidR="003A59E9" w:rsidRDefault="003A59E9" w:rsidP="00605647">
      <w:pPr>
        <w:pStyle w:val="Heading3"/>
        <w:keepNext/>
        <w:keepLines/>
      </w:pPr>
      <w:bookmarkStart w:id="122" w:name="_Toc157029067"/>
      <w:bookmarkEnd w:id="106"/>
      <w:r w:rsidRPr="006647C5">
        <w:t>Introduction</w:t>
      </w:r>
      <w:r>
        <w:t xml:space="preserve"> and current state</w:t>
      </w:r>
      <w:bookmarkEnd w:id="122"/>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26"/>
      </w:tblGrid>
      <w:tr w:rsidR="00E31D4E" w14:paraId="1742DEB8" w14:textId="77777777">
        <w:tc>
          <w:tcPr>
            <w:tcW w:w="9026" w:type="dxa"/>
            <w:tcBorders>
              <w:top w:val="single" w:sz="2" w:space="0" w:color="00B4D0" w:themeColor="accent6"/>
              <w:left w:val="nil"/>
              <w:bottom w:val="single" w:sz="2" w:space="0" w:color="00B4D0" w:themeColor="accent6"/>
              <w:right w:val="nil"/>
            </w:tcBorders>
            <w:shd w:val="clear" w:color="auto" w:fill="F2F2F2" w:themeFill="background1" w:themeFillShade="F2"/>
          </w:tcPr>
          <w:p w14:paraId="3EF82407" w14:textId="77777777" w:rsidR="00E31D4E" w:rsidRPr="00520B3D" w:rsidRDefault="00E31D4E">
            <w:pPr>
              <w:spacing w:after="160" w:line="259" w:lineRule="auto"/>
              <w:ind w:left="284"/>
              <w:rPr>
                <w:rFonts w:eastAsia="Arial" w:cs="Arial"/>
              </w:rPr>
            </w:pPr>
            <w:r w:rsidRPr="0029747A">
              <w:rPr>
                <w:rFonts w:eastAsia="Arial" w:cs="Arial"/>
                <w:b/>
                <w:i/>
              </w:rPr>
              <w:t>A note on terminology…</w:t>
            </w:r>
          </w:p>
          <w:p w14:paraId="508B01F3" w14:textId="45A1E4E6" w:rsidR="00E31D4E" w:rsidRDefault="00E31D4E">
            <w:pPr>
              <w:spacing w:after="160" w:line="259" w:lineRule="auto"/>
              <w:ind w:left="284" w:right="278"/>
              <w:jc w:val="both"/>
              <w:rPr>
                <w:rFonts w:eastAsia="Arial" w:cs="Arial"/>
              </w:rPr>
            </w:pPr>
            <w:r>
              <w:rPr>
                <w:rFonts w:eastAsia="Arial" w:cs="Arial"/>
              </w:rPr>
              <w:t>There are many terms used to describe highly innovative therapies such as (gene modified) cell and gene therapies</w:t>
            </w:r>
            <w:r>
              <w:rPr>
                <w:rFonts w:eastAsia="Arial" w:cs="Arial"/>
              </w:rPr>
              <w:fldChar w:fldCharType="begin"/>
            </w:r>
            <w:r>
              <w:instrText xml:space="preserve"> XE "</w:instrText>
            </w:r>
            <w:r w:rsidRPr="007C61D0">
              <w:rPr>
                <w:rFonts w:eastAsia="Arial" w:cs="Arial"/>
              </w:rPr>
              <w:instrText>cell and gene therapies</w:instrText>
            </w:r>
            <w:r>
              <w:instrText xml:space="preserve">" \b </w:instrText>
            </w:r>
            <w:r>
              <w:rPr>
                <w:rFonts w:eastAsia="Arial" w:cs="Arial"/>
              </w:rPr>
              <w:fldChar w:fldCharType="end"/>
            </w:r>
            <w:r>
              <w:rPr>
                <w:rFonts w:eastAsia="Arial" w:cs="Arial"/>
              </w:rPr>
              <w:t xml:space="preserve"> internationally and in Australia. Internationally, the term </w:t>
            </w:r>
            <w:r w:rsidRPr="00F01D8E">
              <w:rPr>
                <w:rFonts w:eastAsia="Arial" w:cs="Arial"/>
              </w:rPr>
              <w:t xml:space="preserve">Advanced </w:t>
            </w:r>
            <w:r w:rsidR="00E706D0">
              <w:rPr>
                <w:rFonts w:eastAsia="Arial" w:cs="Arial"/>
              </w:rPr>
              <w:t>T</w:t>
            </w:r>
            <w:r w:rsidRPr="00F01D8E">
              <w:rPr>
                <w:rFonts w:eastAsia="Arial" w:cs="Arial"/>
              </w:rPr>
              <w:t xml:space="preserve">herapy </w:t>
            </w:r>
            <w:r w:rsidR="00E706D0">
              <w:rPr>
                <w:rFonts w:eastAsia="Arial" w:cs="Arial"/>
              </w:rPr>
              <w:t>M</w:t>
            </w:r>
            <w:r w:rsidRPr="00F01D8E">
              <w:rPr>
                <w:rFonts w:eastAsia="Arial" w:cs="Arial"/>
              </w:rPr>
              <w:t xml:space="preserve">edicinal </w:t>
            </w:r>
            <w:r w:rsidR="00E706D0">
              <w:rPr>
                <w:rFonts w:eastAsia="Arial" w:cs="Arial"/>
              </w:rPr>
              <w:t>P</w:t>
            </w:r>
            <w:r w:rsidRPr="00F01D8E">
              <w:rPr>
                <w:rFonts w:eastAsia="Arial" w:cs="Arial"/>
              </w:rPr>
              <w:t>roducts (ATMPs)</w:t>
            </w:r>
            <w:r>
              <w:rPr>
                <w:rFonts w:eastAsia="Arial" w:cs="Arial"/>
              </w:rPr>
              <w:t xml:space="preserve"> is used to describe</w:t>
            </w:r>
            <w:r w:rsidRPr="515F9C68">
              <w:rPr>
                <w:rFonts w:eastAsia="Arial" w:cs="Arial"/>
              </w:rPr>
              <w:t xml:space="preserve"> medicines based on genes, tissues or cells that treat often very rare and severe disease or conditions</w:t>
            </w:r>
            <w:r>
              <w:rPr>
                <w:rFonts w:eastAsia="Arial" w:cs="Arial"/>
              </w:rPr>
              <w:t xml:space="preserve"> in many countries. Here in Australia, the TGA uses the term</w:t>
            </w:r>
            <w:r w:rsidR="000B46F9">
              <w:rPr>
                <w:rFonts w:eastAsia="Arial" w:cs="Arial"/>
              </w:rPr>
              <w:t xml:space="preserve"> Advanced Therapies</w:t>
            </w:r>
            <w:r>
              <w:rPr>
                <w:rFonts w:eastAsia="Arial" w:cs="Arial"/>
              </w:rPr>
              <w:t xml:space="preserve"> to refer to innovative therapies including cell and gene therapies</w:t>
            </w:r>
            <w:r w:rsidR="007E1F56">
              <w:rPr>
                <w:rFonts w:eastAsia="Arial" w:cs="Arial"/>
              </w:rPr>
              <w:fldChar w:fldCharType="begin"/>
            </w:r>
            <w:r w:rsidR="007E1F56">
              <w:instrText xml:space="preserve"> XE "</w:instrText>
            </w:r>
            <w:r w:rsidR="007E1F56" w:rsidRPr="00D45E56">
              <w:rPr>
                <w:rFonts w:eastAsia="Arial" w:cs="Arial"/>
              </w:rPr>
              <w:instrText>cell and gene therapies</w:instrText>
            </w:r>
            <w:r w:rsidR="007E1F56">
              <w:instrText xml:space="preserve">" </w:instrText>
            </w:r>
            <w:r w:rsidR="007E1F56">
              <w:rPr>
                <w:rFonts w:eastAsia="Arial" w:cs="Arial"/>
              </w:rPr>
              <w:fldChar w:fldCharType="end"/>
            </w:r>
            <w:r>
              <w:rPr>
                <w:rFonts w:eastAsia="Arial" w:cs="Arial"/>
              </w:rPr>
              <w:t xml:space="preserve"> meeting certain criteria. Some countries and academics use the term Highly Specialised Technologies (including some of the research </w:t>
            </w:r>
            <w:r>
              <w:rPr>
                <w:rFonts w:eastAsia="Arial" w:cs="Arial"/>
              </w:rPr>
              <w:lastRenderedPageBreak/>
              <w:t xml:space="preserve">papers commissioned for the HTA Review) to refer to these therapies. Throughout this document these therapies will be referred to as </w:t>
            </w:r>
            <w:r w:rsidR="000B46F9" w:rsidRPr="002F1549">
              <w:rPr>
                <w:rFonts w:eastAsia="Arial" w:cs="Arial"/>
              </w:rPr>
              <w:t>Advanced Therapies</w:t>
            </w:r>
            <w:r w:rsidR="00E60179">
              <w:rPr>
                <w:rFonts w:eastAsia="Arial" w:cs="Arial"/>
              </w:rPr>
              <w:t xml:space="preserve"> (AT’s)</w:t>
            </w:r>
            <w:r w:rsidRPr="002F1549">
              <w:rPr>
                <w:rFonts w:eastAsia="Arial" w:cs="Arial"/>
              </w:rPr>
              <w:t xml:space="preserve">. </w:t>
            </w:r>
          </w:p>
          <w:p w14:paraId="7FD6A635" w14:textId="77777777" w:rsidR="00E31D4E" w:rsidRDefault="00E31D4E">
            <w:pPr>
              <w:spacing w:after="160" w:line="259" w:lineRule="auto"/>
              <w:ind w:left="284" w:right="278"/>
              <w:jc w:val="both"/>
              <w:rPr>
                <w:rFonts w:eastAsia="Arial" w:cs="Arial"/>
              </w:rPr>
            </w:pPr>
            <w:r>
              <w:rPr>
                <w:rFonts w:eastAsia="Arial" w:cs="Arial"/>
              </w:rPr>
              <w:t xml:space="preserve">For the purposes of interpreting the </w:t>
            </w:r>
            <w:hyperlink r:id="rId138" w:history="1">
              <w:r w:rsidRPr="00DD2776">
                <w:rPr>
                  <w:rStyle w:val="Hyperlink"/>
                  <w:rFonts w:eastAsia="Arial" w:cs="Arial"/>
                  <w:i/>
                  <w:iCs/>
                </w:rPr>
                <w:t>2020–25 NHRA Addendum</w:t>
              </w:r>
            </w:hyperlink>
            <w:r>
              <w:rPr>
                <w:rStyle w:val="Hyperlink"/>
                <w:rFonts w:eastAsia="Arial" w:cs="Arial"/>
                <w:i/>
                <w:iCs/>
              </w:rPr>
              <w:t xml:space="preserve"> </w:t>
            </w:r>
            <w:r>
              <w:rPr>
                <w:rFonts w:eastAsia="Arial" w:cs="Arial"/>
              </w:rPr>
              <w:t>h</w:t>
            </w:r>
            <w:r w:rsidRPr="002F2E9C">
              <w:rPr>
                <w:rFonts w:eastAsia="Arial" w:cs="Arial"/>
              </w:rPr>
              <w:t xml:space="preserve">igh </w:t>
            </w:r>
            <w:r>
              <w:rPr>
                <w:rFonts w:eastAsia="Arial" w:cs="Arial"/>
              </w:rPr>
              <w:t>c</w:t>
            </w:r>
            <w:r w:rsidRPr="002F2E9C">
              <w:rPr>
                <w:rFonts w:eastAsia="Arial" w:cs="Arial"/>
              </w:rPr>
              <w:t xml:space="preserve">ost, </w:t>
            </w:r>
            <w:r>
              <w:rPr>
                <w:rFonts w:eastAsia="Arial" w:cs="Arial"/>
              </w:rPr>
              <w:t>H</w:t>
            </w:r>
            <w:r w:rsidRPr="002F2E9C">
              <w:rPr>
                <w:rFonts w:eastAsia="Arial" w:cs="Arial"/>
              </w:rPr>
              <w:t xml:space="preserve">ighly </w:t>
            </w:r>
            <w:r>
              <w:rPr>
                <w:rFonts w:eastAsia="Arial" w:cs="Arial"/>
              </w:rPr>
              <w:t>S</w:t>
            </w:r>
            <w:r w:rsidRPr="002F2E9C">
              <w:rPr>
                <w:rFonts w:eastAsia="Arial" w:cs="Arial"/>
              </w:rPr>
              <w:t>pecialised</w:t>
            </w:r>
            <w:r>
              <w:rPr>
                <w:rFonts w:eastAsia="Arial" w:cs="Arial"/>
              </w:rPr>
              <w:t xml:space="preserve"> T</w:t>
            </w:r>
            <w:r w:rsidRPr="002F2E9C">
              <w:rPr>
                <w:rFonts w:eastAsia="Arial" w:cs="Arial"/>
              </w:rPr>
              <w:t>herapies</w:t>
            </w:r>
            <w:r>
              <w:rPr>
                <w:rFonts w:eastAsia="Arial" w:cs="Arial"/>
              </w:rPr>
              <w:fldChar w:fldCharType="begin"/>
            </w:r>
            <w:r>
              <w:instrText xml:space="preserve"> XE "</w:instrText>
            </w:r>
            <w:r w:rsidRPr="004856BD">
              <w:instrText>highly specialised therapies</w:instrText>
            </w:r>
            <w:r>
              <w:instrText xml:space="preserve">" \b </w:instrText>
            </w:r>
            <w:r>
              <w:rPr>
                <w:rFonts w:eastAsia="Arial" w:cs="Arial"/>
              </w:rPr>
              <w:fldChar w:fldCharType="end"/>
            </w:r>
            <w:r>
              <w:rPr>
                <w:rFonts w:eastAsia="Arial" w:cs="Arial"/>
              </w:rPr>
              <w:t xml:space="preserve"> (HSTs) referred to within that document are: </w:t>
            </w:r>
          </w:p>
          <w:p w14:paraId="68B344C6" w14:textId="77777777" w:rsidR="00E31D4E" w:rsidRPr="00984E18" w:rsidRDefault="00E31D4E">
            <w:pPr>
              <w:tabs>
                <w:tab w:val="left" w:pos="7548"/>
              </w:tabs>
              <w:spacing w:after="160" w:line="259" w:lineRule="auto"/>
              <w:ind w:left="603" w:right="845"/>
              <w:jc w:val="both"/>
              <w:rPr>
                <w:rFonts w:eastAsia="Arial" w:cs="Arial"/>
                <w:sz w:val="20"/>
                <w:szCs w:val="20"/>
              </w:rPr>
            </w:pPr>
            <w:r w:rsidRPr="00984E18">
              <w:rPr>
                <w:rFonts w:eastAsia="Arial" w:cs="Arial"/>
                <w:i/>
                <w:iCs/>
                <w:sz w:val="20"/>
                <w:szCs w:val="20"/>
              </w:rPr>
              <w:t>“TGA approved medicines and biologicals delivered in public hospitals where the therapy and its conditions of use are recommended by MSAC or PBAC; and the average annual treatment cost at the commencement of funding exceeds $200,000 per patient (including ancillary services) as determined by the MSAC or PBAC with input from the Independent Hospital Pricing Authority; and where the therapy is not otherwise funded through a Commonwealth program or the costs of the therapy would be appropriately funded through a component of an existing pricing classification.”</w:t>
            </w:r>
            <w:r w:rsidRPr="00984E18">
              <w:rPr>
                <w:rFonts w:eastAsia="Arial" w:cs="Arial"/>
                <w:sz w:val="20"/>
                <w:szCs w:val="20"/>
              </w:rPr>
              <w:t xml:space="preserve"> </w:t>
            </w:r>
          </w:p>
          <w:p w14:paraId="41F23085" w14:textId="06C82707" w:rsidR="00E31D4E" w:rsidRDefault="00E31D4E">
            <w:pPr>
              <w:spacing w:after="160" w:line="259" w:lineRule="auto"/>
              <w:ind w:left="284" w:right="278"/>
              <w:jc w:val="both"/>
              <w:rPr>
                <w:rFonts w:eastAsia="Arial" w:cs="Arial"/>
              </w:rPr>
            </w:pPr>
            <w:r w:rsidRPr="00DD2776">
              <w:rPr>
                <w:rFonts w:eastAsia="Arial" w:cs="Arial"/>
              </w:rPr>
              <w:t>While this category</w:t>
            </w:r>
            <w:r>
              <w:rPr>
                <w:rFonts w:eastAsia="Arial" w:cs="Arial"/>
              </w:rPr>
              <w:t xml:space="preserve"> in the NHRA Addendum</w:t>
            </w:r>
            <w:r w:rsidRPr="00DD2776">
              <w:rPr>
                <w:rFonts w:eastAsia="Arial" w:cs="Arial"/>
              </w:rPr>
              <w:t xml:space="preserve"> predominately includes </w:t>
            </w:r>
            <w:r w:rsidR="00BC507F">
              <w:rPr>
                <w:rFonts w:eastAsia="Arial" w:cs="Arial"/>
              </w:rPr>
              <w:t>advanced therapies</w:t>
            </w:r>
            <w:r w:rsidR="00700B73">
              <w:rPr>
                <w:rFonts w:eastAsia="Arial" w:cs="Arial"/>
              </w:rPr>
              <w:fldChar w:fldCharType="begin"/>
            </w:r>
            <w:r w:rsidR="00700B73">
              <w:instrText xml:space="preserve"> XE "</w:instrText>
            </w:r>
            <w:r w:rsidR="00700B73" w:rsidRPr="00D231D2">
              <w:instrText>advanced therapies</w:instrText>
            </w:r>
            <w:r w:rsidR="00700B73">
              <w:instrText xml:space="preserve">" </w:instrText>
            </w:r>
            <w:r w:rsidR="00700B73">
              <w:rPr>
                <w:rFonts w:eastAsia="Arial" w:cs="Arial"/>
              </w:rPr>
              <w:fldChar w:fldCharType="end"/>
            </w:r>
            <w:r w:rsidRPr="00DD2776">
              <w:rPr>
                <w:rFonts w:eastAsia="Arial" w:cs="Arial"/>
              </w:rPr>
              <w:t>, it can also include high-cost pharmaceuticals delivered to public hospital inpatients.</w:t>
            </w:r>
            <w:r>
              <w:rPr>
                <w:rFonts w:eastAsia="Arial" w:cs="Arial"/>
              </w:rPr>
              <w:t xml:space="preserve"> However, as per schedule C of the NHRA Addendum, it only deals with </w:t>
            </w:r>
            <w:r w:rsidRPr="00AA4DD6">
              <w:rPr>
                <w:rFonts w:eastAsia="Arial" w:cs="Arial"/>
              </w:rPr>
              <w:t xml:space="preserve">funding arrangements for </w:t>
            </w:r>
            <w:r>
              <w:rPr>
                <w:rFonts w:eastAsia="Arial" w:cs="Arial"/>
              </w:rPr>
              <w:t>“</w:t>
            </w:r>
            <w:r w:rsidRPr="00AA4DD6">
              <w:rPr>
                <w:rFonts w:eastAsia="Arial" w:cs="Arial"/>
              </w:rPr>
              <w:t>new high cost, highly specialised</w:t>
            </w:r>
            <w:r>
              <w:rPr>
                <w:rFonts w:eastAsia="Arial" w:cs="Arial"/>
              </w:rPr>
              <w:t xml:space="preserve"> </w:t>
            </w:r>
            <w:r w:rsidRPr="00AA4DD6">
              <w:rPr>
                <w:rFonts w:eastAsia="Arial" w:cs="Arial"/>
              </w:rPr>
              <w:t xml:space="preserve">therapies (HSTs), </w:t>
            </w:r>
            <w:r>
              <w:rPr>
                <w:rFonts w:eastAsia="Arial" w:cs="Arial"/>
              </w:rPr>
              <w:t xml:space="preserve">that are </w:t>
            </w:r>
            <w:r w:rsidRPr="00AA4DD6">
              <w:rPr>
                <w:rFonts w:eastAsia="Arial" w:cs="Arial"/>
              </w:rPr>
              <w:t>recommended for delivery in a public hospital setting by the Medical</w:t>
            </w:r>
            <w:r>
              <w:rPr>
                <w:rFonts w:eastAsia="Arial" w:cs="Arial"/>
              </w:rPr>
              <w:t xml:space="preserve"> </w:t>
            </w:r>
            <w:r w:rsidRPr="00AA4DD6">
              <w:rPr>
                <w:rFonts w:eastAsia="Arial" w:cs="Arial"/>
              </w:rPr>
              <w:t>Services Advisory Committee</w:t>
            </w:r>
            <w:r>
              <w:rPr>
                <w:rFonts w:eastAsia="Arial" w:cs="Arial"/>
              </w:rPr>
              <w:t xml:space="preserve">.” </w:t>
            </w:r>
          </w:p>
          <w:p w14:paraId="40625425" w14:textId="4EA93C34" w:rsidR="00A24C23" w:rsidRDefault="002F2657">
            <w:pPr>
              <w:spacing w:after="160" w:line="259" w:lineRule="auto"/>
              <w:ind w:left="284" w:right="278"/>
              <w:jc w:val="both"/>
              <w:rPr>
                <w:rFonts w:eastAsia="Arial" w:cs="Arial"/>
              </w:rPr>
            </w:pPr>
            <w:r>
              <w:rPr>
                <w:rFonts w:eastAsia="Arial" w:cs="Arial"/>
              </w:rPr>
              <w:t>The term HST</w:t>
            </w:r>
            <w:r w:rsidR="00D0068C">
              <w:rPr>
                <w:rFonts w:eastAsia="Arial" w:cs="Arial"/>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rFonts w:eastAsia="Arial" w:cs="Arial"/>
              </w:rPr>
              <w:fldChar w:fldCharType="end"/>
            </w:r>
            <w:r>
              <w:rPr>
                <w:rFonts w:eastAsia="Arial" w:cs="Arial"/>
              </w:rPr>
              <w:t xml:space="preserve"> in </w:t>
            </w:r>
            <w:r w:rsidR="00392D83">
              <w:rPr>
                <w:rFonts w:eastAsia="Arial" w:cs="Arial"/>
              </w:rPr>
              <w:t xml:space="preserve">throughout this document is </w:t>
            </w:r>
            <w:r w:rsidR="006370FC">
              <w:rPr>
                <w:rFonts w:eastAsia="Arial" w:cs="Arial"/>
              </w:rPr>
              <w:t xml:space="preserve">generally referring to </w:t>
            </w:r>
            <w:r w:rsidR="00F22B2F">
              <w:rPr>
                <w:rFonts w:eastAsia="Arial" w:cs="Arial"/>
              </w:rPr>
              <w:t>high cost HST</w:t>
            </w:r>
            <w:r w:rsidR="00D0068C">
              <w:rPr>
                <w:rFonts w:eastAsia="Arial" w:cs="Arial"/>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rFonts w:eastAsia="Arial" w:cs="Arial"/>
              </w:rPr>
              <w:fldChar w:fldCharType="end"/>
            </w:r>
            <w:r w:rsidR="00F22B2F">
              <w:rPr>
                <w:rFonts w:eastAsia="Arial" w:cs="Arial"/>
              </w:rPr>
              <w:t xml:space="preserve">’s </w:t>
            </w:r>
            <w:r w:rsidR="00EE52F7">
              <w:rPr>
                <w:rFonts w:eastAsia="Arial" w:cs="Arial"/>
              </w:rPr>
              <w:t xml:space="preserve">delivered to public hospital inpatients and funded under the NHRA. </w:t>
            </w:r>
          </w:p>
        </w:tc>
      </w:tr>
    </w:tbl>
    <w:p w14:paraId="1A102570" w14:textId="77777777" w:rsidR="00F41F6F" w:rsidRDefault="00F41F6F" w:rsidP="00715F66"/>
    <w:p w14:paraId="47932BDD" w14:textId="14712DF8" w:rsidR="00715F66" w:rsidRDefault="00715F66" w:rsidP="00715F66">
      <w:r>
        <w:t xml:space="preserve">The Commonwealth (through the </w:t>
      </w:r>
      <w:r w:rsidR="00057F05">
        <w:t>D</w:t>
      </w:r>
      <w:r>
        <w:t xml:space="preserve">epartment) collaborates </w:t>
      </w:r>
      <w:r w:rsidRPr="00FC6909">
        <w:t>with state and territory governments</w:t>
      </w:r>
      <w:r w:rsidR="00FC6010">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fldChar w:fldCharType="end"/>
      </w:r>
      <w:r w:rsidRPr="00FC6909">
        <w:t xml:space="preserve"> through the HTA of</w:t>
      </w:r>
      <w:r>
        <w:t xml:space="preserve"> </w:t>
      </w:r>
      <w:r w:rsidR="00C2569E">
        <w:t>h</w:t>
      </w:r>
      <w:r w:rsidR="00020A15">
        <w:t xml:space="preserve">igh </w:t>
      </w:r>
      <w:r w:rsidR="00C2569E">
        <w:t>c</w:t>
      </w:r>
      <w:r w:rsidR="00020A15">
        <w:t>ost, Highly Specialised Therapies (</w:t>
      </w:r>
      <w:r w:rsidR="00C27F50">
        <w:t>HST</w:t>
      </w:r>
      <w:r w:rsidR="111BE125">
        <w:t>s</w:t>
      </w:r>
      <w:r w:rsidR="00020A15">
        <w:t>)</w:t>
      </w:r>
      <w:r w:rsidR="00F94058">
        <w:t>,</w:t>
      </w:r>
      <w:r w:rsidR="00FB4DDB">
        <w:fldChar w:fldCharType="begin"/>
      </w:r>
      <w:r w:rsidR="00FB4DDB">
        <w:instrText xml:space="preserve"> XE "</w:instrText>
      </w:r>
      <w:r w:rsidR="00FB4DDB" w:rsidRPr="00E63409">
        <w:rPr>
          <w:rFonts w:eastAsia="Times New Roman" w:cs="Segoe UI"/>
          <w:color w:val="000000"/>
          <w:kern w:val="24"/>
          <w:lang w:eastAsia="en-AU"/>
        </w:rPr>
        <w:instrText>highly specialised therapies</w:instrText>
      </w:r>
      <w:r w:rsidR="00FB4DDB" w:rsidRPr="00E63409">
        <w:rPr>
          <w:rFonts w:eastAsia="Times New Roman" w:cs="Segoe UI"/>
          <w:color w:val="000000"/>
          <w:kern w:val="24"/>
        </w:rPr>
        <w:instrText>:</w:instrText>
      </w:r>
      <w:r w:rsidR="00FB4DDB" w:rsidRPr="00E63409">
        <w:instrText>HST</w:instrText>
      </w:r>
      <w:r w:rsidR="00FB4DDB">
        <w:instrText xml:space="preserve">" \b </w:instrText>
      </w:r>
      <w:r w:rsidR="00FB4DDB">
        <w:fldChar w:fldCharType="end"/>
      </w:r>
      <w:r w:rsidR="00C27F50">
        <w:t xml:space="preserve"> </w:t>
      </w:r>
      <w:r>
        <w:t>which are appraised by MSAC on behalf of both the Commonwealth and state and territory governments</w:t>
      </w:r>
      <w:r w:rsidR="00E55816">
        <w:t xml:space="preserve">. </w:t>
      </w:r>
      <w:r>
        <w:t xml:space="preserve">All information in relation to applications for public funding of </w:t>
      </w:r>
      <w:r w:rsidR="00CB7584">
        <w:t>these therapies</w:t>
      </w:r>
      <w:r w:rsidR="00FB4DDB">
        <w:fldChar w:fldCharType="begin"/>
      </w:r>
      <w:r w:rsidR="00FB4DDB">
        <w:instrText xml:space="preserve"> XE "</w:instrText>
      </w:r>
      <w:r w:rsidR="00FB4DDB" w:rsidRPr="00E63409">
        <w:rPr>
          <w:rFonts w:eastAsia="Times New Roman" w:cs="Segoe UI"/>
          <w:color w:val="000000"/>
          <w:kern w:val="24"/>
          <w:lang w:eastAsia="en-AU"/>
        </w:rPr>
        <w:instrText>highly specialised therapies</w:instrText>
      </w:r>
      <w:r w:rsidR="00FB4DDB" w:rsidRPr="00E63409">
        <w:rPr>
          <w:rFonts w:eastAsia="Times New Roman" w:cs="Segoe UI"/>
          <w:color w:val="000000"/>
          <w:kern w:val="24"/>
        </w:rPr>
        <w:instrText>:</w:instrText>
      </w:r>
      <w:r w:rsidR="00FB4DDB" w:rsidRPr="00E63409">
        <w:instrText>HST</w:instrText>
      </w:r>
      <w:r w:rsidR="00FB4DDB">
        <w:instrText xml:space="preserve">" \b </w:instrText>
      </w:r>
      <w:r w:rsidR="00FB4DDB">
        <w:fldChar w:fldCharType="end"/>
      </w:r>
      <w:r>
        <w:t xml:space="preserve"> </w:t>
      </w:r>
      <w:r w:rsidR="00965774">
        <w:t>that will be jointly funded between Commonwealth</w:t>
      </w:r>
      <w:r w:rsidR="005D012A">
        <w:t xml:space="preserve">, </w:t>
      </w:r>
      <w:proofErr w:type="gramStart"/>
      <w:r w:rsidR="005D012A">
        <w:t>state</w:t>
      </w:r>
      <w:proofErr w:type="gramEnd"/>
      <w:r w:rsidR="005D012A">
        <w:t xml:space="preserve"> and territory governments</w:t>
      </w:r>
      <w:r w:rsidR="007C0D4E">
        <w:t xml:space="preserve">, </w:t>
      </w:r>
      <w:r>
        <w:t xml:space="preserve">is shared with </w:t>
      </w:r>
      <w:r w:rsidRPr="00FC6909">
        <w:t>state and territory health representatives</w:t>
      </w:r>
      <w:r>
        <w:t xml:space="preserve">. State and territory </w:t>
      </w:r>
      <w:r w:rsidR="000C0490">
        <w:t>governments</w:t>
      </w:r>
      <w:r>
        <w:t xml:space="preserve"> are also engaged across all stages of the process including having the opportunity to observe MSAC deliberations and opportunity </w:t>
      </w:r>
      <w:r w:rsidRPr="001249A1">
        <w:t>participate in</w:t>
      </w:r>
      <w:r>
        <w:t xml:space="preserve"> </w:t>
      </w:r>
      <w:r w:rsidRPr="001249A1">
        <w:t>post-MSAC price negotiations.</w:t>
      </w:r>
    </w:p>
    <w:p w14:paraId="6AEC4A81" w14:textId="146CE58E" w:rsidR="00ED52D3" w:rsidRDefault="006476E1" w:rsidP="00ED52D3">
      <w:r>
        <w:t>Where a high</w:t>
      </w:r>
      <w:r w:rsidR="00E706D0">
        <w:t>-</w:t>
      </w:r>
      <w:r>
        <w:t>cost therapy is likely to be delivered in a public hospital,</w:t>
      </w:r>
      <w:r w:rsidR="00A14686">
        <w:t xml:space="preserve"> </w:t>
      </w:r>
      <w:r>
        <w:t>t</w:t>
      </w:r>
      <w:r w:rsidR="00A14686" w:rsidRPr="00A14686">
        <w:t xml:space="preserve">he MSAC and PBAC Chairs, together with a state and territory </w:t>
      </w:r>
      <w:r w:rsidR="00B86349">
        <w:t xml:space="preserve">government </w:t>
      </w:r>
      <w:r w:rsidR="00A14686" w:rsidRPr="00A14686">
        <w:t>representative jointly decide on which committee should assess the application for a new drug or therapy</w:t>
      </w:r>
      <w:r w:rsidR="005336F4">
        <w:t xml:space="preserve">. </w:t>
      </w:r>
      <w:r w:rsidR="00A14686" w:rsidRPr="00A14686">
        <w:t>The MSAC assessment pathway will apply where an application is determined to meet the HST</w:t>
      </w:r>
      <w:r w:rsidR="00D0068C">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fldChar w:fldCharType="end"/>
      </w:r>
      <w:r w:rsidR="00A14686" w:rsidRPr="00A14686">
        <w:t xml:space="preserve"> criteria.</w:t>
      </w:r>
      <w:r w:rsidR="00A14686">
        <w:t xml:space="preserve"> </w:t>
      </w:r>
    </w:p>
    <w:p w14:paraId="00424247" w14:textId="4B605121" w:rsidR="00E55816" w:rsidRPr="00ED52D3" w:rsidRDefault="00E55816" w:rsidP="00ED52D3">
      <w:r>
        <w:lastRenderedPageBreak/>
        <w:t>For medicines subsidised through the PBS</w:t>
      </w:r>
      <w:r w:rsidR="001F3DED">
        <w:t xml:space="preserve"> the mechanisms for involving state and territor</w:t>
      </w:r>
      <w:r w:rsidR="007C5A35">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001F3DED">
        <w:t xml:space="preserve"> are the same as for other</w:t>
      </w:r>
      <w:r w:rsidR="00E0094A">
        <w:t xml:space="preserve"> individuals and organisations with an interest in particular submissions. </w:t>
      </w:r>
    </w:p>
    <w:p w14:paraId="63E749D2" w14:textId="7412205E" w:rsidR="003A59E9" w:rsidRPr="006647C5" w:rsidRDefault="003A59E9" w:rsidP="00DF557A">
      <w:pPr>
        <w:pStyle w:val="Heading3"/>
      </w:pPr>
      <w:bookmarkStart w:id="123" w:name="_Toc157029068"/>
      <w:r w:rsidRPr="006647C5">
        <w:t>What we heard from stakeholders</w:t>
      </w:r>
      <w:bookmarkEnd w:id="123"/>
      <w:r w:rsidRPr="006647C5">
        <w:t xml:space="preserve"> </w:t>
      </w:r>
    </w:p>
    <w:p w14:paraId="6BF6A81E" w14:textId="2F6816A3" w:rsidR="003F6DA3" w:rsidRDefault="00781619" w:rsidP="003F6DA3">
      <w:r>
        <w:t xml:space="preserve">We heard from </w:t>
      </w:r>
      <w:r w:rsidR="009F354D">
        <w:t>state and territory governments</w:t>
      </w:r>
      <w:r w:rsidR="00FC6010">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fldChar w:fldCharType="end"/>
      </w:r>
      <w:r w:rsidR="002E31FE">
        <w:t xml:space="preserve"> </w:t>
      </w:r>
      <w:r>
        <w:t>that they</w:t>
      </w:r>
      <w:r w:rsidR="00510F2C">
        <w:t xml:space="preserve"> supported the rigorous </w:t>
      </w:r>
      <w:r w:rsidR="0002361B">
        <w:t xml:space="preserve">processes for assessing </w:t>
      </w:r>
      <w:r w:rsidR="00B8228A">
        <w:t xml:space="preserve">effectiveness, </w:t>
      </w:r>
      <w:proofErr w:type="gramStart"/>
      <w:r w:rsidR="00B8228A">
        <w:t>safety</w:t>
      </w:r>
      <w:proofErr w:type="gramEnd"/>
      <w:r w:rsidR="00B8228A">
        <w:t xml:space="preserve"> and cost-effectiveness</w:t>
      </w:r>
      <w:r w:rsidR="00EE2223">
        <w:t xml:space="preserve"> but that they</w:t>
      </w:r>
      <w:r>
        <w:t xml:space="preserve"> felt they did not have sufficient</w:t>
      </w:r>
      <w:r w:rsidR="003E0082">
        <w:t xml:space="preserve"> visibility of PBAC decisions given the impact </w:t>
      </w:r>
      <w:r w:rsidR="00892B13">
        <w:t>on state hospital budgets.</w:t>
      </w:r>
      <w:r w:rsidR="009F354D">
        <w:t xml:space="preserve"> Several</w:t>
      </w:r>
      <w:r w:rsidR="00892B13">
        <w:t xml:space="preserve"> </w:t>
      </w:r>
      <w:r w:rsidR="00B90F93">
        <w:t>submissions</w:t>
      </w:r>
      <w:r w:rsidR="009F354D">
        <w:t xml:space="preserve"> from</w:t>
      </w:r>
      <w:r w:rsidR="00892B13">
        <w:t xml:space="preserve"> state and territor</w:t>
      </w:r>
      <w:r w:rsidR="002D5931">
        <w:t>y</w:t>
      </w:r>
      <w:r w:rsidR="00892B13">
        <w:t xml:space="preserve"> </w:t>
      </w:r>
      <w:r w:rsidR="002D5931">
        <w:t>governments</w:t>
      </w:r>
      <w:r w:rsidR="00892B13">
        <w:t xml:space="preserve"> </w:t>
      </w:r>
      <w:r w:rsidR="009F354D">
        <w:t>expressed</w:t>
      </w:r>
      <w:r w:rsidR="00892B13">
        <w:t xml:space="preserve"> they were not </w:t>
      </w:r>
      <w:r w:rsidR="002F1C21">
        <w:t xml:space="preserve">appropriately consulted during </w:t>
      </w:r>
      <w:r w:rsidR="00870900">
        <w:t>the process of</w:t>
      </w:r>
      <w:r w:rsidR="00305FAE">
        <w:t xml:space="preserve"> considering submissions for public funding and</w:t>
      </w:r>
      <w:r w:rsidR="00870900">
        <w:t xml:space="preserve"> making HTA recommendations. </w:t>
      </w:r>
    </w:p>
    <w:p w14:paraId="6AC46BA9" w14:textId="4EE0F2E4" w:rsidR="00916240" w:rsidRDefault="00916240" w:rsidP="003F6DA3">
      <w:r>
        <w:t xml:space="preserve">We also heard about the impact of </w:t>
      </w:r>
      <w:r w:rsidR="002F0D63">
        <w:t>new high cost</w:t>
      </w:r>
      <w:r w:rsidR="007D12CD">
        <w:t>, or complex to implement</w:t>
      </w:r>
      <w:r w:rsidR="002F0D63">
        <w:t xml:space="preserve"> therapies</w:t>
      </w:r>
      <w:r w:rsidR="007D12CD">
        <w:t xml:space="preserve"> </w:t>
      </w:r>
      <w:r w:rsidR="002A67C5">
        <w:t xml:space="preserve">and </w:t>
      </w:r>
      <w:r w:rsidR="00997646">
        <w:t>a desire</w:t>
      </w:r>
      <w:r w:rsidR="002A67C5">
        <w:t xml:space="preserve"> for better </w:t>
      </w:r>
      <w:r w:rsidR="00997646">
        <w:t>planning</w:t>
      </w:r>
      <w:r w:rsidR="0056716C">
        <w:t xml:space="preserve"> and clearer </w:t>
      </w:r>
      <w:r w:rsidR="00F642FD">
        <w:t>timing of implementation</w:t>
      </w:r>
      <w:r w:rsidR="00997646">
        <w:t xml:space="preserve">. </w:t>
      </w:r>
    </w:p>
    <w:p w14:paraId="7E623EEE" w14:textId="70A0C9B4" w:rsidR="00D728FC" w:rsidRDefault="00D728FC" w:rsidP="00DF557A">
      <w:pPr>
        <w:pStyle w:val="Heading3"/>
      </w:pPr>
      <w:bookmarkStart w:id="124" w:name="_Toc157029069"/>
      <w:r>
        <w:t>Issues</w:t>
      </w:r>
      <w:bookmarkEnd w:id="124"/>
    </w:p>
    <w:p w14:paraId="73C5938F" w14:textId="33DCBF53" w:rsidR="002C086D" w:rsidRDefault="006A3DBA" w:rsidP="00D728FC">
      <w:r>
        <w:t xml:space="preserve">We think there are significant opportunities </w:t>
      </w:r>
      <w:r w:rsidR="00BA2325">
        <w:t xml:space="preserve">to increase the participation of </w:t>
      </w:r>
      <w:r w:rsidR="00C43A74">
        <w:t>state and territor</w:t>
      </w:r>
      <w:r w:rsidR="00566F8E">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00C43A74">
        <w:t xml:space="preserve"> in the HTA process. </w:t>
      </w:r>
      <w:r w:rsidR="0093197D">
        <w:t>We</w:t>
      </w:r>
      <w:r w:rsidR="00087A39">
        <w:t xml:space="preserve"> have heard that </w:t>
      </w:r>
      <w:r w:rsidR="003D014A">
        <w:t xml:space="preserve">state and </w:t>
      </w:r>
      <w:r w:rsidR="008278DA">
        <w:t>territor</w:t>
      </w:r>
      <w:r w:rsidR="00566F8E">
        <w:t>y governments</w:t>
      </w:r>
      <w:r w:rsidR="003B0C41">
        <w:t xml:space="preserve"> (</w:t>
      </w:r>
      <w:r w:rsidR="003D014A">
        <w:t xml:space="preserve">and </w:t>
      </w:r>
      <w:r w:rsidR="003B0C41">
        <w:t xml:space="preserve">their </w:t>
      </w:r>
      <w:r w:rsidR="003D014A">
        <w:t>hospital systems</w:t>
      </w:r>
      <w:r w:rsidR="00C14E22">
        <w:t>)</w:t>
      </w:r>
      <w:r w:rsidR="003D014A">
        <w:t xml:space="preserve"> </w:t>
      </w:r>
      <w:r w:rsidR="004665F2">
        <w:t xml:space="preserve">collect and hold data </w:t>
      </w:r>
      <w:r w:rsidR="00A368AA">
        <w:t xml:space="preserve">on usage and outcomes associated with </w:t>
      </w:r>
      <w:r w:rsidR="002B0A9E">
        <w:t xml:space="preserve">therapies that are funded or being considered for funding by the </w:t>
      </w:r>
      <w:r w:rsidR="00984F45">
        <w:t>Commonwealth</w:t>
      </w:r>
      <w:r w:rsidR="004665F2">
        <w:t xml:space="preserve"> that </w:t>
      </w:r>
      <w:r w:rsidR="00F55101">
        <w:t xml:space="preserve">may </w:t>
      </w:r>
      <w:r w:rsidR="004417FC">
        <w:t xml:space="preserve">assist HTA </w:t>
      </w:r>
      <w:r w:rsidR="00CD7F8E">
        <w:t>decision</w:t>
      </w:r>
      <w:r w:rsidR="003F0C39">
        <w:t>-</w:t>
      </w:r>
      <w:r w:rsidR="00CD7F8E">
        <w:t>making at the Commonwealth level</w:t>
      </w:r>
      <w:r w:rsidR="007547A1">
        <w:t xml:space="preserve"> but is not currently being utilised</w:t>
      </w:r>
      <w:r w:rsidR="00767565">
        <w:t>. The</w:t>
      </w:r>
      <w:r w:rsidR="008F1F96">
        <w:t>re are many reasons for this</w:t>
      </w:r>
      <w:r w:rsidR="003F0C39">
        <w:t>,</w:t>
      </w:r>
      <w:r w:rsidR="008F1F96">
        <w:t xml:space="preserve"> including</w:t>
      </w:r>
      <w:r w:rsidR="0029234E">
        <w:t xml:space="preserve"> that systems for </w:t>
      </w:r>
      <w:r w:rsidR="003310D9">
        <w:t xml:space="preserve">collecting and analysing data </w:t>
      </w:r>
      <w:r w:rsidR="007E5972">
        <w:t>vary across jurisdictions and that there is</w:t>
      </w:r>
      <w:r w:rsidR="00ED065E">
        <w:t xml:space="preserve"> a lack of centralised data sharing and data standardisation.</w:t>
      </w:r>
      <w:r w:rsidR="00825EB9">
        <w:t xml:space="preserve"> </w:t>
      </w:r>
    </w:p>
    <w:p w14:paraId="119618DF" w14:textId="541BD004" w:rsidR="00441263" w:rsidRPr="00D728FC" w:rsidRDefault="00825EB9" w:rsidP="00D728FC">
      <w:r>
        <w:t xml:space="preserve">We agree that </w:t>
      </w:r>
      <w:r w:rsidR="00DE5F00">
        <w:t>coordinated horizon scanning</w:t>
      </w:r>
      <w:r w:rsidR="00953783">
        <w:fldChar w:fldCharType="begin"/>
      </w:r>
      <w:r w:rsidR="00953783">
        <w:instrText xml:space="preserve"> XE "</w:instrText>
      </w:r>
      <w:r w:rsidR="00953783" w:rsidRPr="00E51D8C">
        <w:instrText>horizon scanning</w:instrText>
      </w:r>
      <w:r w:rsidR="00953783">
        <w:instrText xml:space="preserve">" </w:instrText>
      </w:r>
      <w:r w:rsidR="00953783">
        <w:fldChar w:fldCharType="end"/>
      </w:r>
      <w:r w:rsidR="00DE5F00">
        <w:t xml:space="preserve"> would help the Commonwealth </w:t>
      </w:r>
      <w:r w:rsidR="005758B2">
        <w:t>and state and territor</w:t>
      </w:r>
      <w:r w:rsidR="00566F8E">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005758B2">
        <w:t xml:space="preserve"> plan for </w:t>
      </w:r>
      <w:r w:rsidR="005F3130">
        <w:t xml:space="preserve">disruptive technologies. We also agree there needs to be clarity about implementation, </w:t>
      </w:r>
      <w:r w:rsidR="00585D5F">
        <w:t xml:space="preserve">and especially timing, after </w:t>
      </w:r>
      <w:r w:rsidR="00AF5296">
        <w:t>funding is supported by advisory committees for</w:t>
      </w:r>
      <w:r w:rsidR="00CB09F5">
        <w:t xml:space="preserve"> high cost HST</w:t>
      </w:r>
      <w:r w:rsidR="00D0068C">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fldChar w:fldCharType="end"/>
      </w:r>
      <w:r w:rsidR="00CB09F5">
        <w:t>’s</w:t>
      </w:r>
      <w:r w:rsidR="00953F50">
        <w:t>, delivered to public hospital inpatients</w:t>
      </w:r>
      <w:r w:rsidR="00AF5296">
        <w:t>.</w:t>
      </w:r>
      <w:r w:rsidR="005F3130">
        <w:t xml:space="preserve"> </w:t>
      </w:r>
    </w:p>
    <w:p w14:paraId="3C63AABB" w14:textId="3A021EBE" w:rsidR="000145F6" w:rsidRDefault="003A59E9" w:rsidP="001B54EA">
      <w:pPr>
        <w:pStyle w:val="Heading3"/>
        <w:keepNext/>
        <w:keepLines/>
      </w:pPr>
      <w:bookmarkStart w:id="125" w:name="_Toc157029070"/>
      <w:r w:rsidRPr="006647C5">
        <w:t xml:space="preserve">Options to address identified </w:t>
      </w:r>
      <w:proofErr w:type="gramStart"/>
      <w:r w:rsidRPr="006647C5">
        <w:t>issues</w:t>
      </w:r>
      <w:bookmarkEnd w:id="125"/>
      <w:proofErr w:type="gramEnd"/>
    </w:p>
    <w:tbl>
      <w:tblPr>
        <w:tblStyle w:val="TableGrid"/>
        <w:tblpPr w:leftFromText="181" w:rightFromText="181" w:bottomFromText="142" w:vertAnchor="text" w:tblpY="1"/>
        <w:tblW w:w="0" w:type="auto"/>
        <w:tblLook w:val="04A0" w:firstRow="1" w:lastRow="0" w:firstColumn="1" w:lastColumn="0" w:noHBand="0" w:noVBand="1"/>
      </w:tblPr>
      <w:tblGrid>
        <w:gridCol w:w="9016"/>
      </w:tblGrid>
      <w:tr w:rsidR="00A175A7" w14:paraId="0779E984" w14:textId="77777777" w:rsidTr="00D2668A">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746633C5" w14:textId="77777777" w:rsidR="00A175A7" w:rsidRDefault="00FF18FB" w:rsidP="001B54EA">
            <w:pPr>
              <w:keepNext/>
              <w:keepLines/>
              <w:spacing w:before="160" w:after="160" w:line="259" w:lineRule="auto"/>
              <w:rPr>
                <w:b/>
                <w:bCs/>
              </w:rPr>
            </w:pPr>
            <w:r w:rsidRPr="00FF18FB">
              <w:rPr>
                <w:b/>
                <w:bCs/>
              </w:rPr>
              <w:t>Development of central standardised data sharing system for utilisation and outcome data</w:t>
            </w:r>
          </w:p>
          <w:p w14:paraId="6307D52A" w14:textId="5E9A6D3B" w:rsidR="00FF18FB" w:rsidRDefault="00FF18FB" w:rsidP="008C10BB">
            <w:pPr>
              <w:keepNext/>
              <w:keepLines/>
              <w:spacing w:line="259" w:lineRule="auto"/>
              <w:rPr>
                <w:rFonts w:eastAsia="Times New Roman" w:cs="Segoe UI"/>
                <w:color w:val="222A35"/>
                <w:kern w:val="24"/>
                <w:lang w:eastAsia="en-AU"/>
              </w:rPr>
            </w:pPr>
            <w:r w:rsidRPr="00E61E42">
              <w:rPr>
                <w:rFonts w:eastAsia="Times New Roman" w:cs="Segoe UI"/>
                <w:color w:val="222A35"/>
                <w:kern w:val="24"/>
                <w:lang w:eastAsia="en-AU"/>
              </w:rPr>
              <w:t>Increase collaboration</w:t>
            </w:r>
            <w:r w:rsidR="00306661">
              <w:rPr>
                <w:rFonts w:eastAsia="Times New Roman" w:cs="Segoe UI"/>
                <w:color w:val="222A35"/>
                <w:kern w:val="24"/>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lang w:eastAsia="en-AU"/>
              </w:rPr>
              <w:fldChar w:fldCharType="end"/>
            </w:r>
            <w:r w:rsidRPr="00E61E42">
              <w:rPr>
                <w:rFonts w:eastAsia="Times New Roman" w:cs="Segoe UI"/>
                <w:color w:val="222A35"/>
                <w:kern w:val="24"/>
                <w:lang w:eastAsia="en-AU"/>
              </w:rPr>
              <w:t xml:space="preserve"> through centralised data sharing and data standardisation (with funding for associated infrastructure) for utilisation and outcome data associated with use of health technologies to support nationally cohesive HTA.</w:t>
            </w:r>
          </w:p>
          <w:p w14:paraId="0E630315" w14:textId="53B1B209" w:rsidR="00FF18FB" w:rsidRPr="00CE5D24" w:rsidRDefault="00FF18FB" w:rsidP="008C10BB">
            <w:pPr>
              <w:keepNext/>
              <w:keepLines/>
              <w:spacing w:line="259" w:lineRule="auto"/>
              <w:rPr>
                <w:rFonts w:eastAsia="Times New Roman" w:cs="Segoe UI"/>
                <w:color w:val="222A35"/>
                <w:kern w:val="24"/>
                <w:sz w:val="20"/>
                <w:szCs w:val="20"/>
                <w:lang w:eastAsia="en-AU"/>
              </w:rPr>
            </w:pPr>
          </w:p>
        </w:tc>
      </w:tr>
    </w:tbl>
    <w:p w14:paraId="59AD68EC" w14:textId="77777777" w:rsidR="00F80FBF" w:rsidRDefault="00F80FBF" w:rsidP="001B54EA">
      <w:pPr>
        <w:keepNext/>
        <w:keepLines/>
        <w:spacing w:after="0"/>
      </w:pPr>
    </w:p>
    <w:tbl>
      <w:tblPr>
        <w:tblStyle w:val="TableGrid"/>
        <w:tblpPr w:leftFromText="181" w:rightFromText="181" w:bottomFromText="142" w:vertAnchor="text" w:tblpY="1"/>
        <w:tblW w:w="0" w:type="auto"/>
        <w:tblLook w:val="04A0" w:firstRow="1" w:lastRow="0" w:firstColumn="1" w:lastColumn="0" w:noHBand="0" w:noVBand="1"/>
      </w:tblPr>
      <w:tblGrid>
        <w:gridCol w:w="9016"/>
      </w:tblGrid>
      <w:tr w:rsidR="00FF18FB" w14:paraId="6ABD93DE" w14:textId="77777777" w:rsidTr="00D2668A">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6CBCA9A3" w14:textId="5B761629" w:rsidR="00FF18FB" w:rsidRDefault="00505A43">
            <w:pPr>
              <w:spacing w:before="160" w:after="160" w:line="259" w:lineRule="auto"/>
              <w:rPr>
                <w:b/>
                <w:bCs/>
              </w:rPr>
            </w:pPr>
            <w:r w:rsidRPr="00505A43">
              <w:rPr>
                <w:b/>
                <w:bCs/>
              </w:rPr>
              <w:t xml:space="preserve">Increase opportunities for consultation and work </w:t>
            </w:r>
            <w:proofErr w:type="gramStart"/>
            <w:r w:rsidRPr="00505A43">
              <w:rPr>
                <w:b/>
                <w:bCs/>
              </w:rPr>
              <w:t>sharing</w:t>
            </w:r>
            <w:proofErr w:type="gramEnd"/>
            <w:r w:rsidRPr="00505A43">
              <w:rPr>
                <w:b/>
                <w:bCs/>
              </w:rPr>
              <w:t xml:space="preserve"> </w:t>
            </w:r>
          </w:p>
          <w:p w14:paraId="602F291C" w14:textId="02B2533F" w:rsidR="00FF18FB" w:rsidRDefault="00505A43" w:rsidP="008C10BB">
            <w:pPr>
              <w:spacing w:line="259" w:lineRule="auto"/>
              <w:rPr>
                <w:rFonts w:eastAsia="Times New Roman" w:cs="Segoe UI"/>
                <w:color w:val="222A35"/>
                <w:kern w:val="24"/>
                <w:lang w:eastAsia="en-AU"/>
              </w:rPr>
            </w:pPr>
            <w:r w:rsidRPr="00505A43">
              <w:rPr>
                <w:rFonts w:eastAsia="Times New Roman" w:cs="Segoe UI"/>
                <w:color w:val="222A35"/>
                <w:kern w:val="24"/>
                <w:lang w:eastAsia="en-AU"/>
              </w:rPr>
              <w:t>Promote more opportunities for input, consultation and work sharing by state and territory governments</w:t>
            </w:r>
            <w:r w:rsidR="00CA32F1">
              <w:rPr>
                <w:rFonts w:eastAsia="Times New Roman" w:cs="Segoe UI"/>
                <w:color w:val="222A35"/>
                <w:kern w:val="24"/>
                <w:lang w:eastAsia="en-AU"/>
              </w:rPr>
              <w:fldChar w:fldCharType="begin"/>
            </w:r>
            <w:r w:rsidR="00CA32F1">
              <w:instrText xml:space="preserve"> XE "</w:instrText>
            </w:r>
            <w:r w:rsidR="00CA32F1" w:rsidRPr="002E4A7A">
              <w:instrText>state and territory governments</w:instrText>
            </w:r>
            <w:r w:rsidR="00CA32F1">
              <w:instrText xml:space="preserve">" </w:instrText>
            </w:r>
            <w:r w:rsidR="00CA32F1">
              <w:rPr>
                <w:rFonts w:eastAsia="Times New Roman" w:cs="Segoe UI"/>
                <w:color w:val="222A35"/>
                <w:kern w:val="24"/>
                <w:lang w:eastAsia="en-AU"/>
              </w:rPr>
              <w:fldChar w:fldCharType="end"/>
            </w:r>
            <w:r w:rsidRPr="00505A43">
              <w:rPr>
                <w:rFonts w:eastAsia="Times New Roman" w:cs="Segoe UI"/>
                <w:color w:val="222A35"/>
                <w:kern w:val="24"/>
                <w:lang w:eastAsia="en-AU"/>
              </w:rPr>
              <w:t xml:space="preserve"> across the health technology lifecycle to support efficient and effective implementation and use of health technologies including providing </w:t>
            </w:r>
            <w:r w:rsidR="00203704">
              <w:rPr>
                <w:rFonts w:eastAsia="Times New Roman" w:cs="Segoe UI"/>
                <w:color w:val="222A35"/>
                <w:kern w:val="24"/>
                <w:lang w:eastAsia="en-AU"/>
              </w:rPr>
              <w:t>state</w:t>
            </w:r>
            <w:r w:rsidRPr="00505A43">
              <w:rPr>
                <w:rFonts w:eastAsia="Times New Roman" w:cs="Segoe UI"/>
                <w:color w:val="222A35"/>
                <w:kern w:val="24"/>
                <w:lang w:eastAsia="en-AU"/>
              </w:rPr>
              <w:t xml:space="preserve"> and </w:t>
            </w:r>
            <w:r w:rsidR="00203704">
              <w:rPr>
                <w:rFonts w:eastAsia="Times New Roman" w:cs="Segoe UI"/>
                <w:color w:val="222A35"/>
                <w:kern w:val="24"/>
                <w:lang w:eastAsia="en-AU"/>
              </w:rPr>
              <w:t>territory</w:t>
            </w:r>
            <w:r w:rsidRPr="00505A43">
              <w:rPr>
                <w:rFonts w:eastAsia="Times New Roman" w:cs="Segoe UI"/>
                <w:color w:val="222A35"/>
                <w:kern w:val="24"/>
                <w:lang w:eastAsia="en-AU"/>
              </w:rPr>
              <w:t xml:space="preserve"> health departments opportunities for consultation and collaboration</w:t>
            </w:r>
            <w:r w:rsidR="00306661">
              <w:rPr>
                <w:rFonts w:eastAsia="Times New Roman" w:cs="Segoe UI"/>
                <w:color w:val="222A35"/>
                <w:kern w:val="24"/>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lang w:eastAsia="en-AU"/>
              </w:rPr>
              <w:fldChar w:fldCharType="end"/>
            </w:r>
            <w:r w:rsidRPr="00505A43">
              <w:rPr>
                <w:rFonts w:eastAsia="Times New Roman" w:cs="Segoe UI"/>
                <w:color w:val="222A35"/>
                <w:kern w:val="24"/>
                <w:lang w:eastAsia="en-AU"/>
              </w:rPr>
              <w:t xml:space="preserve"> on HTA decisions that will have a significant financial or operational impact on them. </w:t>
            </w:r>
            <w:r w:rsidR="00861E33" w:rsidRPr="00531F49">
              <w:rPr>
                <w:rFonts w:eastAsia="Times New Roman" w:cs="Segoe UI"/>
                <w:color w:val="222A35"/>
                <w:kern w:val="24"/>
                <w:lang w:eastAsia="en-AU"/>
              </w:rPr>
              <w:t>(</w:t>
            </w:r>
            <w:proofErr w:type="gramStart"/>
            <w:r w:rsidR="00F37FA0" w:rsidRPr="00531F49">
              <w:rPr>
                <w:rFonts w:eastAsia="Times New Roman" w:cs="Segoe UI"/>
                <w:color w:val="222A35"/>
                <w:kern w:val="24"/>
                <w:lang w:eastAsia="en-AU"/>
              </w:rPr>
              <w:t>see</w:t>
            </w:r>
            <w:proofErr w:type="gramEnd"/>
            <w:r w:rsidR="00F37FA0" w:rsidRPr="00531F49">
              <w:rPr>
                <w:rFonts w:eastAsia="Times New Roman" w:cs="Segoe UI"/>
                <w:color w:val="222A35"/>
                <w:kern w:val="24"/>
                <w:lang w:eastAsia="en-AU"/>
              </w:rPr>
              <w:t xml:space="preserve"> also</w:t>
            </w:r>
            <w:r w:rsidR="004F1D25">
              <w:rPr>
                <w:rFonts w:eastAsia="Times New Roman" w:cs="Segoe UI"/>
                <w:color w:val="222A35"/>
                <w:kern w:val="24"/>
                <w:lang w:eastAsia="en-AU"/>
              </w:rPr>
              <w:t xml:space="preserve"> </w:t>
            </w:r>
            <w:hyperlink w:anchor="_Capacity_and_capability" w:history="1">
              <w:r w:rsidR="004F1D25" w:rsidRPr="004F1D25">
                <w:rPr>
                  <w:rStyle w:val="Hyperlink"/>
                  <w:rFonts w:eastAsia="Times New Roman"/>
                  <w:kern w:val="24"/>
                  <w:lang w:eastAsia="en-AU"/>
                </w:rPr>
                <w:t>Capacity and capability in the HTA systems</w:t>
              </w:r>
            </w:hyperlink>
            <w:r w:rsidR="00861E33" w:rsidRPr="00531F49">
              <w:rPr>
                <w:rFonts w:eastAsia="Times New Roman" w:cs="Segoe UI"/>
                <w:color w:val="222A35"/>
                <w:kern w:val="24"/>
                <w:lang w:eastAsia="en-AU"/>
              </w:rPr>
              <w:t>)</w:t>
            </w:r>
          </w:p>
          <w:p w14:paraId="42484CF8" w14:textId="10491ECC" w:rsidR="00505A43" w:rsidRPr="00E6762F" w:rsidRDefault="00505A43" w:rsidP="008C10BB">
            <w:pPr>
              <w:spacing w:line="259" w:lineRule="auto"/>
              <w:rPr>
                <w:rFonts w:eastAsia="Times New Roman" w:cs="Segoe UI"/>
                <w:color w:val="222A35"/>
                <w:kern w:val="24"/>
                <w:sz w:val="20"/>
                <w:szCs w:val="20"/>
                <w:lang w:eastAsia="en-AU"/>
              </w:rPr>
            </w:pPr>
          </w:p>
        </w:tc>
      </w:tr>
    </w:tbl>
    <w:p w14:paraId="2A12DAF6" w14:textId="77777777" w:rsidR="00FF18FB" w:rsidRDefault="00FF18FB" w:rsidP="009121AF">
      <w:pPr>
        <w:spacing w:after="0"/>
      </w:pPr>
    </w:p>
    <w:tbl>
      <w:tblPr>
        <w:tblStyle w:val="TableGrid"/>
        <w:tblpPr w:leftFromText="181" w:rightFromText="181" w:bottomFromText="142" w:vertAnchor="text" w:tblpY="1"/>
        <w:tblW w:w="0" w:type="auto"/>
        <w:tblLook w:val="04A0" w:firstRow="1" w:lastRow="0" w:firstColumn="1" w:lastColumn="0" w:noHBand="0" w:noVBand="1"/>
      </w:tblPr>
      <w:tblGrid>
        <w:gridCol w:w="9016"/>
      </w:tblGrid>
      <w:tr w:rsidR="002A1DC5" w14:paraId="15E2D74C" w14:textId="77777777" w:rsidTr="00D2668A">
        <w:trPr>
          <w:trHeight w:val="993"/>
        </w:trPr>
        <w:tc>
          <w:tcPr>
            <w:tcW w:w="9016" w:type="dxa"/>
            <w:tcBorders>
              <w:top w:val="single" w:sz="18" w:space="0" w:color="ACC02A" w:themeColor="accent5"/>
              <w:left w:val="nil"/>
              <w:bottom w:val="nil"/>
              <w:right w:val="nil"/>
            </w:tcBorders>
            <w:shd w:val="clear" w:color="auto" w:fill="F2F2F2" w:themeFill="background1" w:themeFillShade="F2"/>
          </w:tcPr>
          <w:p w14:paraId="6558C39D" w14:textId="53259B61" w:rsidR="002A1DC5" w:rsidRDefault="002A1DC5">
            <w:pPr>
              <w:spacing w:before="160" w:after="160" w:line="259" w:lineRule="auto"/>
              <w:rPr>
                <w:b/>
                <w:bCs/>
              </w:rPr>
            </w:pPr>
            <w:r w:rsidRPr="002A1DC5">
              <w:rPr>
                <w:b/>
                <w:bCs/>
              </w:rPr>
              <w:t xml:space="preserve">Health Technologies that are jointly funded by the Commonwealth and </w:t>
            </w:r>
            <w:r w:rsidR="008C4CCF">
              <w:rPr>
                <w:b/>
                <w:bCs/>
              </w:rPr>
              <w:t>s</w:t>
            </w:r>
            <w:r w:rsidR="00872DE0">
              <w:rPr>
                <w:b/>
                <w:bCs/>
              </w:rPr>
              <w:t>tate</w:t>
            </w:r>
            <w:r w:rsidRPr="002A1DC5">
              <w:rPr>
                <w:b/>
                <w:bCs/>
              </w:rPr>
              <w:t xml:space="preserve"> and </w:t>
            </w:r>
            <w:r w:rsidR="00872DE0">
              <w:rPr>
                <w:b/>
                <w:bCs/>
              </w:rPr>
              <w:t>territory governments</w:t>
            </w:r>
            <w:r w:rsidR="00CA32F1">
              <w:rPr>
                <w:b/>
                <w:bCs/>
              </w:rPr>
              <w:fldChar w:fldCharType="begin"/>
            </w:r>
            <w:r w:rsidR="00CA32F1">
              <w:instrText xml:space="preserve"> XE "</w:instrText>
            </w:r>
            <w:r w:rsidR="00CA32F1" w:rsidRPr="002E4A7A">
              <w:instrText>state and territory governments</w:instrText>
            </w:r>
            <w:r w:rsidR="00CA32F1">
              <w:instrText xml:space="preserve">" </w:instrText>
            </w:r>
            <w:r w:rsidR="00CA32F1">
              <w:rPr>
                <w:b/>
                <w:bCs/>
              </w:rPr>
              <w:fldChar w:fldCharType="end"/>
            </w:r>
            <w:r w:rsidRPr="002A1DC5">
              <w:rPr>
                <w:b/>
                <w:bCs/>
              </w:rPr>
              <w:t xml:space="preserve"> </w:t>
            </w:r>
            <w:r w:rsidR="002032F8">
              <w:rPr>
                <w:b/>
                <w:bCs/>
              </w:rPr>
              <w:t>(</w:t>
            </w:r>
            <w:r w:rsidRPr="002A1DC5">
              <w:rPr>
                <w:b/>
                <w:bCs/>
              </w:rPr>
              <w:t>such as</w:t>
            </w:r>
            <w:r w:rsidR="002032F8">
              <w:rPr>
                <w:b/>
                <w:bCs/>
              </w:rPr>
              <w:t xml:space="preserve"> high cost</w:t>
            </w:r>
            <w:r w:rsidRPr="002A1DC5">
              <w:rPr>
                <w:b/>
                <w:bCs/>
              </w:rPr>
              <w:t xml:space="preserve"> HST</w:t>
            </w:r>
            <w:r w:rsidR="00D0068C">
              <w:rPr>
                <w:b/>
                <w:bCs/>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b/>
                <w:bCs/>
              </w:rPr>
              <w:fldChar w:fldCharType="end"/>
            </w:r>
            <w:r w:rsidRPr="002A1DC5">
              <w:rPr>
                <w:b/>
                <w:bCs/>
              </w:rPr>
              <w:t>’s</w:t>
            </w:r>
            <w:r w:rsidRPr="00505A43">
              <w:rPr>
                <w:b/>
                <w:bCs/>
              </w:rPr>
              <w:t xml:space="preserve"> </w:t>
            </w:r>
            <w:r w:rsidR="005C1164">
              <w:rPr>
                <w:b/>
                <w:bCs/>
              </w:rPr>
              <w:t xml:space="preserve">delivered to </w:t>
            </w:r>
            <w:r w:rsidR="00CB26E9">
              <w:rPr>
                <w:b/>
                <w:bCs/>
              </w:rPr>
              <w:t>inpatients in public hospitals</w:t>
            </w:r>
            <w:r w:rsidR="002032F8">
              <w:rPr>
                <w:b/>
                <w:bCs/>
              </w:rPr>
              <w:t>)</w:t>
            </w:r>
          </w:p>
          <w:p w14:paraId="7D902126" w14:textId="10CBE3E1" w:rsidR="00A21EDA" w:rsidRPr="00E61E42" w:rsidRDefault="00A21EDA" w:rsidP="008505D7">
            <w:pPr>
              <w:pStyle w:val="ListParagraph"/>
              <w:numPr>
                <w:ilvl w:val="0"/>
                <w:numId w:val="59"/>
              </w:numPr>
              <w:spacing w:line="259" w:lineRule="auto"/>
            </w:pPr>
            <w:r w:rsidRPr="00E61E42">
              <w:t xml:space="preserve">Prioritise and expedite and the development and implementation of a nationally cohesive approach to HTA as outlined in Schedule C of the </w:t>
            </w:r>
            <w:r w:rsidR="000E75DD">
              <w:t xml:space="preserve">2020-25 </w:t>
            </w:r>
            <w:hyperlink r:id="rId139" w:history="1">
              <w:r w:rsidRPr="002051C7">
                <w:rPr>
                  <w:rStyle w:val="Hyperlink"/>
                </w:rPr>
                <w:t>NHRA Addendum</w:t>
              </w:r>
            </w:hyperlink>
            <w:r w:rsidRPr="00E61E42">
              <w:t>. As detailed in the NHRA Addendum, this should include the development of a national HTA framework including processes for HTA to inform advice on implementation, investment and disinvestment opportunities at Commonwealth and State levels.</w:t>
            </w:r>
          </w:p>
          <w:p w14:paraId="1D54A08C" w14:textId="126E9F81" w:rsidR="00A21EDA" w:rsidRPr="00620A84" w:rsidRDefault="00A21EDA" w:rsidP="008505D7">
            <w:pPr>
              <w:pStyle w:val="ListParagraph"/>
              <w:numPr>
                <w:ilvl w:val="0"/>
                <w:numId w:val="59"/>
              </w:numPr>
              <w:spacing w:line="259" w:lineRule="auto"/>
            </w:pPr>
            <w:r w:rsidRPr="00E61E42">
              <w:t>Establish timeframes for the implementation of HST</w:t>
            </w:r>
            <w:r w:rsidR="00D0068C">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fldChar w:fldCharType="end"/>
            </w:r>
            <w:r w:rsidRPr="00E61E42">
              <w:t xml:space="preserve">’s to enable timeliness and equitable adoption of new technologies across Australia (modelled on the </w:t>
            </w:r>
            <w:r w:rsidRPr="00620A84">
              <w:t>Key Performance Indicator for Government decisions with respect to the timeframes for listing medicines on the PBS)</w:t>
            </w:r>
          </w:p>
          <w:p w14:paraId="529FEA82" w14:textId="4613E8EE" w:rsidR="00A21EDA" w:rsidRPr="00E61E42" w:rsidRDefault="00A21EDA" w:rsidP="001A52C0">
            <w:pPr>
              <w:pStyle w:val="ListParagraph"/>
              <w:spacing w:line="259" w:lineRule="auto"/>
              <w:ind w:left="360"/>
            </w:pPr>
            <w:r w:rsidRPr="00E61E42">
              <w:t>For example: within 2 months of in principle pricing agreement, an implementation plan at a national level to be published in 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rsidRPr="00E61E42">
              <w:t xml:space="preserve"> with State and Territory governments with the purpose to enable treatments to commence as early as 6 months. This should include transparency</w:t>
            </w:r>
            <w:r w:rsidRPr="00E61E42">
              <w:fldChar w:fldCharType="begin"/>
            </w:r>
            <w:r w:rsidRPr="00E61E42">
              <w:instrText xml:space="preserve"> XE "transparency" </w:instrText>
            </w:r>
            <w:r w:rsidRPr="00E61E42">
              <w:fldChar w:fldCharType="end"/>
            </w:r>
            <w:r w:rsidRPr="00E61E42">
              <w:t xml:space="preserve"> for the community with published information on the progress by all parties (Commonwealth, sponsor, and state and territory governments</w:t>
            </w:r>
            <w:r w:rsidRPr="00E61E42">
              <w:fldChar w:fldCharType="begin"/>
            </w:r>
            <w:r w:rsidRPr="00E61E42">
              <w:instrText xml:space="preserve"> XE "state and territory governments" \b </w:instrText>
            </w:r>
            <w:r w:rsidRPr="00E61E42">
              <w:fldChar w:fldCharType="end"/>
            </w:r>
            <w:r w:rsidRPr="00E61E42">
              <w:t>)</w:t>
            </w:r>
          </w:p>
          <w:p w14:paraId="5BF45A49" w14:textId="038A5CCE" w:rsidR="00A21EDA" w:rsidRPr="00E61E42" w:rsidRDefault="00A21EDA" w:rsidP="008505D7">
            <w:pPr>
              <w:pStyle w:val="ListParagraph"/>
              <w:numPr>
                <w:ilvl w:val="0"/>
                <w:numId w:val="59"/>
              </w:numPr>
              <w:spacing w:line="259" w:lineRule="auto"/>
            </w:pPr>
            <w:r w:rsidRPr="00E61E42">
              <w:t xml:space="preserve">Horizon scanning to facilitate timely planning and preparation for adoption by jurisdictions ahead of TGA application being lodged by the sponsor </w:t>
            </w:r>
            <w:r w:rsidR="00C125A9">
              <w:t>(see</w:t>
            </w:r>
            <w:r w:rsidRPr="00E61E42">
              <w:t xml:space="preserve"> </w:t>
            </w:r>
            <w:hyperlink w:anchor="_Horizon_Scanning" w:history="1">
              <w:r w:rsidR="00F66473">
                <w:rPr>
                  <w:rStyle w:val="Hyperlink"/>
                </w:rPr>
                <w:t>Horizon</w:t>
              </w:r>
              <w:r w:rsidR="00C125A9">
                <w:rPr>
                  <w:rStyle w:val="Hyperlink"/>
                </w:rPr>
                <w:t xml:space="preserve"> scanning</w:t>
              </w:r>
            </w:hyperlink>
            <w:r w:rsidR="00C125A9">
              <w:rPr>
                <w:rStyle w:val="Hyperlink"/>
                <w:u w:val="none"/>
              </w:rPr>
              <w:t xml:space="preserve"> </w:t>
            </w:r>
            <w:r w:rsidR="00C125A9" w:rsidRPr="00C125A9">
              <w:rPr>
                <w:rStyle w:val="Hyperlink"/>
                <w:color w:val="auto"/>
                <w:u w:val="none"/>
              </w:rPr>
              <w:t>below</w:t>
            </w:r>
            <w:r w:rsidRPr="00E61E42">
              <w:t>)</w:t>
            </w:r>
          </w:p>
          <w:p w14:paraId="48389349" w14:textId="1493EAD0" w:rsidR="00A21EDA" w:rsidRPr="00E61E42" w:rsidRDefault="00A21EDA" w:rsidP="008505D7">
            <w:pPr>
              <w:pStyle w:val="ListParagraph"/>
              <w:numPr>
                <w:ilvl w:val="0"/>
                <w:numId w:val="59"/>
              </w:numPr>
              <w:spacing w:line="259" w:lineRule="auto"/>
            </w:pPr>
            <w:r w:rsidRPr="00E61E42">
              <w:lastRenderedPageBreak/>
              <w:t>Establish (or participate in existing international collaboration</w:t>
            </w:r>
            <w:r w:rsidRPr="00E61E42">
              <w:fldChar w:fldCharType="begin"/>
            </w:r>
            <w:r w:rsidRPr="00E61E42">
              <w:instrText xml:space="preserve"> XE "international collaboration" \b </w:instrText>
            </w:r>
            <w:r w:rsidRPr="00E61E42">
              <w:fldChar w:fldCharType="end"/>
            </w:r>
            <w:r w:rsidRPr="00E61E42">
              <w:t xml:space="preserve">) for Horizon Scanning, with input from a broad range of stakeholders including patient organisations, industry and </w:t>
            </w:r>
            <w:r w:rsidR="00566F8E">
              <w:t>s</w:t>
            </w:r>
            <w:r w:rsidRPr="00E61E42">
              <w:t xml:space="preserve">tate and </w:t>
            </w:r>
            <w:r w:rsidR="00566F8E">
              <w:t>t</w:t>
            </w:r>
            <w:r w:rsidRPr="00E61E42">
              <w:t>erritor</w:t>
            </w:r>
            <w:r w:rsidR="00566F8E">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Pr="00E61E42">
              <w:t>, particularly focused on HST</w:t>
            </w:r>
            <w:r w:rsidR="00D0068C">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fldChar w:fldCharType="end"/>
            </w:r>
            <w:r w:rsidRPr="00E61E42">
              <w:t>’s to ensure jurisdictions can begin early implementation planning of HST</w:t>
            </w:r>
            <w:r w:rsidR="00D0068C">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fldChar w:fldCharType="end"/>
            </w:r>
            <w:r w:rsidRPr="00E61E42">
              <w:t xml:space="preserve">’s. </w:t>
            </w:r>
          </w:p>
          <w:p w14:paraId="3D773F85" w14:textId="3CD771CF" w:rsidR="00A21EDA" w:rsidRPr="00E61E42" w:rsidRDefault="00A21EDA" w:rsidP="008505D7">
            <w:pPr>
              <w:pStyle w:val="ListParagraph"/>
              <w:numPr>
                <w:ilvl w:val="0"/>
                <w:numId w:val="59"/>
              </w:numPr>
              <w:spacing w:line="259" w:lineRule="auto"/>
            </w:pPr>
            <w:r w:rsidRPr="00E61E42">
              <w:t xml:space="preserve">Collaborate with the </w:t>
            </w:r>
            <w:r w:rsidR="00933C94">
              <w:t>s</w:t>
            </w:r>
            <w:r w:rsidRPr="00E61E42">
              <w:t xml:space="preserve">tate and </w:t>
            </w:r>
            <w:r w:rsidR="00933C94">
              <w:t>t</w:t>
            </w:r>
            <w:r w:rsidRPr="00E61E42">
              <w:t>erritor</w:t>
            </w:r>
            <w:r w:rsidR="00933C94">
              <w:t>y governments</w:t>
            </w:r>
            <w:r w:rsidR="00CA32F1">
              <w:fldChar w:fldCharType="begin"/>
            </w:r>
            <w:r w:rsidR="00CA32F1">
              <w:instrText xml:space="preserve"> XE "</w:instrText>
            </w:r>
            <w:r w:rsidR="00CA32F1" w:rsidRPr="002E4A7A">
              <w:instrText>state and territory governments</w:instrText>
            </w:r>
            <w:r w:rsidR="00CA32F1">
              <w:instrText xml:space="preserve">" </w:instrText>
            </w:r>
            <w:r w:rsidR="00CA32F1">
              <w:fldChar w:fldCharType="end"/>
            </w:r>
            <w:r w:rsidRPr="00E61E42">
              <w:t xml:space="preserve"> to ensure results of horizon scanning</w:t>
            </w:r>
            <w:r w:rsidRPr="00E61E42">
              <w:fldChar w:fldCharType="begin"/>
            </w:r>
            <w:r w:rsidRPr="00E61E42">
              <w:instrText xml:space="preserve"> XE "horizon scanning" \b </w:instrText>
            </w:r>
            <w:r w:rsidRPr="00E61E42">
              <w:fldChar w:fldCharType="end"/>
            </w:r>
            <w:r w:rsidRPr="00E61E42">
              <w:t xml:space="preserve"> is being actioned into implementation plans.</w:t>
            </w:r>
          </w:p>
          <w:p w14:paraId="1CEB812E" w14:textId="77763A5C" w:rsidR="00CE4700" w:rsidRPr="00E61E42" w:rsidRDefault="00A21EDA" w:rsidP="008505D7">
            <w:pPr>
              <w:pStyle w:val="ListParagraph"/>
              <w:numPr>
                <w:ilvl w:val="0"/>
                <w:numId w:val="59"/>
              </w:numPr>
              <w:spacing w:line="259" w:lineRule="auto"/>
            </w:pPr>
            <w:r w:rsidRPr="00E61E42">
              <w:t>For potentially disruptive technologies, consideration of implementation requirements and initial implementation planning should occur simultaneously to the HTA with stakeholders encouraged to identify requirements for implementation within their HTA submissions (including sponsors, consumers, clinicians and state and territory governments</w:t>
            </w:r>
            <w:r w:rsidRPr="00E61E42">
              <w:fldChar w:fldCharType="begin"/>
            </w:r>
            <w:r w:rsidRPr="00E61E42">
              <w:instrText xml:space="preserve"> XE "state and territory governments" \b </w:instrText>
            </w:r>
            <w:r w:rsidRPr="00E61E42">
              <w:fldChar w:fldCharType="end"/>
            </w:r>
            <w:r w:rsidRPr="00E61E42">
              <w:t>): Establish a process to facilitate a collaborative mechanism for stakeholders to work together on implementation planning of a health technology early, including sponsors, state and territory governments, health practitioners and respective colleges to identify potential workforce and system capacity/capability issues and mitigation options (</w:t>
            </w:r>
            <w:r w:rsidR="00031FAB">
              <w:t xml:space="preserve">e.g. </w:t>
            </w:r>
            <w:r w:rsidRPr="00E61E42">
              <w:t xml:space="preserve">via education and training), to proactively support provisioning of new health technologies. </w:t>
            </w:r>
            <w:r w:rsidR="00CE4700" w:rsidRPr="00E61E42">
              <w:t>(</w:t>
            </w:r>
            <w:proofErr w:type="gramStart"/>
            <w:r w:rsidR="001C27A9">
              <w:t>s</w:t>
            </w:r>
            <w:r w:rsidR="00CE4700" w:rsidRPr="00E61E42">
              <w:t>ee</w:t>
            </w:r>
            <w:proofErr w:type="gramEnd"/>
            <w:r w:rsidR="00CE4700" w:rsidRPr="00E61E42">
              <w:t xml:space="preserve"> </w:t>
            </w:r>
            <w:hyperlink w:anchor="_Proactively_addressing_areas" w:history="1">
              <w:r w:rsidR="00F66473" w:rsidRPr="00F66473">
                <w:rPr>
                  <w:rStyle w:val="Hyperlink"/>
                </w:rPr>
                <w:t>Proactively addressing areas of unmet clinical need and gaps in funded access</w:t>
              </w:r>
            </w:hyperlink>
            <w:r w:rsidR="00CE4700" w:rsidRPr="00E61E42">
              <w:t>)</w:t>
            </w:r>
          </w:p>
          <w:p w14:paraId="7974EE31" w14:textId="217B6772" w:rsidR="002A1DC5" w:rsidRPr="00E6762F" w:rsidRDefault="00A21EDA" w:rsidP="008505D7">
            <w:pPr>
              <w:pStyle w:val="ListParagraph"/>
              <w:numPr>
                <w:ilvl w:val="0"/>
                <w:numId w:val="59"/>
              </w:numPr>
              <w:spacing w:line="259" w:lineRule="auto"/>
              <w:rPr>
                <w:rFonts w:eastAsia="Times New Roman" w:cs="Segoe UI"/>
                <w:color w:val="222A35"/>
                <w:kern w:val="24"/>
                <w:sz w:val="20"/>
                <w:szCs w:val="20"/>
                <w:lang w:eastAsia="en-AU"/>
              </w:rPr>
            </w:pPr>
            <w:r w:rsidRPr="00E61E42">
              <w:t>Parties to the NHRA to develop a mechanism to reduce administrative burden and duplication for industry that occurs currently where sponsors are required to develop individual agreements with each jurisdiction and in many circumstances individual local health authorities.</w:t>
            </w:r>
          </w:p>
        </w:tc>
      </w:tr>
    </w:tbl>
    <w:p w14:paraId="7D9A2680" w14:textId="77777777" w:rsidR="00036D45" w:rsidRDefault="00D728FC" w:rsidP="008C10BB">
      <w:pPr>
        <w:spacing w:after="0"/>
        <w:sectPr w:rsidR="00036D45" w:rsidSect="00566319">
          <w:headerReference w:type="default" r:id="rId140"/>
          <w:pgSz w:w="11906" w:h="16838"/>
          <w:pgMar w:top="709" w:right="1440" w:bottom="1440" w:left="1440" w:header="284" w:footer="708" w:gutter="0"/>
          <w:cols w:space="708"/>
          <w:docGrid w:linePitch="360"/>
        </w:sectPr>
      </w:pPr>
      <w:bookmarkStart w:id="126" w:name="_Toc1548484326"/>
      <w:r>
        <w:lastRenderedPageBreak/>
        <w:br w:type="page"/>
      </w:r>
    </w:p>
    <w:p w14:paraId="0515C06B" w14:textId="7E961559" w:rsidR="00A204D5" w:rsidRDefault="00A204D5" w:rsidP="008C10BB">
      <w:pPr>
        <w:pStyle w:val="Heading1"/>
        <w:spacing w:line="259" w:lineRule="auto"/>
      </w:pPr>
      <w:bookmarkStart w:id="127" w:name="_Health_technology_funding_2"/>
      <w:bookmarkStart w:id="128" w:name="_Ref156466436"/>
      <w:bookmarkStart w:id="129" w:name="_Toc157029071"/>
      <w:bookmarkStart w:id="130" w:name="_Toc157029488"/>
      <w:bookmarkStart w:id="131" w:name="_Toc157030180"/>
      <w:bookmarkEnd w:id="127"/>
      <w:r w:rsidRPr="001C5DDA">
        <w:lastRenderedPageBreak/>
        <w:t>Health technology funding and assessment pathways</w:t>
      </w:r>
      <w:bookmarkEnd w:id="128"/>
      <w:bookmarkEnd w:id="129"/>
      <w:bookmarkEnd w:id="130"/>
      <w:bookmarkEnd w:id="131"/>
    </w:p>
    <w:bookmarkStart w:id="132" w:name="_Toc157029072"/>
    <w:bookmarkStart w:id="133" w:name="_Toc157029489"/>
    <w:bookmarkStart w:id="134" w:name="_Toc157030181"/>
    <w:p w14:paraId="497B79FC" w14:textId="202B0F8C" w:rsidR="00A204D5" w:rsidRDefault="007727CA" w:rsidP="008C10BB">
      <w:pPr>
        <w:pStyle w:val="Heading2"/>
        <w:spacing w:line="259" w:lineRule="auto"/>
        <w:ind w:left="709"/>
      </w:pPr>
      <w:r>
        <w:rPr>
          <w:noProof/>
        </w:rPr>
        <mc:AlternateContent>
          <mc:Choice Requires="wps">
            <w:drawing>
              <wp:anchor distT="0" distB="0" distL="114300" distR="114300" simplePos="0" relativeHeight="251616768" behindDoc="0" locked="0" layoutInCell="1" allowOverlap="1" wp14:anchorId="368CAFE7" wp14:editId="025F381C">
                <wp:simplePos x="0" y="0"/>
                <wp:positionH relativeFrom="column">
                  <wp:posOffset>11875</wp:posOffset>
                </wp:positionH>
                <wp:positionV relativeFrom="paragraph">
                  <wp:posOffset>495177</wp:posOffset>
                </wp:positionV>
                <wp:extent cx="0" cy="463138"/>
                <wp:effectExtent l="0" t="0" r="38100" b="32385"/>
                <wp:wrapNone/>
                <wp:docPr id="4" name="Straight Connector 4"/>
                <wp:cNvGraphicFramePr/>
                <a:graphic xmlns:a="http://schemas.openxmlformats.org/drawingml/2006/main">
                  <a:graphicData uri="http://schemas.microsoft.com/office/word/2010/wordprocessingShape">
                    <wps:wsp>
                      <wps:cNvCnPr/>
                      <wps:spPr>
                        <a:xfrm>
                          <a:off x="0" y="0"/>
                          <a:ext cx="0" cy="463138"/>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67B24C60" id="Straight Connector 4" o:spid="_x0000_s1026" style="position:absolute;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39pt" to=".9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" strokecolor="#1d437f [3204]" strokeweight="1.5pt">
                <v:stroke joinstyle="miter"/>
              </v:line>
            </w:pict>
          </mc:Fallback>
        </mc:AlternateContent>
      </w:r>
      <w:r w:rsidR="1144A1BF">
        <w:t>HTA</w:t>
      </w:r>
      <w:r w:rsidR="00A204D5" w:rsidRPr="00A204D5">
        <w:t xml:space="preserve"> pathways and advisory committees</w:t>
      </w:r>
      <w:bookmarkEnd w:id="132"/>
      <w:bookmarkEnd w:id="133"/>
      <w:bookmarkEnd w:id="134"/>
    </w:p>
    <w:p w14:paraId="1D0A202A" w14:textId="41823AB0" w:rsidR="00B455EE" w:rsidRPr="009D14F6" w:rsidRDefault="00B455EE" w:rsidP="00687095">
      <w:pPr>
        <w:ind w:left="284"/>
        <w:rPr>
          <w:iCs/>
        </w:rPr>
      </w:pPr>
      <w:r w:rsidRPr="009D14F6">
        <w:rPr>
          <w:iCs/>
        </w:rPr>
        <w:t xml:space="preserve">This section should be read in conjunction with </w:t>
      </w:r>
      <w:hyperlink r:id="rId141" w:history="1">
        <w:r w:rsidR="00BF3F05" w:rsidRPr="009378B6">
          <w:rPr>
            <w:rStyle w:val="Hyperlink"/>
          </w:rPr>
          <w:t>Australian market a</w:t>
        </w:r>
        <w:r w:rsidR="005A4459" w:rsidRPr="009378B6">
          <w:rPr>
            <w:rStyle w:val="Hyperlink"/>
          </w:rPr>
          <w:t>uthorisation</w:t>
        </w:r>
        <w:r w:rsidR="00BF3F05" w:rsidRPr="009378B6">
          <w:rPr>
            <w:rStyle w:val="Hyperlink"/>
          </w:rPr>
          <w:t>, funding and assessment pathways and time</w:t>
        </w:r>
        <w:r w:rsidR="009378B6" w:rsidRPr="009378B6">
          <w:rPr>
            <w:rStyle w:val="Hyperlink"/>
          </w:rPr>
          <w:t>lines</w:t>
        </w:r>
        <w:r w:rsidR="00BF3F05" w:rsidRPr="009378B6">
          <w:rPr>
            <w:rStyle w:val="Hyperlink"/>
          </w:rPr>
          <w:t xml:space="preserve"> (Paper 8)</w:t>
        </w:r>
        <w:r w:rsidR="00230416" w:rsidRPr="009378B6">
          <w:rPr>
            <w:rStyle w:val="Hyperlink"/>
            <w:iCs/>
          </w:rPr>
          <w:t>.</w:t>
        </w:r>
      </w:hyperlink>
      <w:r w:rsidRPr="009D14F6">
        <w:rPr>
          <w:iCs/>
        </w:rPr>
        <w:t xml:space="preserve"> </w:t>
      </w:r>
    </w:p>
    <w:p w14:paraId="4B8AF7AD" w14:textId="7B9422BE" w:rsidR="00A56376" w:rsidRDefault="00DF557A" w:rsidP="00687095">
      <w:pPr>
        <w:pStyle w:val="Heading3"/>
        <w:spacing w:before="240"/>
        <w:rPr>
          <w:i/>
        </w:rPr>
      </w:pPr>
      <w:bookmarkStart w:id="135" w:name="_Toc157029073"/>
      <w:r>
        <w:t>Current State</w:t>
      </w:r>
      <w:bookmarkEnd w:id="135"/>
    </w:p>
    <w:p w14:paraId="1C9BF5C8" w14:textId="4EADD8BB" w:rsidR="00834F49" w:rsidRDefault="00834F49" w:rsidP="00834F49">
      <w:r w:rsidRPr="00763B9B">
        <w:t>Currently in Australia</w:t>
      </w:r>
      <w:r w:rsidR="007F54B8">
        <w:t>,</w:t>
      </w:r>
      <w:r w:rsidRPr="00763B9B">
        <w:t xml:space="preserve"> the funding mechanisms </w:t>
      </w:r>
      <w:r>
        <w:t xml:space="preserve">for different health technologies are generally </w:t>
      </w:r>
      <w:r w:rsidR="000C0C75">
        <w:t>based on</w:t>
      </w:r>
      <w:r>
        <w:t xml:space="preserve"> the type of health technology and, in some cases, the setting where the health technology will be delivered</w:t>
      </w:r>
      <w:r w:rsidR="000213EE">
        <w:t xml:space="preserve"> (</w:t>
      </w:r>
      <w:proofErr w:type="gramStart"/>
      <w:r w:rsidR="000213EE">
        <w:t>e.g.</w:t>
      </w:r>
      <w:proofErr w:type="gramEnd"/>
      <w:r w:rsidR="000213EE">
        <w:t xml:space="preserve"> inpatient or outpatient setting)</w:t>
      </w:r>
      <w:r w:rsidR="003F3622">
        <w:t>.</w:t>
      </w:r>
      <w:r>
        <w:t xml:space="preserve"> </w:t>
      </w:r>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26"/>
      </w:tblGrid>
      <w:tr w:rsidR="00A7175A" w14:paraId="17EE95EB" w14:textId="77777777" w:rsidTr="00A10169">
        <w:tc>
          <w:tcPr>
            <w:tcW w:w="9026" w:type="dxa"/>
            <w:tcBorders>
              <w:top w:val="single" w:sz="2" w:space="0" w:color="00B4D0" w:themeColor="accent6"/>
              <w:left w:val="nil"/>
              <w:bottom w:val="single" w:sz="2" w:space="0" w:color="00B4D0" w:themeColor="accent6"/>
              <w:right w:val="nil"/>
            </w:tcBorders>
            <w:shd w:val="clear" w:color="auto" w:fill="F2F2F2" w:themeFill="background1" w:themeFillShade="F2"/>
          </w:tcPr>
          <w:p w14:paraId="6B0C4105" w14:textId="77777777" w:rsidR="00A7175A" w:rsidRPr="00520B3D" w:rsidRDefault="00A7175A" w:rsidP="00A10169">
            <w:pPr>
              <w:spacing w:after="160" w:line="259" w:lineRule="auto"/>
              <w:ind w:left="284"/>
              <w:rPr>
                <w:rFonts w:eastAsia="Arial" w:cs="Arial"/>
              </w:rPr>
            </w:pPr>
            <w:r w:rsidRPr="0029747A">
              <w:rPr>
                <w:rFonts w:eastAsia="Arial" w:cs="Arial"/>
                <w:b/>
                <w:i/>
              </w:rPr>
              <w:t>A note on terminology…</w:t>
            </w:r>
          </w:p>
          <w:p w14:paraId="50275BBF" w14:textId="1F53531A" w:rsidR="00A7175A" w:rsidRDefault="00A7175A" w:rsidP="00A10169">
            <w:pPr>
              <w:spacing w:after="160" w:line="259" w:lineRule="auto"/>
              <w:ind w:left="284" w:right="278"/>
              <w:jc w:val="both"/>
              <w:rPr>
                <w:rFonts w:eastAsia="Arial" w:cs="Arial"/>
              </w:rPr>
            </w:pPr>
            <w:r>
              <w:rPr>
                <w:rFonts w:eastAsia="Arial" w:cs="Arial"/>
              </w:rPr>
              <w:t>There are many terms used to describe highly innovative therapies such as (gene modified) cell and gene therapies</w:t>
            </w:r>
            <w:r>
              <w:rPr>
                <w:rFonts w:eastAsia="Arial" w:cs="Arial"/>
              </w:rPr>
              <w:fldChar w:fldCharType="begin"/>
            </w:r>
            <w:r>
              <w:instrText xml:space="preserve"> XE "</w:instrText>
            </w:r>
            <w:r w:rsidRPr="007C61D0">
              <w:rPr>
                <w:rFonts w:eastAsia="Arial" w:cs="Arial"/>
              </w:rPr>
              <w:instrText>cell and gene therapies</w:instrText>
            </w:r>
            <w:r>
              <w:instrText xml:space="preserve">" \b </w:instrText>
            </w:r>
            <w:r>
              <w:rPr>
                <w:rFonts w:eastAsia="Arial" w:cs="Arial"/>
              </w:rPr>
              <w:fldChar w:fldCharType="end"/>
            </w:r>
            <w:r>
              <w:rPr>
                <w:rFonts w:eastAsia="Arial" w:cs="Arial"/>
              </w:rPr>
              <w:t xml:space="preserve"> internationally and in Australia. Internationally, the term </w:t>
            </w:r>
            <w:r w:rsidRPr="00F01D8E">
              <w:rPr>
                <w:rFonts w:eastAsia="Arial" w:cs="Arial"/>
              </w:rPr>
              <w:t>Advanced therapy medicinal products (ATMPs)</w:t>
            </w:r>
            <w:r>
              <w:rPr>
                <w:rFonts w:eastAsia="Arial" w:cs="Arial"/>
              </w:rPr>
              <w:t xml:space="preserve"> </w:t>
            </w:r>
            <w:proofErr w:type="gramStart"/>
            <w:r>
              <w:rPr>
                <w:rFonts w:eastAsia="Arial" w:cs="Arial"/>
              </w:rPr>
              <w:t>is</w:t>
            </w:r>
            <w:proofErr w:type="gramEnd"/>
            <w:r>
              <w:rPr>
                <w:rFonts w:eastAsia="Arial" w:cs="Arial"/>
              </w:rPr>
              <w:t xml:space="preserve"> used to describe</w:t>
            </w:r>
            <w:r w:rsidRPr="515F9C68">
              <w:rPr>
                <w:rFonts w:eastAsia="Arial" w:cs="Arial"/>
              </w:rPr>
              <w:t xml:space="preserve"> medicines based on genes, tissues or cells that treat often very rare and severe disease or conditions</w:t>
            </w:r>
            <w:r>
              <w:rPr>
                <w:rFonts w:eastAsia="Arial" w:cs="Arial"/>
              </w:rPr>
              <w:t xml:space="preserve"> in many countries. Here in Australia, the TGA uses the term to refer to innovative therapies including cell and gene therapies meeting certain criteria. Some countries and academics use the term Highly Specialised Technologies (including some of the research papers commissioned for the HTA Review) to refer to these therapies. Throughout this document these therapies will be referred to as </w:t>
            </w:r>
            <w:r w:rsidR="009F606F">
              <w:rPr>
                <w:rFonts w:eastAsia="Arial" w:cs="Arial"/>
                <w:i/>
                <w:iCs/>
              </w:rPr>
              <w:t>Advanced Therapies</w:t>
            </w:r>
            <w:r w:rsidR="00304E52">
              <w:rPr>
                <w:rFonts w:eastAsia="Arial" w:cs="Arial"/>
                <w:i/>
                <w:iCs/>
              </w:rPr>
              <w:t xml:space="preserve"> (AT’s)</w:t>
            </w:r>
            <w:r>
              <w:rPr>
                <w:rFonts w:eastAsia="Arial" w:cs="Arial"/>
              </w:rPr>
              <w:t>.</w:t>
            </w:r>
            <w:r w:rsidR="00BB1BBF">
              <w:rPr>
                <w:rFonts w:eastAsia="Arial" w:cs="Arial"/>
              </w:rPr>
              <w:t xml:space="preserve"> </w:t>
            </w:r>
          </w:p>
          <w:p w14:paraId="10F77CD7" w14:textId="09AE9B00" w:rsidR="00A7175A" w:rsidRDefault="00A7175A" w:rsidP="00A10169">
            <w:pPr>
              <w:spacing w:after="160" w:line="259" w:lineRule="auto"/>
              <w:ind w:left="284" w:right="278"/>
              <w:jc w:val="both"/>
              <w:rPr>
                <w:rFonts w:eastAsia="Arial" w:cs="Arial"/>
              </w:rPr>
            </w:pPr>
            <w:r>
              <w:rPr>
                <w:rFonts w:eastAsia="Arial" w:cs="Arial"/>
              </w:rPr>
              <w:t xml:space="preserve">For the purposes of </w:t>
            </w:r>
            <w:r w:rsidR="00401DE7">
              <w:rPr>
                <w:rFonts w:eastAsia="Arial" w:cs="Arial"/>
              </w:rPr>
              <w:t xml:space="preserve">interpreting </w:t>
            </w:r>
            <w:r>
              <w:rPr>
                <w:rFonts w:eastAsia="Arial" w:cs="Arial"/>
              </w:rPr>
              <w:t xml:space="preserve">the </w:t>
            </w:r>
            <w:hyperlink r:id="rId142" w:history="1">
              <w:r w:rsidRPr="00DD2776">
                <w:rPr>
                  <w:rStyle w:val="Hyperlink"/>
                  <w:rFonts w:eastAsia="Arial" w:cs="Arial"/>
                  <w:i/>
                  <w:iCs/>
                </w:rPr>
                <w:t>2020–25 NHRA Addendum</w:t>
              </w:r>
            </w:hyperlink>
            <w:r w:rsidR="00AC3601">
              <w:rPr>
                <w:rStyle w:val="Hyperlink"/>
                <w:rFonts w:eastAsia="Arial" w:cs="Arial"/>
                <w:i/>
                <w:iCs/>
              </w:rPr>
              <w:t xml:space="preserve"> </w:t>
            </w:r>
            <w:r>
              <w:rPr>
                <w:rFonts w:eastAsia="Arial" w:cs="Arial"/>
              </w:rPr>
              <w:t>h</w:t>
            </w:r>
            <w:r w:rsidRPr="002F2E9C">
              <w:rPr>
                <w:rFonts w:eastAsia="Arial" w:cs="Arial"/>
              </w:rPr>
              <w:t xml:space="preserve">igh </w:t>
            </w:r>
            <w:r>
              <w:rPr>
                <w:rFonts w:eastAsia="Arial" w:cs="Arial"/>
              </w:rPr>
              <w:t>c</w:t>
            </w:r>
            <w:r w:rsidRPr="002F2E9C">
              <w:rPr>
                <w:rFonts w:eastAsia="Arial" w:cs="Arial"/>
              </w:rPr>
              <w:t xml:space="preserve">ost, </w:t>
            </w:r>
            <w:r>
              <w:rPr>
                <w:rFonts w:eastAsia="Arial" w:cs="Arial"/>
              </w:rPr>
              <w:t>H</w:t>
            </w:r>
            <w:r w:rsidRPr="002F2E9C">
              <w:rPr>
                <w:rFonts w:eastAsia="Arial" w:cs="Arial"/>
              </w:rPr>
              <w:t xml:space="preserve">ighly </w:t>
            </w:r>
            <w:r>
              <w:rPr>
                <w:rFonts w:eastAsia="Arial" w:cs="Arial"/>
              </w:rPr>
              <w:t>S</w:t>
            </w:r>
            <w:r w:rsidRPr="002F2E9C">
              <w:rPr>
                <w:rFonts w:eastAsia="Arial" w:cs="Arial"/>
              </w:rPr>
              <w:t>pecialised</w:t>
            </w:r>
            <w:r>
              <w:rPr>
                <w:rFonts w:eastAsia="Arial" w:cs="Arial"/>
              </w:rPr>
              <w:t xml:space="preserve"> T</w:t>
            </w:r>
            <w:r w:rsidRPr="002F2E9C">
              <w:rPr>
                <w:rFonts w:eastAsia="Arial" w:cs="Arial"/>
              </w:rPr>
              <w:t>herapies</w:t>
            </w:r>
            <w:r>
              <w:rPr>
                <w:rFonts w:eastAsia="Arial" w:cs="Arial"/>
              </w:rPr>
              <w:fldChar w:fldCharType="begin"/>
            </w:r>
            <w:r>
              <w:instrText xml:space="preserve"> XE "</w:instrText>
            </w:r>
            <w:r w:rsidRPr="004856BD">
              <w:instrText>highly specialised therapies</w:instrText>
            </w:r>
            <w:r>
              <w:instrText xml:space="preserve">" \b </w:instrText>
            </w:r>
            <w:r>
              <w:rPr>
                <w:rFonts w:eastAsia="Arial" w:cs="Arial"/>
              </w:rPr>
              <w:fldChar w:fldCharType="end"/>
            </w:r>
            <w:r>
              <w:rPr>
                <w:rFonts w:eastAsia="Arial" w:cs="Arial"/>
              </w:rPr>
              <w:t xml:space="preserve"> (HSTs)</w:t>
            </w:r>
            <w:r w:rsidR="00C00AAD">
              <w:rPr>
                <w:rFonts w:eastAsia="Arial" w:cs="Arial"/>
              </w:rPr>
              <w:t xml:space="preserve"> </w:t>
            </w:r>
            <w:r w:rsidR="00401DE7">
              <w:rPr>
                <w:rFonts w:eastAsia="Arial" w:cs="Arial"/>
              </w:rPr>
              <w:t xml:space="preserve">referred to within </w:t>
            </w:r>
            <w:r w:rsidR="00AF249A">
              <w:rPr>
                <w:rFonts w:eastAsia="Arial" w:cs="Arial"/>
              </w:rPr>
              <w:t>that document are</w:t>
            </w:r>
            <w:r>
              <w:rPr>
                <w:rFonts w:eastAsia="Arial" w:cs="Arial"/>
              </w:rPr>
              <w:t xml:space="preserve">: </w:t>
            </w:r>
          </w:p>
          <w:p w14:paraId="017CFE67" w14:textId="77777777" w:rsidR="00A7175A" w:rsidRPr="009E0896" w:rsidRDefault="00A7175A" w:rsidP="00A10169">
            <w:pPr>
              <w:tabs>
                <w:tab w:val="left" w:pos="7548"/>
              </w:tabs>
              <w:spacing w:after="160" w:line="259" w:lineRule="auto"/>
              <w:ind w:left="603" w:right="845"/>
              <w:jc w:val="both"/>
              <w:rPr>
                <w:rFonts w:eastAsia="Arial" w:cs="Arial"/>
              </w:rPr>
            </w:pPr>
            <w:r w:rsidRPr="009E0896">
              <w:rPr>
                <w:rFonts w:eastAsia="Arial" w:cs="Arial"/>
                <w:i/>
              </w:rPr>
              <w:t>“TGA approved medicines and biologicals delivered in public hospitals where the therapy and its conditions of use are recommended by MSAC or PBAC; and the average annual treatment cost at the commencement of funding exceeds $200,000 per patient (including ancillary services) as determined by the MSAC or PBAC with input from the Independent Hospital Pricing Authority; and where the therapy is not otherwise funded through a Commonwealth program or the costs of the therapy would be appropriately funded through a component of an existing pricing classification.”</w:t>
            </w:r>
            <w:r w:rsidRPr="009E0896">
              <w:rPr>
                <w:rFonts w:eastAsia="Arial" w:cs="Arial"/>
              </w:rPr>
              <w:t xml:space="preserve"> </w:t>
            </w:r>
          </w:p>
          <w:p w14:paraId="33387508" w14:textId="77522964" w:rsidR="00605F05" w:rsidRDefault="00A7175A" w:rsidP="00A10169">
            <w:pPr>
              <w:spacing w:after="160" w:line="259" w:lineRule="auto"/>
              <w:ind w:left="284" w:right="278"/>
              <w:jc w:val="both"/>
              <w:rPr>
                <w:rFonts w:eastAsia="Arial" w:cs="Arial"/>
              </w:rPr>
            </w:pPr>
            <w:r w:rsidRPr="00DD2776">
              <w:rPr>
                <w:rFonts w:eastAsia="Arial" w:cs="Arial"/>
              </w:rPr>
              <w:lastRenderedPageBreak/>
              <w:t>While this category</w:t>
            </w:r>
            <w:r w:rsidR="00053BD6">
              <w:rPr>
                <w:rFonts w:eastAsia="Arial" w:cs="Arial"/>
              </w:rPr>
              <w:t xml:space="preserve"> in the NHRA Addendum</w:t>
            </w:r>
            <w:r w:rsidRPr="00DD2776">
              <w:rPr>
                <w:rFonts w:eastAsia="Arial" w:cs="Arial"/>
              </w:rPr>
              <w:t xml:space="preserve"> predominately includes </w:t>
            </w:r>
            <w:r w:rsidR="00F61FF7">
              <w:rPr>
                <w:rFonts w:eastAsia="Arial" w:cs="Arial"/>
              </w:rPr>
              <w:t>Advanced Therapies</w:t>
            </w:r>
            <w:r w:rsidRPr="00DD2776">
              <w:rPr>
                <w:rFonts w:eastAsia="Arial" w:cs="Arial"/>
              </w:rPr>
              <w:t xml:space="preserve">, it can also include </w:t>
            </w:r>
            <w:r w:rsidR="00100FD1" w:rsidRPr="00DD2776">
              <w:rPr>
                <w:rFonts w:eastAsia="Arial" w:cs="Arial"/>
              </w:rPr>
              <w:t>high-cost</w:t>
            </w:r>
            <w:r w:rsidRPr="00DD2776">
              <w:rPr>
                <w:rFonts w:eastAsia="Arial" w:cs="Arial"/>
              </w:rPr>
              <w:t xml:space="preserve"> pharmaceuticals delivered to public hospital inpatients.</w:t>
            </w:r>
            <w:r w:rsidR="00D27834">
              <w:rPr>
                <w:rFonts w:eastAsia="Arial" w:cs="Arial"/>
              </w:rPr>
              <w:t xml:space="preserve"> </w:t>
            </w:r>
            <w:r w:rsidR="00100FD1">
              <w:rPr>
                <w:rFonts w:eastAsia="Arial" w:cs="Arial"/>
              </w:rPr>
              <w:t>However,</w:t>
            </w:r>
            <w:r w:rsidR="004F6D4F">
              <w:rPr>
                <w:rFonts w:eastAsia="Arial" w:cs="Arial"/>
              </w:rPr>
              <w:t xml:space="preserve"> </w:t>
            </w:r>
            <w:r w:rsidR="00F830EC">
              <w:rPr>
                <w:rFonts w:eastAsia="Arial" w:cs="Arial"/>
              </w:rPr>
              <w:t xml:space="preserve">as per schedule C of </w:t>
            </w:r>
            <w:r w:rsidR="004F6D4F">
              <w:rPr>
                <w:rFonts w:eastAsia="Arial" w:cs="Arial"/>
              </w:rPr>
              <w:t xml:space="preserve">the NHRA </w:t>
            </w:r>
            <w:r w:rsidR="00F15538">
              <w:rPr>
                <w:rFonts w:eastAsia="Arial" w:cs="Arial"/>
              </w:rPr>
              <w:t>Addendum</w:t>
            </w:r>
            <w:r w:rsidR="00F830EC">
              <w:rPr>
                <w:rFonts w:eastAsia="Arial" w:cs="Arial"/>
              </w:rPr>
              <w:t xml:space="preserve">, </w:t>
            </w:r>
            <w:r w:rsidR="00164778">
              <w:rPr>
                <w:rFonts w:eastAsia="Arial" w:cs="Arial"/>
              </w:rPr>
              <w:t>it</w:t>
            </w:r>
            <w:r w:rsidR="00F15538">
              <w:rPr>
                <w:rFonts w:eastAsia="Arial" w:cs="Arial"/>
              </w:rPr>
              <w:t xml:space="preserve"> </w:t>
            </w:r>
            <w:r w:rsidR="00D22A39">
              <w:rPr>
                <w:rFonts w:eastAsia="Arial" w:cs="Arial"/>
              </w:rPr>
              <w:t xml:space="preserve">only </w:t>
            </w:r>
            <w:r w:rsidR="00AA4DD6">
              <w:rPr>
                <w:rFonts w:eastAsia="Arial" w:cs="Arial"/>
              </w:rPr>
              <w:t xml:space="preserve">deals with </w:t>
            </w:r>
            <w:r w:rsidR="00AA4DD6" w:rsidRPr="00AA4DD6">
              <w:rPr>
                <w:rFonts w:eastAsia="Arial" w:cs="Arial"/>
              </w:rPr>
              <w:t xml:space="preserve">funding arrangements for </w:t>
            </w:r>
            <w:r w:rsidR="00164778">
              <w:rPr>
                <w:rFonts w:eastAsia="Arial" w:cs="Arial"/>
              </w:rPr>
              <w:t>“</w:t>
            </w:r>
            <w:r w:rsidR="00AA4DD6" w:rsidRPr="00AA4DD6">
              <w:rPr>
                <w:rFonts w:eastAsia="Arial" w:cs="Arial"/>
              </w:rPr>
              <w:t xml:space="preserve">new high cost, </w:t>
            </w:r>
            <w:r w:rsidR="005348BD">
              <w:rPr>
                <w:rFonts w:eastAsia="Arial" w:cs="Arial"/>
              </w:rPr>
              <w:t>H</w:t>
            </w:r>
            <w:r w:rsidR="00AA4DD6" w:rsidRPr="00AA4DD6">
              <w:rPr>
                <w:rFonts w:eastAsia="Arial" w:cs="Arial"/>
              </w:rPr>
              <w:t xml:space="preserve">ighly </w:t>
            </w:r>
            <w:r w:rsidR="005348BD">
              <w:rPr>
                <w:rFonts w:eastAsia="Arial" w:cs="Arial"/>
              </w:rPr>
              <w:t>S</w:t>
            </w:r>
            <w:r w:rsidR="00AA4DD6" w:rsidRPr="00AA4DD6">
              <w:rPr>
                <w:rFonts w:eastAsia="Arial" w:cs="Arial"/>
              </w:rPr>
              <w:t>pecialised</w:t>
            </w:r>
            <w:r w:rsidR="000370DF">
              <w:rPr>
                <w:rFonts w:eastAsia="Arial" w:cs="Arial"/>
              </w:rPr>
              <w:t xml:space="preserve"> </w:t>
            </w:r>
            <w:r w:rsidR="005348BD">
              <w:rPr>
                <w:rFonts w:eastAsia="Arial" w:cs="Arial"/>
              </w:rPr>
              <w:t>T</w:t>
            </w:r>
            <w:r w:rsidR="00AA4DD6" w:rsidRPr="00AA4DD6">
              <w:rPr>
                <w:rFonts w:eastAsia="Arial" w:cs="Arial"/>
              </w:rPr>
              <w:t xml:space="preserve">herapies (HSTs), </w:t>
            </w:r>
            <w:r w:rsidR="00AA4DD6">
              <w:rPr>
                <w:rFonts w:eastAsia="Arial" w:cs="Arial"/>
              </w:rPr>
              <w:t xml:space="preserve">that are </w:t>
            </w:r>
            <w:r w:rsidR="00AA4DD6" w:rsidRPr="00AA4DD6">
              <w:rPr>
                <w:rFonts w:eastAsia="Arial" w:cs="Arial"/>
              </w:rPr>
              <w:t>recommended for delivery in a public hospital setting by the Medical</w:t>
            </w:r>
            <w:r w:rsidR="00AA4DD6">
              <w:rPr>
                <w:rFonts w:eastAsia="Arial" w:cs="Arial"/>
              </w:rPr>
              <w:t xml:space="preserve"> </w:t>
            </w:r>
            <w:r w:rsidR="00AA4DD6" w:rsidRPr="00AA4DD6">
              <w:rPr>
                <w:rFonts w:eastAsia="Arial" w:cs="Arial"/>
              </w:rPr>
              <w:t>Services Advisory Committee</w:t>
            </w:r>
            <w:r w:rsidR="00AA4DD6">
              <w:rPr>
                <w:rFonts w:eastAsia="Arial" w:cs="Arial"/>
              </w:rPr>
              <w:t>.</w:t>
            </w:r>
            <w:r w:rsidR="00164778">
              <w:rPr>
                <w:rFonts w:eastAsia="Arial" w:cs="Arial"/>
              </w:rPr>
              <w:t>”</w:t>
            </w:r>
            <w:r w:rsidR="00A83735">
              <w:rPr>
                <w:rFonts w:eastAsia="Arial" w:cs="Arial"/>
              </w:rPr>
              <w:t xml:space="preserve"> </w:t>
            </w:r>
          </w:p>
        </w:tc>
      </w:tr>
    </w:tbl>
    <w:p w14:paraId="62F1F659" w14:textId="0865746B" w:rsidR="00771756" w:rsidRDefault="00771756" w:rsidP="00054F98">
      <w:pPr>
        <w:pStyle w:val="Heading6"/>
        <w:spacing w:before="240"/>
        <w:rPr>
          <w:noProof/>
          <w:szCs w:val="22"/>
        </w:rPr>
      </w:pPr>
      <w:r w:rsidRPr="009D14F6">
        <w:lastRenderedPageBreak/>
        <w:t xml:space="preserve">Figure </w:t>
      </w:r>
      <w:r w:rsidR="00E73C9F">
        <w:fldChar w:fldCharType="begin"/>
      </w:r>
      <w:r w:rsidR="00E73C9F">
        <w:instrText xml:space="preserve"> SEQ Figure \* ARABIC </w:instrText>
      </w:r>
      <w:r w:rsidR="00E73C9F">
        <w:fldChar w:fldCharType="separate"/>
      </w:r>
      <w:r w:rsidR="00474ED6">
        <w:rPr>
          <w:noProof/>
        </w:rPr>
        <w:t>3</w:t>
      </w:r>
      <w:r w:rsidR="00E73C9F">
        <w:rPr>
          <w:noProof/>
        </w:rPr>
        <w:fldChar w:fldCharType="end"/>
      </w:r>
      <w:r w:rsidRPr="009D14F6">
        <w:t xml:space="preserve"> </w:t>
      </w:r>
      <w:r w:rsidR="006000A5">
        <w:t xml:space="preserve">Current state - </w:t>
      </w:r>
      <w:r w:rsidR="006000A5" w:rsidRPr="006000A5">
        <w:t xml:space="preserve">Health technology </w:t>
      </w:r>
      <w:r w:rsidR="006000A5">
        <w:t xml:space="preserve">main </w:t>
      </w:r>
      <w:r w:rsidR="006000A5" w:rsidRPr="006000A5">
        <w:t>public funding program by type of technology</w:t>
      </w:r>
    </w:p>
    <w:p w14:paraId="303B6976" w14:textId="52BE4593" w:rsidR="00E6156D" w:rsidRPr="00E6156D" w:rsidRDefault="00E6156D" w:rsidP="00E6156D">
      <w:pPr>
        <w:rPr>
          <w:lang w:eastAsia="en-AU"/>
        </w:rPr>
      </w:pPr>
      <w:r>
        <w:rPr>
          <w:noProof/>
          <w:lang w:eastAsia="en-AU"/>
        </w:rPr>
        <w:drawing>
          <wp:inline distT="0" distB="0" distL="0" distR="0" wp14:anchorId="0E0A3C68" wp14:editId="4DBB3AC6">
            <wp:extent cx="5742577" cy="1765719"/>
            <wp:effectExtent l="0" t="0" r="0" b="6350"/>
            <wp:docPr id="1423232227" name="Picture 142323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68133" cy="1773577"/>
                    </a:xfrm>
                    <a:prstGeom prst="rect">
                      <a:avLst/>
                    </a:prstGeom>
                    <a:noFill/>
                  </pic:spPr>
                </pic:pic>
              </a:graphicData>
            </a:graphic>
          </wp:inline>
        </w:drawing>
      </w:r>
    </w:p>
    <w:p w14:paraId="60A55432" w14:textId="67D28A82" w:rsidR="00834F49" w:rsidRDefault="00834F49" w:rsidP="00834F49">
      <w:r>
        <w:t xml:space="preserve">The funding program for a health technology primarily determines the HTA pathway that will be used to evaluate that technology, including the HTA advisory committee (or advisory committees) that </w:t>
      </w:r>
      <w:r w:rsidR="008B0AD8">
        <w:t>will make</w:t>
      </w:r>
      <w:r>
        <w:t xml:space="preserve"> </w:t>
      </w:r>
      <w:r w:rsidR="0039194A">
        <w:t>recommendations</w:t>
      </w:r>
      <w:r>
        <w:t xml:space="preserve"> to </w:t>
      </w:r>
      <w:r w:rsidR="008B0AD8">
        <w:t>G</w:t>
      </w:r>
      <w:r>
        <w:t xml:space="preserve">overnment about the funding of that health technology. </w:t>
      </w:r>
    </w:p>
    <w:p w14:paraId="7F18D1D4" w14:textId="0923EFD9" w:rsidR="00305DA8" w:rsidRPr="00117D66" w:rsidRDefault="00305DA8" w:rsidP="00512BF6">
      <w:pPr>
        <w:pStyle w:val="Heading6"/>
        <w:spacing w:before="240"/>
      </w:pPr>
      <w:r w:rsidRPr="00117D66">
        <w:t xml:space="preserve">Figure </w:t>
      </w:r>
      <w:r w:rsidR="00E73C9F">
        <w:fldChar w:fldCharType="begin"/>
      </w:r>
      <w:r w:rsidR="00E73C9F">
        <w:instrText xml:space="preserve"> SEQ Figure \* ARABIC </w:instrText>
      </w:r>
      <w:r w:rsidR="00E73C9F">
        <w:fldChar w:fldCharType="separate"/>
      </w:r>
      <w:r w:rsidR="00474ED6">
        <w:rPr>
          <w:noProof/>
        </w:rPr>
        <w:t>4</w:t>
      </w:r>
      <w:r w:rsidR="00E73C9F">
        <w:rPr>
          <w:noProof/>
        </w:rPr>
        <w:fldChar w:fldCharType="end"/>
      </w:r>
      <w:r w:rsidRPr="00117D66">
        <w:t xml:space="preserve"> Current state - Health technology main public funding program and Advisory committee/s by type of technology</w:t>
      </w:r>
    </w:p>
    <w:p w14:paraId="419BDC4E" w14:textId="40D0DDE7" w:rsidR="00834F49" w:rsidRDefault="006602EA" w:rsidP="00834F49">
      <w:r>
        <w:rPr>
          <w:noProof/>
        </w:rPr>
        <w:drawing>
          <wp:inline distT="0" distB="0" distL="0" distR="0" wp14:anchorId="3D2771F8" wp14:editId="6EC66FC8">
            <wp:extent cx="5878286" cy="2901250"/>
            <wp:effectExtent l="0" t="0" r="8255" b="0"/>
            <wp:docPr id="1423232228" name="Picture 142323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95609" cy="2909800"/>
                    </a:xfrm>
                    <a:prstGeom prst="rect">
                      <a:avLst/>
                    </a:prstGeom>
                    <a:noFill/>
                  </pic:spPr>
                </pic:pic>
              </a:graphicData>
            </a:graphic>
          </wp:inline>
        </w:drawing>
      </w:r>
    </w:p>
    <w:p w14:paraId="531A2246" w14:textId="01AB9EF7" w:rsidR="00502A69" w:rsidRPr="00687095" w:rsidRDefault="00502A69" w:rsidP="00F5079F">
      <w:r>
        <w:t xml:space="preserve">These pathways </w:t>
      </w:r>
      <w:r w:rsidR="008F3971">
        <w:t>are</w:t>
      </w:r>
      <w:r>
        <w:t xml:space="preserve"> described in detail in </w:t>
      </w:r>
      <w:r w:rsidR="00472344">
        <w:t xml:space="preserve">the </w:t>
      </w:r>
      <w:r w:rsidR="00946E31" w:rsidRPr="005E6643">
        <w:rPr>
          <w:i/>
        </w:rPr>
        <w:t xml:space="preserve">paper on </w:t>
      </w:r>
      <w:r w:rsidR="00BD5311" w:rsidRPr="005E6643">
        <w:rPr>
          <w:i/>
        </w:rPr>
        <w:t>approval processes, funding pathways and timeframes</w:t>
      </w:r>
      <w:r w:rsidR="00BF34BB" w:rsidRPr="005E6643">
        <w:rPr>
          <w:i/>
        </w:rPr>
        <w:t xml:space="preserve">. </w:t>
      </w:r>
    </w:p>
    <w:p w14:paraId="1437A637" w14:textId="497CC83A" w:rsidR="00B303A6" w:rsidRDefault="004E65F6" w:rsidP="00814A5D">
      <w:pPr>
        <w:pStyle w:val="Heading3"/>
        <w:keepNext/>
        <w:keepLines/>
        <w:rPr>
          <w:i/>
          <w:iCs/>
        </w:rPr>
      </w:pPr>
      <w:bookmarkStart w:id="136" w:name="_Toc157029074"/>
      <w:r w:rsidRPr="006647C5">
        <w:lastRenderedPageBreak/>
        <w:t xml:space="preserve">What we heard from stakeholders </w:t>
      </w:r>
      <w:r w:rsidR="00F7615B">
        <w:t xml:space="preserve">and </w:t>
      </w:r>
      <w:r w:rsidRPr="006647C5">
        <w:t>Issue Identification</w:t>
      </w:r>
      <w:bookmarkEnd w:id="136"/>
    </w:p>
    <w:p w14:paraId="10820F51" w14:textId="0B24C36A" w:rsidR="004A27D1" w:rsidRPr="00604EEF" w:rsidRDefault="004A27D1" w:rsidP="00604EEF">
      <w:pPr>
        <w:pStyle w:val="Heading4"/>
      </w:pPr>
      <w:r w:rsidRPr="00604EEF">
        <w:t>General themes</w:t>
      </w:r>
    </w:p>
    <w:p w14:paraId="304CAFF9" w14:textId="47DDEA16" w:rsidR="00557AAB" w:rsidRDefault="00557AAB" w:rsidP="00814A5D">
      <w:pPr>
        <w:keepNext/>
        <w:keepLines/>
      </w:pPr>
      <w:r>
        <w:t>Several key themes emerged from discussions and submissions from stakeholders involved in the current HTA process. While the HTA process is working well in several areas</w:t>
      </w:r>
      <w:r w:rsidR="008277A3">
        <w:t xml:space="preserve"> (</w:t>
      </w:r>
      <w:proofErr w:type="gramStart"/>
      <w:r w:rsidR="00031FAB">
        <w:t>e.g.</w:t>
      </w:r>
      <w:proofErr w:type="gramEnd"/>
      <w:r w:rsidR="00031FAB">
        <w:t xml:space="preserve"> </w:t>
      </w:r>
      <w:r>
        <w:t xml:space="preserve">the predictability of the </w:t>
      </w:r>
      <w:r w:rsidR="0002562A">
        <w:t>17</w:t>
      </w:r>
      <w:r w:rsidR="00A97205">
        <w:t>-</w:t>
      </w:r>
      <w:r w:rsidR="0002562A">
        <w:t xml:space="preserve">week </w:t>
      </w:r>
      <w:r>
        <w:t>process</w:t>
      </w:r>
      <w:r w:rsidR="002B4BD1">
        <w:t xml:space="preserve"> to initial </w:t>
      </w:r>
      <w:r w:rsidR="0002562A">
        <w:t>recommendation</w:t>
      </w:r>
      <w:r>
        <w:t>, the availability of parallel processing, and the availability of resources to support stakeholders</w:t>
      </w:r>
      <w:r w:rsidR="00AE67AF">
        <w:t>)</w:t>
      </w:r>
      <w:r>
        <w:t xml:space="preserve">, there are areas where improvement is needed. </w:t>
      </w:r>
    </w:p>
    <w:p w14:paraId="068B2321" w14:textId="5AA7D8A5" w:rsidR="00557AAB" w:rsidRDefault="00557AAB" w:rsidP="00984CF1">
      <w:r>
        <w:t>Timeliness emerged as a key issue. Streamlining HTA processes to reduce the time from TGA registration to listing on the PBS was emphasised. Stakeholders agreed that using HTA resubmissions as a tool for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t xml:space="preserve"> is inefficient</w:t>
      </w:r>
      <w:r w:rsidR="00ED78B8">
        <w:t>.</w:t>
      </w:r>
      <w:r>
        <w:t xml:space="preserve"> </w:t>
      </w:r>
    </w:p>
    <w:p w14:paraId="22CF6DB3" w14:textId="3FF4F530" w:rsidR="00557AAB" w:rsidRDefault="00432336" w:rsidP="00557AAB">
      <w:r>
        <w:t>We heard from stakeholders that t</w:t>
      </w:r>
      <w:r w:rsidR="00557AAB">
        <w:t>imeliness is also a problem for codependent technologies</w:t>
      </w:r>
      <w:r w:rsidR="00D64E29">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fldChar w:fldCharType="end"/>
      </w:r>
      <w:r w:rsidR="00557AAB">
        <w:t>. There is a requirement that each technology in the codependent pairing needs to be considered by the relevant committees (MSAC for the test and PBAC for the medicine) because of the two different funding mechanisms (MBS and PBS). Decisions about the pair of technologies often involve referral between the committees until there is alignment in the funding recommendations.</w:t>
      </w:r>
    </w:p>
    <w:p w14:paraId="173D438E" w14:textId="7E38F13F" w:rsidR="003A7F69" w:rsidRDefault="003A7F69" w:rsidP="00557AAB">
      <w:r>
        <w:t>We</w:t>
      </w:r>
      <w:r w:rsidR="00A37BB3">
        <w:t xml:space="preserve"> also</w:t>
      </w:r>
      <w:r>
        <w:t xml:space="preserve"> heard that, increasingly, </w:t>
      </w:r>
      <w:r w:rsidR="00B05949">
        <w:t xml:space="preserve">new health technologies are being developed that </w:t>
      </w:r>
      <w:r w:rsidR="00F970B3">
        <w:t>do not fit neatly into</w:t>
      </w:r>
      <w:r w:rsidR="00730411">
        <w:t xml:space="preserve"> any of our </w:t>
      </w:r>
      <w:r w:rsidR="000D187A">
        <w:t xml:space="preserve">funding pathways. </w:t>
      </w:r>
      <w:r w:rsidR="00E078C9">
        <w:t xml:space="preserve">We heard that it was unclear for some technologies which HTA pathway would be used to assess them. </w:t>
      </w:r>
    </w:p>
    <w:p w14:paraId="079CB22E" w14:textId="071ED827" w:rsidR="00DA1CE9" w:rsidRPr="00604EEF" w:rsidRDefault="008C4D07" w:rsidP="00984E18">
      <w:pPr>
        <w:pStyle w:val="Heading4"/>
      </w:pPr>
      <w:r>
        <w:t>Advanced Therapie</w:t>
      </w:r>
      <w:r w:rsidR="0019621A">
        <w:t>s</w:t>
      </w:r>
      <w:r w:rsidR="00FD709F">
        <w:t xml:space="preserve"> </w:t>
      </w:r>
      <w:r w:rsidR="00542C38">
        <w:t xml:space="preserve">(including </w:t>
      </w:r>
      <w:r w:rsidR="008961AD">
        <w:t>cell and gene therapies</w:t>
      </w:r>
      <w:r w:rsidR="004766A3">
        <w:fldChar w:fldCharType="begin"/>
      </w:r>
      <w:r w:rsidR="004766A3">
        <w:instrText xml:space="preserve"> XE "</w:instrText>
      </w:r>
      <w:r w:rsidR="004766A3" w:rsidRPr="007C61D0">
        <w:rPr>
          <w:rFonts w:eastAsia="Arial" w:cs="Arial"/>
        </w:rPr>
        <w:instrText>cell and gene therapies</w:instrText>
      </w:r>
      <w:r w:rsidR="004766A3">
        <w:instrText xml:space="preserve">" \b </w:instrText>
      </w:r>
      <w:r w:rsidR="004766A3">
        <w:fldChar w:fldCharType="end"/>
      </w:r>
      <w:r w:rsidR="008961AD">
        <w:t>)</w:t>
      </w:r>
    </w:p>
    <w:p w14:paraId="43199C8D" w14:textId="742F27BA" w:rsidR="003E2E7D" w:rsidRDefault="00DA1CE9" w:rsidP="00984E18">
      <w:pPr>
        <w:rPr>
          <w:rFonts w:eastAsia="Arial" w:cs="Arial"/>
        </w:rPr>
      </w:pPr>
      <w:r w:rsidRPr="515F9C68">
        <w:rPr>
          <w:rFonts w:eastAsia="Arial" w:cs="Arial"/>
        </w:rPr>
        <w:t xml:space="preserve">Cell and gene therapies can currently be assessed for a funding decision either through an MSAC or PBAC HTA pathway. </w:t>
      </w:r>
      <w:r w:rsidR="00994E11" w:rsidRPr="515F9C68">
        <w:rPr>
          <w:rFonts w:eastAsia="Arial" w:cs="Arial"/>
        </w:rPr>
        <w:t xml:space="preserve">The MSAC and PBAC Chairs, together with a </w:t>
      </w:r>
      <w:r w:rsidR="00994E11">
        <w:rPr>
          <w:rFonts w:eastAsia="Arial" w:cs="Arial"/>
        </w:rPr>
        <w:t>s</w:t>
      </w:r>
      <w:r w:rsidR="00994E11" w:rsidRPr="515F9C68">
        <w:rPr>
          <w:rFonts w:eastAsia="Arial" w:cs="Arial"/>
        </w:rPr>
        <w:t xml:space="preserve">tate and </w:t>
      </w:r>
      <w:r w:rsidR="00994E11">
        <w:rPr>
          <w:rFonts w:eastAsia="Arial" w:cs="Arial"/>
        </w:rPr>
        <w:t>t</w:t>
      </w:r>
      <w:r w:rsidR="00994E11" w:rsidRPr="515F9C68">
        <w:rPr>
          <w:rFonts w:eastAsia="Arial" w:cs="Arial"/>
        </w:rPr>
        <w:t xml:space="preserve">erritory </w:t>
      </w:r>
      <w:r w:rsidR="001678DB">
        <w:rPr>
          <w:rFonts w:eastAsia="Arial" w:cs="Arial"/>
        </w:rPr>
        <w:t>government</w:t>
      </w:r>
      <w:r w:rsidR="00994E11" w:rsidRPr="515F9C68">
        <w:rPr>
          <w:rFonts w:eastAsia="Arial" w:cs="Arial"/>
        </w:rPr>
        <w:t xml:space="preserve"> representative</w:t>
      </w:r>
      <w:r w:rsidR="00994E11">
        <w:rPr>
          <w:rFonts w:eastAsia="Arial" w:cs="Arial"/>
        </w:rPr>
        <w:t>,</w:t>
      </w:r>
      <w:r w:rsidR="00994E11" w:rsidRPr="515F9C68">
        <w:rPr>
          <w:rFonts w:eastAsia="Arial" w:cs="Arial"/>
        </w:rPr>
        <w:t xml:space="preserve"> jointly decide on which committee should assess the application for a new cell and gene therapy</w:t>
      </w:r>
      <w:r w:rsidR="00994E11">
        <w:rPr>
          <w:rFonts w:eastAsia="Arial" w:cs="Arial"/>
        </w:rPr>
        <w:t xml:space="preserve">. </w:t>
      </w:r>
    </w:p>
    <w:p w14:paraId="7D2136E9" w14:textId="21DB167C" w:rsidR="003E2E7D" w:rsidRDefault="00B17C85" w:rsidP="00DA1CE9">
      <w:pPr>
        <w:rPr>
          <w:rFonts w:eastAsia="Arial" w:cs="Arial"/>
        </w:rPr>
      </w:pPr>
      <w:r>
        <w:rPr>
          <w:rFonts w:eastAsia="Arial" w:cs="Arial"/>
        </w:rPr>
        <w:t>T</w:t>
      </w:r>
      <w:r w:rsidR="003D75E9" w:rsidRPr="003D75E9">
        <w:rPr>
          <w:rFonts w:eastAsia="Arial" w:cs="Arial"/>
        </w:rPr>
        <w:t>he rules for</w:t>
      </w:r>
      <w:r w:rsidR="003D75E9">
        <w:rPr>
          <w:rFonts w:eastAsia="Arial" w:cs="Arial"/>
        </w:rPr>
        <w:t xml:space="preserve"> submissions that go through</w:t>
      </w:r>
      <w:r w:rsidR="003D75E9" w:rsidRPr="003D75E9">
        <w:rPr>
          <w:rFonts w:eastAsia="Arial" w:cs="Arial"/>
        </w:rPr>
        <w:t xml:space="preserve"> PBAC assessment are set out in the </w:t>
      </w:r>
      <w:r w:rsidR="003D75E9" w:rsidRPr="009D14F6">
        <w:rPr>
          <w:rFonts w:eastAsia="Arial" w:cs="Arial"/>
          <w:i/>
          <w:iCs/>
        </w:rPr>
        <w:t>National Health Act 1953</w:t>
      </w:r>
      <w:r w:rsidR="003D75E9" w:rsidRPr="003D75E9">
        <w:rPr>
          <w:rFonts w:eastAsia="Arial" w:cs="Arial"/>
        </w:rPr>
        <w:t>.</w:t>
      </w:r>
      <w:r w:rsidR="00AE13AB">
        <w:rPr>
          <w:rFonts w:eastAsia="Arial" w:cs="Arial"/>
        </w:rPr>
        <w:t xml:space="preserve"> As</w:t>
      </w:r>
      <w:r w:rsidR="003D75E9" w:rsidRPr="003D75E9">
        <w:rPr>
          <w:rFonts w:eastAsia="Arial" w:cs="Arial"/>
        </w:rPr>
        <w:t xml:space="preserve"> </w:t>
      </w:r>
      <w:r w:rsidR="00312594">
        <w:rPr>
          <w:rFonts w:eastAsia="Arial" w:cs="Arial"/>
        </w:rPr>
        <w:t xml:space="preserve">PBS </w:t>
      </w:r>
      <w:r w:rsidR="00EB092D">
        <w:rPr>
          <w:rFonts w:eastAsia="Arial" w:cs="Arial"/>
        </w:rPr>
        <w:t>medications</w:t>
      </w:r>
      <w:r w:rsidR="00312594">
        <w:rPr>
          <w:rFonts w:eastAsia="Arial" w:cs="Arial"/>
        </w:rPr>
        <w:t xml:space="preserve"> cannot </w:t>
      </w:r>
      <w:r w:rsidR="00B122D2">
        <w:rPr>
          <w:rFonts w:eastAsia="Arial" w:cs="Arial"/>
        </w:rPr>
        <w:t xml:space="preserve">generally </w:t>
      </w:r>
      <w:r w:rsidR="00312594">
        <w:rPr>
          <w:rFonts w:eastAsia="Arial" w:cs="Arial"/>
        </w:rPr>
        <w:t>be dispensed to inpatients in public hospitals (with some exceptions</w:t>
      </w:r>
      <w:r w:rsidR="00FE66D9">
        <w:rPr>
          <w:rFonts w:eastAsia="Arial" w:cs="Arial"/>
        </w:rPr>
        <w:t xml:space="preserve">, see </w:t>
      </w:r>
      <w:hyperlink r:id="rId145" w:history="1">
        <w:r w:rsidR="00FE66D9" w:rsidRPr="00FE66D9">
          <w:rPr>
            <w:rStyle w:val="Hyperlink"/>
            <w:rFonts w:eastAsia="Arial" w:cs="Arial"/>
          </w:rPr>
          <w:t>PBS Pharmaceuticals in Hospitals Review</w:t>
        </w:r>
      </w:hyperlink>
      <w:r w:rsidR="00B122D2">
        <w:rPr>
          <w:rFonts w:eastAsia="Arial" w:cs="Arial"/>
        </w:rPr>
        <w:t>)</w:t>
      </w:r>
      <w:r w:rsidR="00FE66D9">
        <w:rPr>
          <w:rFonts w:eastAsia="Arial" w:cs="Arial"/>
        </w:rPr>
        <w:t xml:space="preserve"> when a</w:t>
      </w:r>
      <w:r w:rsidR="00E01697">
        <w:rPr>
          <w:rFonts w:eastAsia="Arial" w:cs="Arial"/>
        </w:rPr>
        <w:t xml:space="preserve">n </w:t>
      </w:r>
      <w:r w:rsidR="00F775C7">
        <w:rPr>
          <w:rFonts w:eastAsia="Arial" w:cs="Arial"/>
        </w:rPr>
        <w:t xml:space="preserve">Advanced Therapy </w:t>
      </w:r>
      <w:r w:rsidR="005D7679">
        <w:rPr>
          <w:rFonts w:eastAsia="Arial" w:cs="Arial"/>
        </w:rPr>
        <w:t xml:space="preserve">will be delivered to an inpatient </w:t>
      </w:r>
      <w:r w:rsidR="008D51B1">
        <w:rPr>
          <w:rFonts w:eastAsia="Arial" w:cs="Arial"/>
        </w:rPr>
        <w:t xml:space="preserve">within a public hospital, </w:t>
      </w:r>
      <w:r w:rsidR="00EB0BA1">
        <w:rPr>
          <w:rFonts w:eastAsia="Arial" w:cs="Arial"/>
        </w:rPr>
        <w:t xml:space="preserve">the assessment of the therapy </w:t>
      </w:r>
      <w:r w:rsidR="003D75E9" w:rsidRPr="003D75E9">
        <w:rPr>
          <w:rFonts w:eastAsia="Arial" w:cs="Arial"/>
        </w:rPr>
        <w:t xml:space="preserve">does not fall within the definition for consideration by PBAC </w:t>
      </w:r>
      <w:r w:rsidR="008D14DD">
        <w:rPr>
          <w:rFonts w:eastAsia="Arial" w:cs="Arial"/>
        </w:rPr>
        <w:t xml:space="preserve">so </w:t>
      </w:r>
      <w:r w:rsidR="003D75E9" w:rsidRPr="003D75E9">
        <w:rPr>
          <w:rFonts w:eastAsia="Arial" w:cs="Arial"/>
        </w:rPr>
        <w:t>it is assessed</w:t>
      </w:r>
      <w:r w:rsidR="008D14DD">
        <w:rPr>
          <w:rFonts w:eastAsia="Arial" w:cs="Arial"/>
        </w:rPr>
        <w:t xml:space="preserve"> by MSAC.</w:t>
      </w:r>
      <w:r w:rsidR="00FA5E92">
        <w:rPr>
          <w:rFonts w:eastAsia="Arial" w:cs="Arial"/>
        </w:rPr>
        <w:t xml:space="preserve"> </w:t>
      </w:r>
      <w:r w:rsidR="00DA1CE9" w:rsidRPr="515F9C68">
        <w:rPr>
          <w:rFonts w:eastAsia="Arial" w:cs="Arial"/>
        </w:rPr>
        <w:t xml:space="preserve">Funding arrangements for </w:t>
      </w:r>
      <w:r w:rsidR="0037598B">
        <w:rPr>
          <w:rFonts w:eastAsia="Arial" w:cs="Arial"/>
        </w:rPr>
        <w:t xml:space="preserve">high cost </w:t>
      </w:r>
      <w:r w:rsidR="004537E0">
        <w:rPr>
          <w:rFonts w:eastAsia="Arial" w:cs="Arial"/>
        </w:rPr>
        <w:t>Advanced Therapies (also called high cost HST</w:t>
      </w:r>
      <w:r w:rsidR="00D0068C">
        <w:rPr>
          <w:rFonts w:eastAsia="Arial" w:cs="Arial"/>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rFonts w:eastAsia="Arial" w:cs="Arial"/>
        </w:rPr>
        <w:fldChar w:fldCharType="end"/>
      </w:r>
      <w:r w:rsidR="004537E0">
        <w:rPr>
          <w:rFonts w:eastAsia="Arial" w:cs="Arial"/>
        </w:rPr>
        <w:t>’s in the NHRA)</w:t>
      </w:r>
      <w:r w:rsidR="00FB4DDB">
        <w:rPr>
          <w:rFonts w:eastAsia="Arial" w:cs="Arial"/>
        </w:rPr>
        <w:fldChar w:fldCharType="begin"/>
      </w:r>
      <w:r w:rsidR="00FB4DDB">
        <w:instrText xml:space="preserve"> XE "</w:instrText>
      </w:r>
      <w:r w:rsidR="00FB4DDB" w:rsidRPr="00E63409">
        <w:rPr>
          <w:rFonts w:eastAsia="Times New Roman" w:cs="Segoe UI"/>
          <w:color w:val="000000"/>
          <w:kern w:val="24"/>
          <w:lang w:eastAsia="en-AU"/>
        </w:rPr>
        <w:instrText>highly specialised therapies</w:instrText>
      </w:r>
      <w:r w:rsidR="00FB4DDB" w:rsidRPr="00E63409">
        <w:rPr>
          <w:rFonts w:eastAsia="Times New Roman" w:cs="Segoe UI"/>
          <w:color w:val="000000"/>
          <w:kern w:val="24"/>
        </w:rPr>
        <w:instrText>:</w:instrText>
      </w:r>
      <w:r w:rsidR="00FB4DDB" w:rsidRPr="00E63409">
        <w:instrText>HST</w:instrText>
      </w:r>
      <w:r w:rsidR="00FB4DDB">
        <w:instrText xml:space="preserve">" \b </w:instrText>
      </w:r>
      <w:r w:rsidR="00FB4DDB">
        <w:rPr>
          <w:rFonts w:eastAsia="Arial" w:cs="Arial"/>
        </w:rPr>
        <w:fldChar w:fldCharType="end"/>
      </w:r>
      <w:r w:rsidR="00DA1CE9" w:rsidRPr="515F9C68">
        <w:rPr>
          <w:rFonts w:eastAsia="Arial" w:cs="Arial"/>
        </w:rPr>
        <w:t xml:space="preserve"> </w:t>
      </w:r>
      <w:r w:rsidR="00FA5E92">
        <w:rPr>
          <w:rFonts w:eastAsia="Arial" w:cs="Arial"/>
        </w:rPr>
        <w:t xml:space="preserve">delivered to inpatients in public hospitals </w:t>
      </w:r>
      <w:r w:rsidR="00DA1CE9" w:rsidRPr="515F9C68">
        <w:rPr>
          <w:rFonts w:eastAsia="Arial" w:cs="Arial"/>
        </w:rPr>
        <w:t xml:space="preserve">are set out in the </w:t>
      </w:r>
      <w:hyperlink r:id="rId146" w:history="1">
        <w:r w:rsidR="00DA1CE9" w:rsidRPr="004A0004">
          <w:rPr>
            <w:rStyle w:val="Hyperlink"/>
            <w:rFonts w:eastAsia="Arial" w:cs="Arial"/>
          </w:rPr>
          <w:t>2020</w:t>
        </w:r>
        <w:r w:rsidR="00A45A58" w:rsidRPr="004A0004">
          <w:rPr>
            <w:rStyle w:val="Hyperlink"/>
            <w:rFonts w:eastAsia="Arial" w:cs="Arial"/>
          </w:rPr>
          <w:t>–</w:t>
        </w:r>
        <w:r w:rsidR="00DA1CE9" w:rsidRPr="004A0004">
          <w:rPr>
            <w:rStyle w:val="Hyperlink"/>
            <w:rFonts w:eastAsia="Arial" w:cs="Arial"/>
          </w:rPr>
          <w:t>25 NHRA Addendum</w:t>
        </w:r>
      </w:hyperlink>
      <w:r w:rsidR="00DA1CE9" w:rsidRPr="515F9C68">
        <w:rPr>
          <w:rFonts w:eastAsia="Arial" w:cs="Arial"/>
        </w:rPr>
        <w:t xml:space="preserve">. Under the NHRA, </w:t>
      </w:r>
      <w:r w:rsidR="00992248">
        <w:rPr>
          <w:rFonts w:eastAsia="Arial" w:cs="Arial"/>
        </w:rPr>
        <w:t>high cost,</w:t>
      </w:r>
      <w:r w:rsidR="00416765">
        <w:rPr>
          <w:rFonts w:eastAsia="Arial" w:cs="Arial"/>
        </w:rPr>
        <w:t xml:space="preserve"> </w:t>
      </w:r>
      <w:r w:rsidR="00C701C7">
        <w:rPr>
          <w:rFonts w:eastAsia="Arial" w:cs="Arial"/>
        </w:rPr>
        <w:t>HST</w:t>
      </w:r>
      <w:r w:rsidR="00D0068C">
        <w:rPr>
          <w:rFonts w:eastAsia="Arial" w:cs="Arial"/>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rFonts w:eastAsia="Arial" w:cs="Arial"/>
        </w:rPr>
        <w:fldChar w:fldCharType="end"/>
      </w:r>
      <w:r w:rsidR="00C701C7">
        <w:rPr>
          <w:rFonts w:eastAsia="Arial" w:cs="Arial"/>
        </w:rPr>
        <w:t>’s</w:t>
      </w:r>
      <w:r w:rsidR="00DA1CE9" w:rsidRPr="515F9C68">
        <w:rPr>
          <w:rFonts w:eastAsia="Arial" w:cs="Arial"/>
        </w:rPr>
        <w:t xml:space="preserve"> </w:t>
      </w:r>
      <w:r w:rsidR="0069542A">
        <w:rPr>
          <w:rFonts w:eastAsia="Arial" w:cs="Arial"/>
        </w:rPr>
        <w:t xml:space="preserve">that are </w:t>
      </w:r>
      <w:r w:rsidR="00DA1CE9" w:rsidRPr="515F9C68">
        <w:rPr>
          <w:rFonts w:eastAsia="Arial" w:cs="Arial"/>
        </w:rPr>
        <w:t xml:space="preserve">delivered in </w:t>
      </w:r>
      <w:r w:rsidR="00A447C1">
        <w:rPr>
          <w:rFonts w:eastAsia="Arial" w:cs="Arial"/>
        </w:rPr>
        <w:t xml:space="preserve">to admitted </w:t>
      </w:r>
      <w:r w:rsidR="00A447C1">
        <w:rPr>
          <w:rFonts w:eastAsia="Arial" w:cs="Arial"/>
        </w:rPr>
        <w:lastRenderedPageBreak/>
        <w:t xml:space="preserve">inpatients in </w:t>
      </w:r>
      <w:r w:rsidR="00DA1CE9" w:rsidRPr="515F9C68">
        <w:rPr>
          <w:rFonts w:eastAsia="Arial" w:cs="Arial"/>
        </w:rPr>
        <w:t xml:space="preserve">public hospitals are jointly funded between the Commonwealth and </w:t>
      </w:r>
      <w:r w:rsidR="00811D1E">
        <w:rPr>
          <w:rFonts w:eastAsia="Arial" w:cs="Arial"/>
        </w:rPr>
        <w:t>s</w:t>
      </w:r>
      <w:r w:rsidR="00DA1CE9" w:rsidRPr="515F9C68">
        <w:rPr>
          <w:rFonts w:eastAsia="Arial" w:cs="Arial"/>
        </w:rPr>
        <w:t xml:space="preserve">tate and </w:t>
      </w:r>
      <w:r w:rsidR="00811D1E">
        <w:rPr>
          <w:rFonts w:eastAsia="Arial" w:cs="Arial"/>
        </w:rPr>
        <w:t>t</w:t>
      </w:r>
      <w:r w:rsidR="00DA1CE9" w:rsidRPr="515F9C68">
        <w:rPr>
          <w:rFonts w:eastAsia="Arial" w:cs="Arial"/>
        </w:rPr>
        <w:t>erritor</w:t>
      </w:r>
      <w:r w:rsidR="00566F8E">
        <w:rPr>
          <w:rFonts w:eastAsia="Arial" w:cs="Arial"/>
        </w:rPr>
        <w:t>y governments</w:t>
      </w:r>
      <w:r w:rsidR="00CA32F1">
        <w:rPr>
          <w:rFonts w:eastAsia="Arial" w:cs="Arial"/>
        </w:rPr>
        <w:fldChar w:fldCharType="begin"/>
      </w:r>
      <w:r w:rsidR="00CA32F1">
        <w:instrText xml:space="preserve"> XE "</w:instrText>
      </w:r>
      <w:r w:rsidR="00CA32F1" w:rsidRPr="002E4A7A">
        <w:instrText>state and territory governments</w:instrText>
      </w:r>
      <w:r w:rsidR="00CA32F1">
        <w:instrText xml:space="preserve">" </w:instrText>
      </w:r>
      <w:r w:rsidR="00CA32F1">
        <w:rPr>
          <w:rFonts w:eastAsia="Arial" w:cs="Arial"/>
        </w:rPr>
        <w:fldChar w:fldCharType="end"/>
      </w:r>
      <w:r w:rsidR="00DA1CE9" w:rsidRPr="515F9C68">
        <w:rPr>
          <w:rFonts w:eastAsia="Arial" w:cs="Arial"/>
        </w:rPr>
        <w:t xml:space="preserve">. </w:t>
      </w:r>
    </w:p>
    <w:p w14:paraId="76297A86" w14:textId="6517A886" w:rsidR="00DA1CE9" w:rsidRDefault="00DA1CE9" w:rsidP="00DA1CE9">
      <w:pPr>
        <w:rPr>
          <w:rFonts w:eastAsia="Arial" w:cs="Arial"/>
        </w:rPr>
      </w:pPr>
      <w:r w:rsidRPr="515F9C68">
        <w:rPr>
          <w:rFonts w:eastAsia="Arial" w:cs="Arial"/>
        </w:rPr>
        <w:t>Following a supportive MSAC recommendation, the Commonwealth and sponsor negotiate an overarching Deed of Agreement in line with the MSAC’s conditions for funding of the</w:t>
      </w:r>
      <w:r w:rsidR="00C701C7">
        <w:rPr>
          <w:rFonts w:eastAsia="Arial" w:cs="Arial"/>
        </w:rPr>
        <w:t xml:space="preserve"> high cost HST</w:t>
      </w:r>
      <w:r w:rsidR="00D0068C">
        <w:rPr>
          <w:rFonts w:eastAsia="Arial" w:cs="Arial"/>
        </w:rPr>
        <w:fldChar w:fldCharType="begin"/>
      </w:r>
      <w:r w:rsidR="00D0068C">
        <w:instrText xml:space="preserve"> XE "</w:instrText>
      </w:r>
      <w:r w:rsidR="00D0068C" w:rsidRPr="0014280D">
        <w:rPr>
          <w:rStyle w:val="cf01"/>
          <w:sz w:val="20"/>
          <w:szCs w:val="20"/>
        </w:rPr>
        <w:instrText>highly specialised therapies:</w:instrText>
      </w:r>
      <w:r w:rsidR="00D0068C" w:rsidRPr="0014280D">
        <w:instrText>HST</w:instrText>
      </w:r>
      <w:r w:rsidR="00D0068C">
        <w:instrText xml:space="preserve">" </w:instrText>
      </w:r>
      <w:r w:rsidR="00D0068C">
        <w:rPr>
          <w:rFonts w:eastAsia="Arial" w:cs="Arial"/>
        </w:rPr>
        <w:fldChar w:fldCharType="end"/>
      </w:r>
      <w:r w:rsidRPr="515F9C68">
        <w:rPr>
          <w:rFonts w:eastAsia="Arial" w:cs="Arial"/>
        </w:rPr>
        <w:t xml:space="preserve">. State and </w:t>
      </w:r>
      <w:r w:rsidR="00245C4A">
        <w:rPr>
          <w:rFonts w:eastAsia="Arial" w:cs="Arial"/>
        </w:rPr>
        <w:t>t</w:t>
      </w:r>
      <w:r w:rsidRPr="515F9C68">
        <w:rPr>
          <w:rFonts w:eastAsia="Arial" w:cs="Arial"/>
        </w:rPr>
        <w:t>erritor</w:t>
      </w:r>
      <w:r w:rsidR="0032149F">
        <w:rPr>
          <w:rFonts w:eastAsia="Arial" w:cs="Arial"/>
        </w:rPr>
        <w:t>y governments</w:t>
      </w:r>
      <w:r w:rsidRPr="515F9C68">
        <w:rPr>
          <w:rFonts w:eastAsia="Arial" w:cs="Arial"/>
        </w:rPr>
        <w:t xml:space="preserve"> decide when and where the therapy will be provided</w:t>
      </w:r>
      <w:r w:rsidR="00245C4A">
        <w:rPr>
          <w:rFonts w:eastAsia="Arial" w:cs="Arial"/>
        </w:rPr>
        <w:t>.</w:t>
      </w:r>
      <w:r w:rsidRPr="515F9C68">
        <w:rPr>
          <w:rFonts w:eastAsia="Arial" w:cs="Arial"/>
        </w:rPr>
        <w:t xml:space="preserve"> </w:t>
      </w:r>
    </w:p>
    <w:p w14:paraId="304E5041" w14:textId="4A9D48E3" w:rsidR="00DA1CE9" w:rsidRDefault="00E64E4C" w:rsidP="00DA1CE9">
      <w:pPr>
        <w:rPr>
          <w:rFonts w:eastAsia="Arial" w:cs="Arial"/>
          <w:lang w:val="en-US"/>
        </w:rPr>
      </w:pPr>
      <w:r>
        <w:rPr>
          <w:rFonts w:eastAsia="Arial" w:cs="Arial"/>
        </w:rPr>
        <w:t xml:space="preserve">We heard </w:t>
      </w:r>
      <w:r w:rsidR="00680256">
        <w:rPr>
          <w:rFonts w:eastAsia="Arial" w:cs="Arial"/>
        </w:rPr>
        <w:t>the following views</w:t>
      </w:r>
      <w:r>
        <w:rPr>
          <w:rFonts w:eastAsia="Arial" w:cs="Arial"/>
        </w:rPr>
        <w:t xml:space="preserve"> from s</w:t>
      </w:r>
      <w:r w:rsidR="00DA1CE9" w:rsidRPr="08A95649">
        <w:rPr>
          <w:rFonts w:eastAsia="Arial" w:cs="Arial"/>
        </w:rPr>
        <w:t>takeholders:</w:t>
      </w:r>
    </w:p>
    <w:p w14:paraId="4769A4E8" w14:textId="42A8A017"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A cohesive approach to HTA is particularly important for the equitable access to HSTs</w:t>
      </w:r>
      <w:r w:rsidR="00FB4DDB" w:rsidRPr="00123D24">
        <w:rPr>
          <w:rFonts w:eastAsia="Arial" w:cs="Arial"/>
          <w:i/>
        </w:rPr>
        <w:fldChar w:fldCharType="begin"/>
      </w:r>
      <w:r w:rsidR="00FB4DDB" w:rsidRPr="00123D24">
        <w:rPr>
          <w:i/>
        </w:rPr>
        <w:instrText xml:space="preserve"> XE "</w:instrText>
      </w:r>
      <w:r w:rsidR="00FB4DDB" w:rsidRPr="00123D24">
        <w:rPr>
          <w:rFonts w:eastAsia="Times New Roman" w:cs="Segoe UI"/>
          <w:i/>
          <w:color w:val="000000"/>
          <w:kern w:val="24"/>
          <w:lang w:eastAsia="en-AU"/>
        </w:rPr>
        <w:instrText xml:space="preserve">highly specialised </w:instrText>
      </w:r>
      <w:proofErr w:type="spellStart"/>
      <w:r w:rsidR="00FB4DDB" w:rsidRPr="00123D24">
        <w:rPr>
          <w:rFonts w:eastAsia="Times New Roman" w:cs="Segoe UI"/>
          <w:i/>
          <w:color w:val="000000"/>
          <w:kern w:val="24"/>
          <w:lang w:eastAsia="en-AU"/>
        </w:rPr>
        <w:instrText>therapies</w:instrText>
      </w:r>
      <w:r w:rsidR="00FB4DDB" w:rsidRPr="00123D24">
        <w:rPr>
          <w:rFonts w:eastAsia="Times New Roman" w:cs="Segoe UI"/>
          <w:i/>
          <w:color w:val="000000"/>
          <w:kern w:val="24"/>
        </w:rPr>
        <w:instrText>:</w:instrText>
      </w:r>
      <w:r w:rsidR="00FB4DDB" w:rsidRPr="00123D24">
        <w:rPr>
          <w:i/>
        </w:rPr>
        <w:instrText>HST</w:instrText>
      </w:r>
      <w:proofErr w:type="spellEnd"/>
      <w:r w:rsidR="00FB4DDB" w:rsidRPr="00123D24">
        <w:rPr>
          <w:i/>
        </w:rPr>
        <w:instrText xml:space="preserve">" \b </w:instrText>
      </w:r>
      <w:r w:rsidR="00FB4DDB" w:rsidRPr="00123D24">
        <w:rPr>
          <w:rFonts w:eastAsia="Arial" w:cs="Arial"/>
          <w:i/>
        </w:rPr>
        <w:fldChar w:fldCharType="end"/>
      </w:r>
      <w:r w:rsidRPr="00123D24">
        <w:rPr>
          <w:rFonts w:eastAsia="Arial" w:cs="Arial"/>
          <w:i/>
        </w:rPr>
        <w:t xml:space="preserve"> in Australia.</w:t>
      </w:r>
    </w:p>
    <w:p w14:paraId="3AE82336" w14:textId="02ABB52A"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 xml:space="preserve">Companies seeking to bring new types of technologies such as precision therapies are finding it difficult to determine the appropriate pathway – particularly for gene therapies </w:t>
      </w:r>
      <w:r w:rsidR="00B40E3C" w:rsidRPr="00123D24">
        <w:rPr>
          <w:rFonts w:eastAsia="Arial" w:cs="Arial"/>
          <w:i/>
        </w:rPr>
        <w:t xml:space="preserve">that </w:t>
      </w:r>
      <w:r w:rsidRPr="00123D24">
        <w:rPr>
          <w:rFonts w:eastAsia="Arial" w:cs="Arial"/>
          <w:i/>
        </w:rPr>
        <w:t xml:space="preserve">could be subsidised either through the PBS or funded under </w:t>
      </w:r>
      <w:r w:rsidR="00921B02">
        <w:rPr>
          <w:rFonts w:eastAsia="Arial" w:cs="Arial"/>
          <w:i/>
        </w:rPr>
        <w:t>NHRA</w:t>
      </w:r>
      <w:r w:rsidRPr="00123D24">
        <w:rPr>
          <w:rFonts w:eastAsia="Arial" w:cs="Arial"/>
          <w:i/>
        </w:rPr>
        <w:t xml:space="preserve"> arrangements.</w:t>
      </w:r>
    </w:p>
    <w:p w14:paraId="769B9AAB" w14:textId="77777777"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The assessment landscape is currently fragmented and uncoordinated across assessment entities which can result in applications being assigned to incorrect assessment entities, resulting in increased assessment times.</w:t>
      </w:r>
    </w:p>
    <w:p w14:paraId="4A8979F9" w14:textId="5A69DBA9"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 xml:space="preserve">PBAC decisions often have implications for </w:t>
      </w:r>
      <w:r w:rsidR="00402ABC" w:rsidRPr="00123D24">
        <w:rPr>
          <w:rFonts w:eastAsia="Arial" w:cs="Arial"/>
          <w:i/>
        </w:rPr>
        <w:t>s</w:t>
      </w:r>
      <w:r w:rsidRPr="00123D24">
        <w:rPr>
          <w:rFonts w:eastAsia="Arial" w:cs="Arial"/>
          <w:i/>
        </w:rPr>
        <w:t>tate hospital budgets, there is currently a lack of transparency</w:t>
      </w:r>
      <w:r w:rsidR="002A0D74" w:rsidRPr="00123D24">
        <w:rPr>
          <w:rFonts w:eastAsia="Arial" w:cs="Arial"/>
          <w:i/>
        </w:rPr>
        <w:fldChar w:fldCharType="begin"/>
      </w:r>
      <w:r w:rsidR="002A0D74" w:rsidRPr="00123D24">
        <w:rPr>
          <w:i/>
        </w:rPr>
        <w:instrText xml:space="preserve"> XE "transparency" </w:instrText>
      </w:r>
      <w:r w:rsidR="002A0D74" w:rsidRPr="00123D24">
        <w:rPr>
          <w:rFonts w:eastAsia="Arial" w:cs="Arial"/>
          <w:i/>
        </w:rPr>
        <w:fldChar w:fldCharType="end"/>
      </w:r>
      <w:r w:rsidRPr="00123D24">
        <w:rPr>
          <w:rFonts w:eastAsia="Arial" w:cs="Arial"/>
          <w:i/>
        </w:rPr>
        <w:t xml:space="preserve"> in HTA processes, and a risk of jurisdictional stakeholders not being appropriately consulted during the HTA process.</w:t>
      </w:r>
    </w:p>
    <w:p w14:paraId="17191602" w14:textId="0101B350"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 xml:space="preserve">The projected costs for pipeline </w:t>
      </w:r>
      <w:r w:rsidR="009B3600" w:rsidRPr="00123D24">
        <w:rPr>
          <w:rFonts w:eastAsia="Arial" w:cs="Arial"/>
          <w:i/>
        </w:rPr>
        <w:t xml:space="preserve">ATMPs </w:t>
      </w:r>
      <w:r w:rsidRPr="00123D24">
        <w:rPr>
          <w:rFonts w:eastAsia="Arial" w:cs="Arial"/>
          <w:i/>
        </w:rPr>
        <w:t xml:space="preserve">will pose a significant challenge to Commonwealth and </w:t>
      </w:r>
      <w:r w:rsidR="00857642" w:rsidRPr="00123D24">
        <w:rPr>
          <w:rFonts w:eastAsia="Arial" w:cs="Arial"/>
          <w:i/>
        </w:rPr>
        <w:t>s</w:t>
      </w:r>
      <w:r w:rsidRPr="00123D24">
        <w:rPr>
          <w:rFonts w:eastAsia="Arial" w:cs="Arial"/>
          <w:i/>
        </w:rPr>
        <w:t xml:space="preserve">tate </w:t>
      </w:r>
      <w:r w:rsidR="00857642" w:rsidRPr="00123D24">
        <w:rPr>
          <w:rFonts w:eastAsia="Arial" w:cs="Arial"/>
          <w:i/>
        </w:rPr>
        <w:t>b</w:t>
      </w:r>
      <w:r w:rsidRPr="00123D24">
        <w:rPr>
          <w:rFonts w:eastAsia="Arial" w:cs="Arial"/>
          <w:i/>
        </w:rPr>
        <w:t>udgets. Unsustainable funding pressures for these therapies would likely be a significant barrier to timely and equitable access, particularly for therapies that are the most unaffordable.</w:t>
      </w:r>
    </w:p>
    <w:p w14:paraId="386E0852" w14:textId="1817E767" w:rsidR="00DA1CE9" w:rsidRPr="00123D24" w:rsidRDefault="00DA1CE9" w:rsidP="008C10BB">
      <w:pPr>
        <w:pStyle w:val="ListParagraph"/>
        <w:numPr>
          <w:ilvl w:val="0"/>
          <w:numId w:val="7"/>
        </w:numPr>
        <w:spacing w:after="120"/>
        <w:rPr>
          <w:rFonts w:eastAsia="Arial" w:cs="Arial"/>
          <w:i/>
        </w:rPr>
      </w:pPr>
      <w:r w:rsidRPr="00123D24">
        <w:rPr>
          <w:rFonts w:eastAsia="Arial" w:cs="Arial"/>
          <w:i/>
        </w:rPr>
        <w:t xml:space="preserve">The available evidence supporting these technologies is often limited and insufficient for </w:t>
      </w:r>
      <w:r w:rsidR="004F2EE8" w:rsidRPr="00123D24">
        <w:rPr>
          <w:rFonts w:eastAsia="Arial" w:cs="Arial"/>
          <w:i/>
        </w:rPr>
        <w:t>c</w:t>
      </w:r>
      <w:r w:rsidRPr="00123D24">
        <w:rPr>
          <w:rFonts w:eastAsia="Arial" w:cs="Arial"/>
          <w:i/>
        </w:rPr>
        <w:t xml:space="preserve">ommittee members to determine, with certainty, their comparative safety, </w:t>
      </w:r>
      <w:proofErr w:type="gramStart"/>
      <w:r w:rsidRPr="00123D24">
        <w:rPr>
          <w:rFonts w:eastAsia="Arial" w:cs="Arial"/>
          <w:i/>
        </w:rPr>
        <w:t>effectiveness</w:t>
      </w:r>
      <w:proofErr w:type="gramEnd"/>
      <w:r w:rsidRPr="00123D24">
        <w:rPr>
          <w:rFonts w:eastAsia="Arial" w:cs="Arial"/>
          <w:i/>
        </w:rPr>
        <w:t xml:space="preserve"> and cost-effectiveness. </w:t>
      </w:r>
    </w:p>
    <w:p w14:paraId="7041F11A" w14:textId="5B606DE9"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 xml:space="preserve">The lack of long-term data in the Australian healthcare context is seemingly placing an increased burden on </w:t>
      </w:r>
      <w:r w:rsidR="009F1D41" w:rsidRPr="00123D24">
        <w:rPr>
          <w:rFonts w:eastAsia="Arial" w:cs="Arial"/>
          <w:i/>
        </w:rPr>
        <w:t>state</w:t>
      </w:r>
      <w:r w:rsidRPr="00123D24">
        <w:rPr>
          <w:rFonts w:eastAsia="Arial" w:cs="Arial"/>
          <w:i/>
        </w:rPr>
        <w:t xml:space="preserve"> and </w:t>
      </w:r>
      <w:r w:rsidR="009F1D41" w:rsidRPr="00123D24">
        <w:rPr>
          <w:rFonts w:eastAsia="Arial" w:cs="Arial"/>
          <w:i/>
        </w:rPr>
        <w:t>territory</w:t>
      </w:r>
      <w:r w:rsidRPr="00123D24">
        <w:rPr>
          <w:rFonts w:eastAsia="Arial" w:cs="Arial"/>
          <w:i/>
        </w:rPr>
        <w:t xml:space="preserve"> health departments in relation to data collection following reimbursement.</w:t>
      </w:r>
    </w:p>
    <w:p w14:paraId="2CCB5EF1" w14:textId="77777777" w:rsidR="00DA1CE9" w:rsidRPr="00123D24" w:rsidRDefault="00DA1CE9" w:rsidP="008C10BB">
      <w:pPr>
        <w:pStyle w:val="ListParagraph"/>
        <w:numPr>
          <w:ilvl w:val="0"/>
          <w:numId w:val="7"/>
        </w:numPr>
        <w:spacing w:after="120"/>
        <w:rPr>
          <w:rFonts w:eastAsia="Arial" w:cs="Arial"/>
          <w:i/>
          <w:lang w:val="en-US"/>
        </w:rPr>
      </w:pPr>
      <w:r w:rsidRPr="00123D24">
        <w:rPr>
          <w:rFonts w:eastAsia="Arial" w:cs="Arial"/>
          <w:i/>
        </w:rPr>
        <w:t xml:space="preserve">Strong post-subsidy technology review/monitoring measures should be developed to manage risks. </w:t>
      </w:r>
    </w:p>
    <w:p w14:paraId="11061DFE" w14:textId="227DE2CC" w:rsidR="00DA1CE9" w:rsidRPr="00123D24" w:rsidRDefault="00DA1CE9" w:rsidP="008C10BB">
      <w:pPr>
        <w:pStyle w:val="ListParagraph"/>
        <w:numPr>
          <w:ilvl w:val="0"/>
          <w:numId w:val="7"/>
        </w:numPr>
        <w:spacing w:after="120"/>
        <w:rPr>
          <w:rFonts w:eastAsia="Arial" w:cs="Arial"/>
          <w:i/>
        </w:rPr>
      </w:pPr>
      <w:r w:rsidRPr="00123D24">
        <w:rPr>
          <w:rFonts w:eastAsia="Arial" w:cs="Arial"/>
          <w:i/>
        </w:rPr>
        <w:t xml:space="preserve">Patients and patient organisations note that it is unequitable for access to a therapy to be determined by which jurisdiction you live in (post code lotteries). </w:t>
      </w:r>
    </w:p>
    <w:p w14:paraId="0B23C385" w14:textId="02E5D823" w:rsidR="00DA1CE9" w:rsidRDefault="00DA1CE9" w:rsidP="00DA1CE9">
      <w:r w:rsidRPr="515F9C68">
        <w:rPr>
          <w:rFonts w:eastAsia="Arial" w:cs="Arial"/>
        </w:rPr>
        <w:t>There was a preference from stakeholders to have a single pathway for cell and gene therapies</w:t>
      </w:r>
      <w:r w:rsidR="004766A3">
        <w:rPr>
          <w:rFonts w:eastAsia="Arial" w:cs="Arial"/>
        </w:rPr>
        <w:fldChar w:fldCharType="begin"/>
      </w:r>
      <w:r w:rsidR="004766A3">
        <w:instrText xml:space="preserve"> XE "</w:instrText>
      </w:r>
      <w:r w:rsidR="004766A3" w:rsidRPr="007C61D0">
        <w:rPr>
          <w:rFonts w:eastAsia="Arial" w:cs="Arial"/>
        </w:rPr>
        <w:instrText>cell and gene therapies</w:instrText>
      </w:r>
      <w:r w:rsidR="004766A3">
        <w:instrText xml:space="preserve">" \b </w:instrText>
      </w:r>
      <w:r w:rsidR="004766A3">
        <w:rPr>
          <w:rFonts w:eastAsia="Arial" w:cs="Arial"/>
        </w:rPr>
        <w:fldChar w:fldCharType="end"/>
      </w:r>
      <w:r w:rsidRPr="515F9C68">
        <w:rPr>
          <w:rFonts w:eastAsia="Arial" w:cs="Arial"/>
        </w:rPr>
        <w:t xml:space="preserve"> that is both flexible and allows rapid access for patients. </w:t>
      </w:r>
      <w:r w:rsidR="000A695F">
        <w:rPr>
          <w:rFonts w:eastAsia="Arial" w:cs="Arial"/>
        </w:rPr>
        <w:t>There is</w:t>
      </w:r>
      <w:r w:rsidRPr="515F9C68">
        <w:rPr>
          <w:rFonts w:eastAsia="Arial" w:cs="Arial"/>
        </w:rPr>
        <w:t xml:space="preserve"> confusion around having two possible pathways for cell and gene therapies and a lack of clarity about which </w:t>
      </w:r>
      <w:r>
        <w:rPr>
          <w:rFonts w:eastAsia="Arial" w:cs="Arial"/>
        </w:rPr>
        <w:t xml:space="preserve">Committee and </w:t>
      </w:r>
      <w:r w:rsidRPr="515F9C68">
        <w:rPr>
          <w:rFonts w:eastAsia="Arial" w:cs="Arial"/>
        </w:rPr>
        <w:t xml:space="preserve">pathway would be used. </w:t>
      </w:r>
    </w:p>
    <w:p w14:paraId="7610702C" w14:textId="527280C7" w:rsidR="00DA1CE9" w:rsidRPr="00604EEF" w:rsidRDefault="00DA1CE9" w:rsidP="00604EEF">
      <w:pPr>
        <w:pStyle w:val="Heading4"/>
      </w:pPr>
      <w:r w:rsidRPr="00604EEF">
        <w:lastRenderedPageBreak/>
        <w:t>Codependent Technologies</w:t>
      </w:r>
    </w:p>
    <w:p w14:paraId="2DBB5409" w14:textId="433D01E4" w:rsidR="00E61673" w:rsidRDefault="00DA1CE9" w:rsidP="00B701E5">
      <w:pPr>
        <w:ind w:left="-23" w:right="-23"/>
        <w:jc w:val="both"/>
        <w:rPr>
          <w:rFonts w:eastAsiaTheme="minorEastAsia" w:cs="Arial"/>
        </w:rPr>
      </w:pPr>
      <w:r w:rsidRPr="515F9C68">
        <w:rPr>
          <w:rFonts w:eastAsiaTheme="minorEastAsia" w:cs="Arial"/>
        </w:rPr>
        <w:t xml:space="preserve">A codependent technology is a medical technology or service that relies on another technology to achieve its intended purpose or enhance its effect. The most common type is a test-medicine pair. To date each technology is assessed by the relevant HTA committee – PBAC assessing the medicine </w:t>
      </w:r>
      <w:r w:rsidR="004542A6">
        <w:rPr>
          <w:rFonts w:eastAsiaTheme="minorEastAsia" w:cs="Arial"/>
        </w:rPr>
        <w:t>for listing on the PBS</w:t>
      </w:r>
      <w:r w:rsidRPr="515F9C68">
        <w:rPr>
          <w:rFonts w:eastAsiaTheme="minorEastAsia" w:cs="Arial"/>
        </w:rPr>
        <w:t xml:space="preserve"> and MSAC assessing the test </w:t>
      </w:r>
      <w:r w:rsidR="004542A6">
        <w:rPr>
          <w:rFonts w:eastAsiaTheme="minorEastAsia" w:cs="Arial"/>
        </w:rPr>
        <w:t xml:space="preserve">or other technology for listing on the MBS (see </w:t>
      </w:r>
      <w:hyperlink r:id="rId147" w:history="1">
        <w:r w:rsidR="004542A6" w:rsidRPr="00442AD4">
          <w:rPr>
            <w:rStyle w:val="Hyperlink"/>
            <w:rFonts w:eastAsiaTheme="minorEastAsia" w:cs="Arial"/>
          </w:rPr>
          <w:t xml:space="preserve">PBAC Guidelines on </w:t>
        </w:r>
        <w:proofErr w:type="spellStart"/>
        <w:r w:rsidR="004542A6" w:rsidRPr="00442AD4">
          <w:rPr>
            <w:rStyle w:val="Hyperlink"/>
            <w:rFonts w:eastAsiaTheme="minorEastAsia" w:cs="Arial"/>
          </w:rPr>
          <w:t>Codependant</w:t>
        </w:r>
        <w:proofErr w:type="spellEnd"/>
        <w:r w:rsidR="004542A6" w:rsidRPr="00442AD4">
          <w:rPr>
            <w:rStyle w:val="Hyperlink"/>
            <w:rFonts w:eastAsiaTheme="minorEastAsia" w:cs="Arial"/>
          </w:rPr>
          <w:t xml:space="preserve"> technologies</w:t>
        </w:r>
      </w:hyperlink>
      <w:r w:rsidR="004542A6">
        <w:rPr>
          <w:rFonts w:eastAsiaTheme="minorEastAsia" w:cs="Arial"/>
        </w:rPr>
        <w:t xml:space="preserve"> for more information)</w:t>
      </w:r>
      <w:r w:rsidR="004542A6" w:rsidRPr="515F9C68">
        <w:rPr>
          <w:rFonts w:eastAsiaTheme="minorEastAsia" w:cs="Arial"/>
        </w:rPr>
        <w:t>.</w:t>
      </w:r>
    </w:p>
    <w:p w14:paraId="6FAC444A" w14:textId="0B31DE37" w:rsidR="00DA1CE9" w:rsidRDefault="00DA1CE9" w:rsidP="00B701E5">
      <w:pPr>
        <w:ind w:left="-23" w:right="-23"/>
        <w:jc w:val="both"/>
        <w:rPr>
          <w:rFonts w:eastAsiaTheme="minorEastAsia" w:cs="Arial"/>
        </w:rPr>
      </w:pPr>
      <w:r w:rsidRPr="515F9C68">
        <w:rPr>
          <w:rFonts w:eastAsiaTheme="minorEastAsia" w:cs="Arial"/>
        </w:rPr>
        <w:t xml:space="preserve">Stakeholders felt that the </w:t>
      </w:r>
      <w:r w:rsidR="000320D5">
        <w:rPr>
          <w:rFonts w:eastAsiaTheme="minorEastAsia" w:cs="Arial"/>
        </w:rPr>
        <w:t>coordination between</w:t>
      </w:r>
      <w:r w:rsidR="000320D5" w:rsidRPr="515F9C68">
        <w:rPr>
          <w:rFonts w:eastAsiaTheme="minorEastAsia" w:cs="Arial"/>
        </w:rPr>
        <w:t xml:space="preserve"> </w:t>
      </w:r>
      <w:r w:rsidR="000320D5">
        <w:rPr>
          <w:rFonts w:eastAsiaTheme="minorEastAsia" w:cs="Arial"/>
        </w:rPr>
        <w:t>the two</w:t>
      </w:r>
      <w:r w:rsidRPr="515F9C68">
        <w:rPr>
          <w:rFonts w:eastAsiaTheme="minorEastAsia" w:cs="Arial"/>
        </w:rPr>
        <w:t xml:space="preserve"> HTA committees to appraise the paired technologies </w:t>
      </w:r>
      <w:r w:rsidR="000320D5">
        <w:rPr>
          <w:rFonts w:eastAsiaTheme="minorEastAsia" w:cs="Arial"/>
        </w:rPr>
        <w:t>could be improved</w:t>
      </w:r>
      <w:r w:rsidR="001F0B06">
        <w:rPr>
          <w:rFonts w:eastAsiaTheme="minorEastAsia" w:cs="Arial"/>
        </w:rPr>
        <w:t xml:space="preserve"> as</w:t>
      </w:r>
      <w:r w:rsidR="00BF2EAF">
        <w:rPr>
          <w:rFonts w:eastAsiaTheme="minorEastAsia" w:cs="Arial"/>
        </w:rPr>
        <w:t xml:space="preserve"> there </w:t>
      </w:r>
      <w:r w:rsidR="00071666">
        <w:rPr>
          <w:rFonts w:eastAsiaTheme="minorEastAsia" w:cs="Arial"/>
        </w:rPr>
        <w:t xml:space="preserve">are sometimes </w:t>
      </w:r>
      <w:r w:rsidRPr="515F9C68">
        <w:rPr>
          <w:rFonts w:eastAsiaTheme="minorEastAsia" w:cs="Arial"/>
        </w:rPr>
        <w:t>delays occurring as each committee defers to the sister committee for their advice and conclusions before both committees come to a consensus decision.</w:t>
      </w:r>
    </w:p>
    <w:p w14:paraId="1AEA0832" w14:textId="77777777" w:rsidR="00DA1CE9" w:rsidRPr="00604EEF" w:rsidRDefault="00DA1CE9" w:rsidP="00604EEF">
      <w:pPr>
        <w:pStyle w:val="Heading4"/>
      </w:pPr>
      <w:r w:rsidRPr="00604EEF">
        <w:t>Medicines for ultra-rare conditions</w:t>
      </w:r>
    </w:p>
    <w:p w14:paraId="1F4923C2" w14:textId="0C9289EF" w:rsidR="00DA1CE9" w:rsidRPr="00B701E5" w:rsidRDefault="00DA1CE9" w:rsidP="4F164BC0">
      <w:pPr>
        <w:rPr>
          <w:rFonts w:eastAsiaTheme="minorEastAsia" w:cs="Arial"/>
        </w:rPr>
      </w:pPr>
      <w:r w:rsidRPr="4F164BC0">
        <w:rPr>
          <w:rFonts w:eastAsiaTheme="minorEastAsia" w:cs="Arial"/>
        </w:rPr>
        <w:t>Stakeholders indicated that the existing HTA processes are duplicative for clinically effective treatments for ultra-rare diseases</w:t>
      </w:r>
      <w:r w:rsidR="008B7A1E">
        <w:rPr>
          <w:rFonts w:eastAsiaTheme="minorEastAsia" w:cs="Arial"/>
        </w:rPr>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rPr>
          <w:rFonts w:eastAsiaTheme="minorEastAsia" w:cs="Arial"/>
        </w:rPr>
        <w:fldChar w:fldCharType="end"/>
      </w:r>
      <w:r w:rsidRPr="4F164BC0">
        <w:rPr>
          <w:rFonts w:eastAsiaTheme="minorEastAsia" w:cs="Arial"/>
        </w:rPr>
        <w:t xml:space="preserve">, when they are </w:t>
      </w:r>
      <w:r w:rsidR="00DB595D" w:rsidRPr="4F164BC0">
        <w:rPr>
          <w:rFonts w:eastAsiaTheme="minorEastAsia" w:cs="Arial"/>
        </w:rPr>
        <w:t>not recommended</w:t>
      </w:r>
      <w:r w:rsidRPr="4F164BC0">
        <w:rPr>
          <w:rFonts w:eastAsiaTheme="minorEastAsia" w:cs="Arial"/>
        </w:rPr>
        <w:t xml:space="preserve"> by the PBAC based on cost effectiveness and </w:t>
      </w:r>
      <w:r w:rsidR="718050B6" w:rsidRPr="4F164BC0">
        <w:rPr>
          <w:rFonts w:eastAsiaTheme="minorEastAsia" w:cs="Arial"/>
        </w:rPr>
        <w:t xml:space="preserve">thereby </w:t>
      </w:r>
      <w:r w:rsidRPr="4F164BC0">
        <w:rPr>
          <w:rFonts w:eastAsiaTheme="minorEastAsia" w:cs="Arial"/>
        </w:rPr>
        <w:t xml:space="preserve">become </w:t>
      </w:r>
      <w:r w:rsidR="4CAAADE5" w:rsidRPr="4F164BC0">
        <w:rPr>
          <w:rFonts w:eastAsiaTheme="minorEastAsia" w:cs="Arial"/>
        </w:rPr>
        <w:t xml:space="preserve">potentially </w:t>
      </w:r>
      <w:r w:rsidRPr="4F164BC0">
        <w:rPr>
          <w:rFonts w:eastAsiaTheme="minorEastAsia" w:cs="Arial"/>
        </w:rPr>
        <w:t>eligible for the LSDP</w:t>
      </w:r>
      <w:r w:rsidR="00E37312">
        <w:rPr>
          <w:rFonts w:eastAsiaTheme="minorEastAsia" w:cs="Arial"/>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Fonts w:eastAsiaTheme="minorEastAsia" w:cs="Arial"/>
        </w:rPr>
        <w:fldChar w:fldCharType="end"/>
      </w:r>
      <w:r w:rsidRPr="4F164BC0">
        <w:rPr>
          <w:rFonts w:eastAsiaTheme="minorEastAsia" w:cs="Arial"/>
        </w:rPr>
        <w:t>. The submissions are then considered by the LSDP</w:t>
      </w:r>
      <w:r w:rsidR="00E37312">
        <w:rPr>
          <w:rFonts w:eastAsiaTheme="minorEastAsia" w:cs="Arial"/>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Fonts w:eastAsiaTheme="minorEastAsia" w:cs="Arial"/>
        </w:rPr>
        <w:fldChar w:fldCharType="end"/>
      </w:r>
      <w:r w:rsidRPr="4F164BC0">
        <w:rPr>
          <w:rFonts w:eastAsiaTheme="minorEastAsia" w:cs="Arial"/>
        </w:rPr>
        <w:t xml:space="preserve"> E</w:t>
      </w:r>
      <w:r w:rsidR="017B11A8" w:rsidRPr="4F164BC0">
        <w:rPr>
          <w:rFonts w:eastAsiaTheme="minorEastAsia" w:cs="Arial"/>
        </w:rPr>
        <w:t>xpert</w:t>
      </w:r>
      <w:r w:rsidRPr="4F164BC0">
        <w:rPr>
          <w:rFonts w:eastAsiaTheme="minorEastAsia" w:cs="Arial"/>
        </w:rPr>
        <w:t xml:space="preserve"> Panel. This duplication creates unnecessary delays in final decision-making and can delay time-to-access for patients and their </w:t>
      </w:r>
      <w:proofErr w:type="spellStart"/>
      <w:r w:rsidRPr="4F164BC0">
        <w:rPr>
          <w:rFonts w:eastAsiaTheme="minorEastAsia" w:cs="Arial"/>
        </w:rPr>
        <w:t>carers</w:t>
      </w:r>
      <w:proofErr w:type="spellEnd"/>
      <w:r w:rsidRPr="4F164BC0">
        <w:rPr>
          <w:rFonts w:eastAsiaTheme="minorEastAsia" w:cs="Arial"/>
        </w:rPr>
        <w:t>.</w:t>
      </w:r>
    </w:p>
    <w:p w14:paraId="53ED88CA" w14:textId="758D3DCE" w:rsidR="00DA1CE9" w:rsidRPr="00EB3A41" w:rsidRDefault="00DA1CE9" w:rsidP="00DA1CE9">
      <w:pPr>
        <w:rPr>
          <w:rFonts w:cs="Arial"/>
        </w:rPr>
      </w:pPr>
      <w:r w:rsidRPr="00EB3A41">
        <w:rPr>
          <w:rFonts w:cs="Arial"/>
        </w:rPr>
        <w:t>Entry to the existing LSDP</w:t>
      </w:r>
      <w:r w:rsidR="00E37312">
        <w:rPr>
          <w:rFonts w:cs="Arial"/>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Fonts w:cs="Arial"/>
        </w:rPr>
        <w:fldChar w:fldCharType="end"/>
      </w:r>
      <w:r w:rsidRPr="00EB3A41">
        <w:rPr>
          <w:rFonts w:cs="Arial"/>
        </w:rPr>
        <w:t xml:space="preserve"> pathway requires that a drug is not cost-effective but does not explicitly require consideration of value-for-money. </w:t>
      </w:r>
      <w:r w:rsidRPr="08A95649">
        <w:rPr>
          <w:rFonts w:cs="Arial"/>
        </w:rPr>
        <w:t>This was believed to complicate</w:t>
      </w:r>
      <w:r w:rsidRPr="00EB3A41">
        <w:rPr>
          <w:rFonts w:cs="Arial"/>
        </w:rPr>
        <w:t xml:space="preserve"> price negotiation</w:t>
      </w:r>
      <w:r w:rsidR="00182295">
        <w:rPr>
          <w:rFonts w:cs="Arial"/>
        </w:rPr>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rPr>
          <w:rFonts w:cs="Arial"/>
        </w:rPr>
        <w:fldChar w:fldCharType="end"/>
      </w:r>
      <w:r w:rsidRPr="00EB3A41">
        <w:rPr>
          <w:rFonts w:cs="Arial"/>
        </w:rPr>
        <w:t xml:space="preserve"> and </w:t>
      </w:r>
      <w:r w:rsidRPr="08A95649">
        <w:rPr>
          <w:rFonts w:cs="Arial"/>
        </w:rPr>
        <w:t>reduce</w:t>
      </w:r>
      <w:r w:rsidRPr="00EB3A41">
        <w:rPr>
          <w:rFonts w:cs="Arial"/>
        </w:rPr>
        <w:t xml:space="preserve"> transparency</w:t>
      </w:r>
      <w:r w:rsidR="002A0D74">
        <w:rPr>
          <w:rFonts w:cs="Arial"/>
        </w:rPr>
        <w:fldChar w:fldCharType="begin"/>
      </w:r>
      <w:r w:rsidR="002A0D74">
        <w:instrText xml:space="preserve"> XE "</w:instrText>
      </w:r>
      <w:r w:rsidR="002A0D74" w:rsidRPr="005B2802">
        <w:instrText>transparency</w:instrText>
      </w:r>
      <w:r w:rsidR="002A0D74">
        <w:instrText xml:space="preserve">" </w:instrText>
      </w:r>
      <w:r w:rsidR="002A0D74">
        <w:rPr>
          <w:rFonts w:cs="Arial"/>
        </w:rPr>
        <w:fldChar w:fldCharType="end"/>
      </w:r>
      <w:r w:rsidRPr="00EB3A41">
        <w:rPr>
          <w:rFonts w:cs="Arial"/>
        </w:rPr>
        <w:t xml:space="preserve"> in decision-making.</w:t>
      </w:r>
    </w:p>
    <w:p w14:paraId="1E0D272E" w14:textId="77777777" w:rsidR="00DA1CE9" w:rsidRPr="00604EEF" w:rsidRDefault="00DA1CE9" w:rsidP="00604EEF">
      <w:pPr>
        <w:pStyle w:val="Heading4"/>
      </w:pPr>
      <w:r w:rsidRPr="00604EEF">
        <w:t>Vaccines</w:t>
      </w:r>
    </w:p>
    <w:p w14:paraId="79A4CC66" w14:textId="1D03E495" w:rsidR="00DA1CE9" w:rsidRDefault="009B19C1" w:rsidP="00DA1CE9">
      <w:r>
        <w:t xml:space="preserve">The </w:t>
      </w:r>
      <w:r w:rsidR="2802D3F3">
        <w:t>Australian Technical Advisory Group on Immunisation (</w:t>
      </w:r>
      <w:r w:rsidR="00DA1CE9">
        <w:t>ATAGI</w:t>
      </w:r>
      <w:r w:rsidR="6BB9338F">
        <w:t>)</w:t>
      </w:r>
      <w:r w:rsidR="00DA1CE9">
        <w:t xml:space="preserve"> provide a wide range of advice for government and the public, including contributing to public health recommendations on the use of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rsidR="00DA1CE9">
        <w:t>. This advice is highly valued and highly respected by patients and patient organisations, industry, clinicians, peak organisations (including</w:t>
      </w:r>
      <w:r w:rsidR="4E42AF55">
        <w:t xml:space="preserve"> National Aboriginal Community Controlled Health Organisation</w:t>
      </w:r>
      <w:r w:rsidR="00A24ECA">
        <w:t xml:space="preserve"> (NACCHO)</w:t>
      </w:r>
      <w:r w:rsidR="00DA1CE9">
        <w:t xml:space="preserve">), and Government. </w:t>
      </w:r>
    </w:p>
    <w:p w14:paraId="42426A34" w14:textId="3964E340" w:rsidR="00DA1CE9" w:rsidRDefault="00DA1CE9" w:rsidP="00DA1CE9">
      <w:r>
        <w:t>Across jurisdictions internationally, the evaluation of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t xml:space="preserve"> frequently involves a different process than that taken for the evaluation of medicines for a funding decision in Australia. Decisions about the use and funding of vaccines often come directly from a National Immunisation Technical Advisory Group (NITAG). In Australia, recommendations for the inclusion of vaccines into the NIP do not come directly from the NITAG (</w:t>
      </w:r>
      <w:proofErr w:type="gramStart"/>
      <w:r w:rsidR="004A1B33">
        <w:t>i</w:t>
      </w:r>
      <w:r w:rsidR="00B270BB">
        <w:t>.</w:t>
      </w:r>
      <w:r w:rsidR="004A1B33">
        <w:t>e</w:t>
      </w:r>
      <w:r w:rsidR="00B270BB">
        <w:t>.</w:t>
      </w:r>
      <w:proofErr w:type="gramEnd"/>
      <w:r w:rsidR="004A1B33">
        <w:t xml:space="preserve"> </w:t>
      </w:r>
      <w:r>
        <w:t>ATAGI), but also require review by the HTA body</w:t>
      </w:r>
      <w:r w:rsidR="006D0686" w:rsidRPr="006D0686">
        <w:t xml:space="preserve"> </w:t>
      </w:r>
      <w:r w:rsidR="006D0686">
        <w:t>(i</w:t>
      </w:r>
      <w:r w:rsidR="00B270BB">
        <w:t>.</w:t>
      </w:r>
      <w:r w:rsidR="006D0686">
        <w:t>e</w:t>
      </w:r>
      <w:r w:rsidR="00B270BB">
        <w:t>.</w:t>
      </w:r>
      <w:r w:rsidR="006D0686">
        <w:t xml:space="preserve"> PBAC</w:t>
      </w:r>
      <w:r>
        <w:t xml:space="preserve">). As this process occurs sequentially, this increases the time from TGA market authorisation to an NIP listing. </w:t>
      </w:r>
    </w:p>
    <w:p w14:paraId="08F11E31" w14:textId="38F48AEB" w:rsidR="00DA1CE9" w:rsidRDefault="00DA1CE9" w:rsidP="00DA1CE9">
      <w:r>
        <w:lastRenderedPageBreak/>
        <w:t xml:space="preserve">Additionally, </w:t>
      </w:r>
      <w:r w:rsidR="004A7C61">
        <w:t xml:space="preserve">a view held by </w:t>
      </w:r>
      <w:r>
        <w:t xml:space="preserve">many stakeholders </w:t>
      </w:r>
      <w:r w:rsidR="004A7C61">
        <w:t xml:space="preserve">is </w:t>
      </w:r>
      <w:r>
        <w:t xml:space="preserve">that there are duplications between PBAC and ATAGI processes that could be streamlined to remove duplication, reduce administrative burden, increase </w:t>
      </w:r>
      <w:proofErr w:type="gramStart"/>
      <w:r>
        <w:t>consistency</w:t>
      </w:r>
      <w:proofErr w:type="gramEnd"/>
      <w:r>
        <w:t xml:space="preserve"> and improve timely access.</w:t>
      </w:r>
    </w:p>
    <w:p w14:paraId="11928BEE" w14:textId="77777777" w:rsidR="003674A5" w:rsidRPr="00360AE4" w:rsidRDefault="003674A5" w:rsidP="000A6A80">
      <w:pPr>
        <w:pStyle w:val="Heading4"/>
      </w:pPr>
      <w:r w:rsidRPr="00360AE4">
        <w:t>New drugs that are non-inferior to alternative therapies</w:t>
      </w:r>
    </w:p>
    <w:p w14:paraId="3E0EDA8A" w14:textId="77777777" w:rsidR="003674A5" w:rsidRPr="00FF5013" w:rsidRDefault="003674A5" w:rsidP="003674A5">
      <w:r w:rsidRPr="00FF5013">
        <w:t>Some stakeholders suggested that new drugs that were non-inferior to alternatives did not require a full HTA and could be assessed over a shorter timeframe.</w:t>
      </w:r>
      <w:r>
        <w:t xml:space="preserve"> It was also suggested that where these drugs offered no clinically relevant advantage over alternatives that are already funded, they should be funded at a cost that is less than the alternatives as would occur in a competitive market. </w:t>
      </w:r>
    </w:p>
    <w:p w14:paraId="6FAFF02C" w14:textId="77777777" w:rsidR="00726ACE" w:rsidRPr="00AD5E92" w:rsidRDefault="00726ACE" w:rsidP="00814A5D">
      <w:pPr>
        <w:pStyle w:val="Heading3"/>
        <w:keepNext/>
        <w:keepLines/>
        <w:rPr>
          <w:i/>
        </w:rPr>
      </w:pPr>
      <w:bookmarkStart w:id="137" w:name="_Toc157029075"/>
      <w:r>
        <w:t>Issues</w:t>
      </w:r>
      <w:bookmarkEnd w:id="137"/>
      <w:r w:rsidRPr="006647C5">
        <w:t xml:space="preserve"> </w:t>
      </w:r>
    </w:p>
    <w:p w14:paraId="080CAFDF" w14:textId="3968D232" w:rsidR="009173FD" w:rsidRDefault="00B64A3B" w:rsidP="00814A5D">
      <w:pPr>
        <w:keepNext/>
        <w:keepLines/>
      </w:pPr>
      <w:r>
        <w:t>There</w:t>
      </w:r>
      <w:r w:rsidR="007E707C">
        <w:t xml:space="preserve"> is a</w:t>
      </w:r>
      <w:r w:rsidR="009173FD">
        <w:t xml:space="preserve"> need to reduce duplication of administration and HTA appraisal processes, increase </w:t>
      </w:r>
      <w:r w:rsidR="00887DFB">
        <w:t xml:space="preserve">clarity and </w:t>
      </w:r>
      <w:r w:rsidR="009464CF">
        <w:t>certainty</w:t>
      </w:r>
      <w:r w:rsidR="009173FD">
        <w:t xml:space="preserve">, and improve the timeliness of </w:t>
      </w:r>
      <w:r w:rsidR="00A5023E">
        <w:t>access to health technologies</w:t>
      </w:r>
      <w:r w:rsidR="009173FD">
        <w:t>.</w:t>
      </w:r>
    </w:p>
    <w:p w14:paraId="4B9DB05C" w14:textId="342E313D" w:rsidR="00726ACE" w:rsidRDefault="00E6191A" w:rsidP="00726ACE">
      <w:r>
        <w:t>The</w:t>
      </w:r>
      <w:r w:rsidR="00726ACE">
        <w:t xml:space="preserve"> </w:t>
      </w:r>
      <w:r w:rsidR="69F5D11C">
        <w:t>HTA</w:t>
      </w:r>
      <w:r w:rsidR="00726ACE">
        <w:t xml:space="preserve"> and funding pathways in Australia are more complex than they need to be. The existing separation of pathways based on </w:t>
      </w:r>
      <w:r w:rsidR="001C416F">
        <w:t>the funding mechanism</w:t>
      </w:r>
      <w:r w:rsidR="00726ACE">
        <w:t xml:space="preserve"> is a historical artefact</w:t>
      </w:r>
      <w:r w:rsidR="007B26AD">
        <w:t>.</w:t>
      </w:r>
      <w:r w:rsidR="00C64E8D">
        <w:t xml:space="preserve"> </w:t>
      </w:r>
      <w:r w:rsidR="00802F26">
        <w:t>Further, n</w:t>
      </w:r>
      <w:r w:rsidR="00726ACE">
        <w:t>ew health technologies are increasingly challenging the distinctions between different technology types</w:t>
      </w:r>
      <w:r w:rsidR="00EB6BCE">
        <w:t>.</w:t>
      </w:r>
      <w:r w:rsidR="00726ACE">
        <w:t xml:space="preserve"> </w:t>
      </w:r>
      <w:r w:rsidR="00EB6BCE">
        <w:t>This has</w:t>
      </w:r>
      <w:r w:rsidR="00726ACE">
        <w:t xml:space="preserve"> given rise to inefficient administrative workarounds</w:t>
      </w:r>
      <w:r w:rsidR="00897A1F">
        <w:t xml:space="preserve"> and </w:t>
      </w:r>
      <w:r w:rsidR="00726ACE">
        <w:t>fragmen</w:t>
      </w:r>
      <w:r w:rsidR="00897A1F">
        <w:t>ts</w:t>
      </w:r>
      <w:r w:rsidR="00726ACE">
        <w:t xml:space="preserve"> of expertise between different HTA bodies. </w:t>
      </w:r>
    </w:p>
    <w:p w14:paraId="573B389C" w14:textId="46DDA52D" w:rsidR="00A071A0" w:rsidRDefault="00643FB1" w:rsidP="00726ACE">
      <w:r>
        <w:t xml:space="preserve">The </w:t>
      </w:r>
      <w:r w:rsidR="00772990">
        <w:t xml:space="preserve">HTA </w:t>
      </w:r>
      <w:r w:rsidR="001B2662">
        <w:t xml:space="preserve">Committee </w:t>
      </w:r>
      <w:r w:rsidR="00EC5C28">
        <w:t xml:space="preserve">that assesses a technology </w:t>
      </w:r>
      <w:r w:rsidR="0061076F">
        <w:t>should be the one best suited to the technology</w:t>
      </w:r>
      <w:r w:rsidR="00297478">
        <w:t xml:space="preserve"> however currently, </w:t>
      </w:r>
      <w:r w:rsidR="00680C00">
        <w:t xml:space="preserve">it is often the </w:t>
      </w:r>
      <w:r w:rsidR="00B67B30">
        <w:t xml:space="preserve">ultimate funding mechanism that determines </w:t>
      </w:r>
      <w:r w:rsidR="00D877F8">
        <w:t xml:space="preserve">the HTA Pathway including the </w:t>
      </w:r>
      <w:r w:rsidR="000461FD">
        <w:t xml:space="preserve">advisory Committee. Additionally, </w:t>
      </w:r>
      <w:r w:rsidR="00EB371C">
        <w:t xml:space="preserve">the HTA advisory committee </w:t>
      </w:r>
      <w:r w:rsidR="0031364B">
        <w:t xml:space="preserve">not having the flexibility to recommend the appropriate </w:t>
      </w:r>
      <w:r w:rsidR="00820E50">
        <w:t xml:space="preserve">funding mechanism after </w:t>
      </w:r>
      <w:r w:rsidR="00623469">
        <w:t>assessing</w:t>
      </w:r>
      <w:r w:rsidR="00820E50">
        <w:t xml:space="preserve"> the technology </w:t>
      </w:r>
      <w:r w:rsidR="00623469">
        <w:t xml:space="preserve">can result in </w:t>
      </w:r>
      <w:r w:rsidR="00E971AA">
        <w:t>confusion for sponsors unsure of which pathway to apply through as well as potential miss-alignment</w:t>
      </w:r>
      <w:r w:rsidR="008431E9">
        <w:t xml:space="preserve"> that causes </w:t>
      </w:r>
      <w:proofErr w:type="gramStart"/>
      <w:r w:rsidR="008431E9">
        <w:t>work-arounds</w:t>
      </w:r>
      <w:proofErr w:type="gramEnd"/>
      <w:r w:rsidR="008431E9">
        <w:t xml:space="preserve"> and further complexity in the system. </w:t>
      </w:r>
    </w:p>
    <w:p w14:paraId="01DD8135" w14:textId="7955516F" w:rsidR="00726ACE" w:rsidRPr="004E65F6" w:rsidRDefault="00D0767D" w:rsidP="00726ACE">
      <w:r>
        <w:t xml:space="preserve">While stakeholders suggested </w:t>
      </w:r>
      <w:r w:rsidR="00121E54">
        <w:t>creating new</w:t>
      </w:r>
      <w:r w:rsidR="00604BE9">
        <w:t xml:space="preserve">, bespoke pathways for </w:t>
      </w:r>
      <w:r w:rsidR="001312CD">
        <w:t>some therapies such as cell and gene therapies</w:t>
      </w:r>
      <w:r w:rsidR="004766A3">
        <w:fldChar w:fldCharType="begin"/>
      </w:r>
      <w:r w:rsidR="004766A3">
        <w:instrText xml:space="preserve"> XE "</w:instrText>
      </w:r>
      <w:r w:rsidR="004766A3" w:rsidRPr="007C61D0">
        <w:rPr>
          <w:rFonts w:eastAsia="Arial" w:cs="Arial"/>
        </w:rPr>
        <w:instrText>cell and gene therapies</w:instrText>
      </w:r>
      <w:r w:rsidR="004766A3">
        <w:instrText xml:space="preserve">" \b </w:instrText>
      </w:r>
      <w:r w:rsidR="004766A3">
        <w:fldChar w:fldCharType="end"/>
      </w:r>
      <w:r w:rsidR="001312CD">
        <w:t xml:space="preserve">, </w:t>
      </w:r>
      <w:r w:rsidR="00870A8F">
        <w:t>the range of potential technology types</w:t>
      </w:r>
      <w:r w:rsidR="00853001">
        <w:t xml:space="preserve"> </w:t>
      </w:r>
      <w:r w:rsidR="00870A8F">
        <w:t xml:space="preserve">are too </w:t>
      </w:r>
      <w:r w:rsidR="0005356D">
        <w:t xml:space="preserve">diverse </w:t>
      </w:r>
      <w:r w:rsidR="00870A8F">
        <w:t xml:space="preserve">to create </w:t>
      </w:r>
      <w:r w:rsidR="00677E7D">
        <w:t xml:space="preserve">further </w:t>
      </w:r>
      <w:r w:rsidR="00870A8F">
        <w:t>rigid pathways that delineate between different technology types and</w:t>
      </w:r>
      <w:r w:rsidR="00EF377C">
        <w:t>/</w:t>
      </w:r>
      <w:r w:rsidR="00870A8F">
        <w:t>or</w:t>
      </w:r>
      <w:r w:rsidR="00677E7D">
        <w:t xml:space="preserve"> the</w:t>
      </w:r>
      <w:r w:rsidR="00870A8F">
        <w:t xml:space="preserve"> potentially different needs they may meet. </w:t>
      </w:r>
      <w:r w:rsidR="00412BE6">
        <w:t xml:space="preserve">We believe that </w:t>
      </w:r>
      <w:r w:rsidR="000402BD">
        <w:t xml:space="preserve">existing flexibility needs to be maintained </w:t>
      </w:r>
      <w:r w:rsidR="00A75027">
        <w:t xml:space="preserve">to ensure that HTA can adapt to </w:t>
      </w:r>
      <w:r w:rsidR="000B05AC">
        <w:t xml:space="preserve">new health technology types </w:t>
      </w:r>
      <w:r w:rsidR="00EC4A4B">
        <w:t xml:space="preserve">that may </w:t>
      </w:r>
      <w:r w:rsidR="00B9431E">
        <w:t xml:space="preserve">be marketed in the future. </w:t>
      </w:r>
    </w:p>
    <w:p w14:paraId="4B3B3FFE" w14:textId="67619F97" w:rsidR="002E5C7B" w:rsidRDefault="00145D81" w:rsidP="00726ACE">
      <w:r>
        <w:t xml:space="preserve">The current </w:t>
      </w:r>
      <w:r w:rsidR="00DA73E9">
        <w:t xml:space="preserve">level of </w:t>
      </w:r>
      <w:r w:rsidR="002037C4">
        <w:t xml:space="preserve">appraisal required for submissions is not appropriately calibrated to the amount of risk and benefit that the submission/therapy </w:t>
      </w:r>
      <w:r w:rsidR="0096539C">
        <w:t xml:space="preserve">represents, causing </w:t>
      </w:r>
      <w:r w:rsidR="00AB2915">
        <w:t>additional strain on limited</w:t>
      </w:r>
      <w:r w:rsidR="00483C44">
        <w:t xml:space="preserve"> resources. </w:t>
      </w:r>
      <w:r w:rsidR="00026E9F">
        <w:t xml:space="preserve">The level of appraisal </w:t>
      </w:r>
      <w:r w:rsidR="007E2288">
        <w:t xml:space="preserve">should be more flexible </w:t>
      </w:r>
      <w:r w:rsidR="00F4296D">
        <w:t>to</w:t>
      </w:r>
      <w:r w:rsidR="00DA566C">
        <w:t xml:space="preserve"> ensure </w:t>
      </w:r>
      <w:r w:rsidR="00B8419F">
        <w:t xml:space="preserve">time and resources of Government, evaluators, and sponsors is directed to </w:t>
      </w:r>
      <w:r w:rsidR="001E21F6">
        <w:lastRenderedPageBreak/>
        <w:t xml:space="preserve">the submissions </w:t>
      </w:r>
      <w:r w:rsidR="00B8419F">
        <w:t xml:space="preserve">where it is </w:t>
      </w:r>
      <w:r w:rsidR="00BB6E22">
        <w:t>most beneficial</w:t>
      </w:r>
      <w:r w:rsidR="00C74620">
        <w:t>,</w:t>
      </w:r>
      <w:r w:rsidR="001E21F6">
        <w:t xml:space="preserve"> and the administrative burden is reduced for low</w:t>
      </w:r>
      <w:r w:rsidR="0055096B">
        <w:t xml:space="preserve">-risk </w:t>
      </w:r>
      <w:r w:rsidR="00327768">
        <w:t>therapies</w:t>
      </w:r>
      <w:r w:rsidR="00BB6E22">
        <w:t>.</w:t>
      </w:r>
      <w:r>
        <w:t xml:space="preserve"> </w:t>
      </w:r>
    </w:p>
    <w:p w14:paraId="40390480" w14:textId="1ABF60DF" w:rsidR="008736AE" w:rsidRDefault="00D9221D" w:rsidP="00726ACE">
      <w:r>
        <w:t xml:space="preserve">Having segmented </w:t>
      </w:r>
      <w:r w:rsidR="00832C29">
        <w:t xml:space="preserve">HTA approaches </w:t>
      </w:r>
      <w:r w:rsidR="00123DDE">
        <w:t>across the</w:t>
      </w:r>
      <w:r w:rsidR="00634530">
        <w:t xml:space="preserve"> different pathways </w:t>
      </w:r>
      <w:r w:rsidR="002E0FEA">
        <w:t xml:space="preserve">creates </w:t>
      </w:r>
      <w:r w:rsidR="008F1B65">
        <w:t>confusion for stakeholders</w:t>
      </w:r>
      <w:r w:rsidR="00666D2E">
        <w:t xml:space="preserve">. </w:t>
      </w:r>
      <w:r w:rsidR="008765A6">
        <w:t>Having a single</w:t>
      </w:r>
      <w:r w:rsidR="00C74620">
        <w:t>-</w:t>
      </w:r>
      <w:r w:rsidR="008765A6">
        <w:t xml:space="preserve">entry </w:t>
      </w:r>
      <w:r w:rsidR="00C065EE">
        <w:t xml:space="preserve">point </w:t>
      </w:r>
      <w:r w:rsidR="00291C3A">
        <w:t xml:space="preserve">and </w:t>
      </w:r>
      <w:r w:rsidR="00E81756">
        <w:t xml:space="preserve">unifying the </w:t>
      </w:r>
      <w:r w:rsidR="00E505AF">
        <w:t xml:space="preserve">approach for all HTA </w:t>
      </w:r>
      <w:r w:rsidR="00DF381C">
        <w:t xml:space="preserve">would </w:t>
      </w:r>
      <w:r w:rsidR="002835E2">
        <w:t xml:space="preserve">improve </w:t>
      </w:r>
      <w:r w:rsidR="00845F7F">
        <w:t xml:space="preserve">consistency </w:t>
      </w:r>
      <w:r w:rsidR="00FA7A21">
        <w:t>and clarity for stakeholders, however it woul</w:t>
      </w:r>
      <w:r w:rsidR="00F65EBF">
        <w:t xml:space="preserve">d require changes </w:t>
      </w:r>
      <w:r w:rsidR="006459AA">
        <w:t>to</w:t>
      </w:r>
      <w:r w:rsidR="00F65EBF">
        <w:t xml:space="preserve"> the Department</w:t>
      </w:r>
      <w:r w:rsidR="006459AA">
        <w:t>’</w:t>
      </w:r>
      <w:r w:rsidR="00F65EBF">
        <w:t>s HTA processes</w:t>
      </w:r>
      <w:r w:rsidR="00CE1113">
        <w:t xml:space="preserve"> including a mechanism for t</w:t>
      </w:r>
      <w:r w:rsidR="00381D8A">
        <w:t xml:space="preserve">riaging submissions </w:t>
      </w:r>
      <w:r w:rsidR="00CE1113">
        <w:t xml:space="preserve">to </w:t>
      </w:r>
      <w:r w:rsidR="00726ACE">
        <w:t xml:space="preserve">allocate </w:t>
      </w:r>
      <w:r w:rsidR="00CE1113">
        <w:t xml:space="preserve">the appropriate HTA Pathway </w:t>
      </w:r>
      <w:r w:rsidR="00DD76D7">
        <w:t xml:space="preserve">and level of appraisal. </w:t>
      </w:r>
    </w:p>
    <w:p w14:paraId="18B4EB34" w14:textId="07274649" w:rsidR="00726ACE" w:rsidRPr="008A5DEC" w:rsidRDefault="00593BE6" w:rsidP="00726ACE">
      <w:pPr>
        <w:rPr>
          <w:color w:val="FF0000"/>
        </w:rPr>
      </w:pPr>
      <w:r>
        <w:t>I</w:t>
      </w:r>
      <w:r w:rsidR="00255363">
        <w:t xml:space="preserve">t was identified that </w:t>
      </w:r>
      <w:r>
        <w:t xml:space="preserve">some </w:t>
      </w:r>
      <w:r w:rsidR="00255363">
        <w:t>submissions</w:t>
      </w:r>
      <w:r w:rsidR="00F61233">
        <w:t xml:space="preserve"> for new drugs claiming non-inferiority</w:t>
      </w:r>
      <w:r w:rsidR="00D4633B">
        <w:t xml:space="preserve"> do not progress to implementation following a positive HTA committee recommendation due to</w:t>
      </w:r>
      <w:r w:rsidR="002D115B">
        <w:t xml:space="preserve"> the price of the comparator being lower than expe</w:t>
      </w:r>
      <w:r w:rsidR="00DE0AAF">
        <w:t xml:space="preserve">cted by the sponsor. </w:t>
      </w:r>
      <w:r w:rsidR="00343F29">
        <w:t xml:space="preserve">This is largely an issue due to </w:t>
      </w:r>
      <w:r w:rsidR="00DD68AA">
        <w:t xml:space="preserve">how late in the HTA process </w:t>
      </w:r>
      <w:r w:rsidR="00B81B87">
        <w:t xml:space="preserve">sponsors </w:t>
      </w:r>
      <w:r w:rsidR="00DD68AA">
        <w:t xml:space="preserve">are informed of the </w:t>
      </w:r>
      <w:r w:rsidR="00071FEA">
        <w:t xml:space="preserve">price of </w:t>
      </w:r>
      <w:r w:rsidR="00281A72">
        <w:t xml:space="preserve">the comparator </w:t>
      </w:r>
      <w:r w:rsidR="005C21BC">
        <w:t xml:space="preserve">chosen in their submission. </w:t>
      </w:r>
    </w:p>
    <w:p w14:paraId="3C0171A5" w14:textId="6E6ECDC9" w:rsidR="004A30F4" w:rsidRDefault="00B90216" w:rsidP="00726ACE">
      <w:r>
        <w:t>T</w:t>
      </w:r>
      <w:r w:rsidR="004A30F4">
        <w:t xml:space="preserve">herapies that are likely to deliver major new therapeutic advances in areas of </w:t>
      </w:r>
      <w:r w:rsidR="00611542">
        <w:t>HUCN</w:t>
      </w:r>
      <w:r w:rsidR="002401F9">
        <w:fldChar w:fldCharType="begin"/>
      </w:r>
      <w:r w:rsidR="002401F9">
        <w:instrText xml:space="preserve"> XE "</w:instrText>
      </w:r>
      <w:r w:rsidR="002401F9" w:rsidRPr="002456C6">
        <w:instrText>unmet clinical need</w:instrText>
      </w:r>
      <w:r w:rsidR="002401F9">
        <w:instrText xml:space="preserve">" \b </w:instrText>
      </w:r>
      <w:r w:rsidR="002401F9">
        <w:fldChar w:fldCharType="end"/>
      </w:r>
      <w:r w:rsidR="004A30F4">
        <w:t xml:space="preserve">, </w:t>
      </w:r>
      <w:r w:rsidR="00884C27">
        <w:t xml:space="preserve">often require multiple submissions before they are listed. </w:t>
      </w:r>
      <w:r w:rsidR="00195B03">
        <w:t xml:space="preserve">This is a complex </w:t>
      </w:r>
      <w:r w:rsidR="00141AD3">
        <w:t xml:space="preserve">issue </w:t>
      </w:r>
      <w:r w:rsidR="004A2EE3">
        <w:t xml:space="preserve">with sponsors </w:t>
      </w:r>
      <w:r w:rsidR="00497A4C">
        <w:t xml:space="preserve">often relying on the PBAC </w:t>
      </w:r>
      <w:r w:rsidR="00AB37AC">
        <w:t xml:space="preserve">decision from </w:t>
      </w:r>
      <w:r w:rsidR="00D838DC">
        <w:t xml:space="preserve">their first </w:t>
      </w:r>
      <w:r w:rsidR="008A03F9">
        <w:t xml:space="preserve">submission </w:t>
      </w:r>
      <w:r w:rsidR="00AB37AC">
        <w:t xml:space="preserve">as a form of early advice </w:t>
      </w:r>
      <w:r w:rsidR="000D26BF">
        <w:t>to inform</w:t>
      </w:r>
      <w:r w:rsidR="00817243">
        <w:t xml:space="preserve"> the development of </w:t>
      </w:r>
      <w:r w:rsidR="0080329F">
        <w:t xml:space="preserve">a more fulsome latter submission. </w:t>
      </w:r>
    </w:p>
    <w:p w14:paraId="09DC3E31" w14:textId="4FE0B8B2" w:rsidR="008D14AB" w:rsidRDefault="00E40B2F" w:rsidP="008D14AB">
      <w:r>
        <w:t>C</w:t>
      </w:r>
      <w:r w:rsidR="006A0D75">
        <w:t xml:space="preserve">urrently the </w:t>
      </w:r>
      <w:r w:rsidR="00E21FD7">
        <w:t>PBAC is required to wait for the TGA delegate’s overview before communicating its recommendation to the sponsor</w:t>
      </w:r>
      <w:r>
        <w:t>. This results in an underutilisation of the TGA / PBAC parallel pathway as</w:t>
      </w:r>
      <w:r w:rsidR="00E21FD7">
        <w:t xml:space="preserve"> </w:t>
      </w:r>
      <w:r w:rsidR="002B0F70">
        <w:t xml:space="preserve">sponsors </w:t>
      </w:r>
      <w:r w:rsidR="00F10967">
        <w:t xml:space="preserve">will wait to submit their PBAC </w:t>
      </w:r>
      <w:r w:rsidR="00102D92">
        <w:t xml:space="preserve">submission </w:t>
      </w:r>
      <w:r w:rsidR="007F5D20">
        <w:t xml:space="preserve">to try to align the PBAC </w:t>
      </w:r>
      <w:r w:rsidR="00BB5125">
        <w:t>outcome with</w:t>
      </w:r>
      <w:r w:rsidR="00B93DD7">
        <w:t xml:space="preserve"> the expected TGA assessment completion date.</w:t>
      </w:r>
      <w:r w:rsidR="000016B6">
        <w:t xml:space="preserve"> This </w:t>
      </w:r>
      <w:r w:rsidR="00F27981">
        <w:t xml:space="preserve">causes </w:t>
      </w:r>
      <w:r w:rsidR="00CB031B">
        <w:t xml:space="preserve">delays to access where therapies </w:t>
      </w:r>
      <w:r w:rsidR="009C612C">
        <w:t>require a resubmission to the PBAC</w:t>
      </w:r>
      <w:r w:rsidR="003D09DA">
        <w:t xml:space="preserve"> which could otherwise commence </w:t>
      </w:r>
      <w:r w:rsidR="002F0382">
        <w:t>earlier</w:t>
      </w:r>
      <w:r w:rsidR="009C612C">
        <w:t xml:space="preserve">. </w:t>
      </w:r>
      <w:r w:rsidR="00775989">
        <w:t xml:space="preserve">We also note that while registration of a health technology on the ARTG is necessary for funding new health technologies, the </w:t>
      </w:r>
      <w:r w:rsidR="002036CE">
        <w:t>PBAC could potentially provide early preliminary advice</w:t>
      </w:r>
      <w:r w:rsidR="009464CF">
        <w:t>.</w:t>
      </w:r>
    </w:p>
    <w:p w14:paraId="38CD0C3E" w14:textId="61ABD91C" w:rsidR="00421BC2" w:rsidRDefault="004E65F6" w:rsidP="007A757E">
      <w:pPr>
        <w:pStyle w:val="Heading3"/>
        <w:spacing w:before="240"/>
      </w:pPr>
      <w:bookmarkStart w:id="138" w:name="_Toc157029076"/>
      <w:r w:rsidRPr="006647C5">
        <w:t xml:space="preserve">Options </w:t>
      </w:r>
      <w:r w:rsidR="006C78E8">
        <w:t xml:space="preserve">- </w:t>
      </w:r>
      <w:r w:rsidR="006C78E8" w:rsidRPr="006C78E8">
        <w:t xml:space="preserve">Streamlining and aligning HTA pathways and advisory </w:t>
      </w:r>
      <w:proofErr w:type="gramStart"/>
      <w:r w:rsidR="006C78E8" w:rsidRPr="006C78E8">
        <w:t>committees</w:t>
      </w:r>
      <w:bookmarkEnd w:id="138"/>
      <w:proofErr w:type="gramEnd"/>
    </w:p>
    <w:tbl>
      <w:tblPr>
        <w:tblStyle w:val="TableGrid"/>
        <w:tblW w:w="0" w:type="auto"/>
        <w:tblLook w:val="04A0" w:firstRow="1" w:lastRow="0" w:firstColumn="1" w:lastColumn="0" w:noHBand="0" w:noVBand="1"/>
      </w:tblPr>
      <w:tblGrid>
        <w:gridCol w:w="9003"/>
      </w:tblGrid>
      <w:tr w:rsidR="003F43F3" w14:paraId="57503B1C" w14:textId="77777777">
        <w:trPr>
          <w:trHeight w:val="261"/>
        </w:trPr>
        <w:tc>
          <w:tcPr>
            <w:tcW w:w="9016" w:type="dxa"/>
            <w:tcBorders>
              <w:top w:val="nil"/>
              <w:left w:val="single" w:sz="18" w:space="0" w:color="1D437F" w:themeColor="accent1"/>
              <w:bottom w:val="nil"/>
              <w:right w:val="nil"/>
            </w:tcBorders>
            <w:vAlign w:val="center"/>
          </w:tcPr>
          <w:p w14:paraId="6C3C1075" w14:textId="77777777" w:rsidR="003F43F3" w:rsidRPr="00AB5086" w:rsidRDefault="003F43F3" w:rsidP="008C10BB">
            <w:pPr>
              <w:spacing w:line="259" w:lineRule="auto"/>
              <w:ind w:left="147"/>
            </w:pPr>
            <w:r>
              <w:rPr>
                <w:iCs/>
              </w:rPr>
              <w:t xml:space="preserve">Note: </w:t>
            </w:r>
            <w:r w:rsidRPr="00AB5086">
              <w:rPr>
                <w:iCs/>
              </w:rPr>
              <w:t xml:space="preserve">This section should be read in conjunction with </w:t>
            </w:r>
            <w:hyperlink r:id="rId148" w:anchor="page=10" w:history="1">
              <w:r w:rsidRPr="00AB5086">
                <w:rPr>
                  <w:rStyle w:val="Hyperlink"/>
                  <w:iCs/>
                </w:rPr>
                <w:t>Health Technology Market Approval, Funding and Assessment Pathways.</w:t>
              </w:r>
            </w:hyperlink>
            <w:r w:rsidRPr="00AB5086">
              <w:rPr>
                <w:iCs/>
              </w:rPr>
              <w:t xml:space="preserve"> </w:t>
            </w:r>
          </w:p>
        </w:tc>
      </w:tr>
    </w:tbl>
    <w:p w14:paraId="4576F986" w14:textId="1D4314C5" w:rsidR="00174E14" w:rsidRDefault="00174E14" w:rsidP="003F43F3">
      <w:pPr>
        <w:spacing w:before="240"/>
        <w:rPr>
          <w:rFonts w:eastAsia="Times New Roman" w:cs="Segoe UI"/>
          <w:color w:val="222A35"/>
          <w:kern w:val="24"/>
          <w:lang w:eastAsia="en-AU"/>
        </w:rPr>
      </w:pPr>
      <w:r w:rsidRPr="00174E14">
        <w:rPr>
          <w:rFonts w:eastAsia="Times New Roman" w:cs="Segoe UI"/>
          <w:color w:val="222A35"/>
          <w:kern w:val="24"/>
          <w:lang w:eastAsia="en-AU"/>
        </w:rPr>
        <w:t xml:space="preserve">Develop a simplified (single entry) gateway to support efficient lodgement of HTA submissions </w:t>
      </w:r>
      <w:r w:rsidR="00084476">
        <w:rPr>
          <w:rFonts w:eastAsia="Times New Roman" w:cs="Segoe UI"/>
          <w:color w:val="222A35"/>
          <w:kern w:val="24"/>
          <w:lang w:eastAsia="en-AU"/>
        </w:rPr>
        <w:t>to</w:t>
      </w:r>
      <w:r w:rsidR="00084476" w:rsidRPr="00174E14">
        <w:rPr>
          <w:rFonts w:eastAsia="Times New Roman" w:cs="Segoe UI"/>
          <w:color w:val="222A35"/>
          <w:kern w:val="24"/>
          <w:lang w:eastAsia="en-AU"/>
        </w:rPr>
        <w:t xml:space="preserve"> </w:t>
      </w:r>
      <w:r w:rsidRPr="00174E14">
        <w:rPr>
          <w:rFonts w:eastAsia="Times New Roman" w:cs="Segoe UI"/>
          <w:color w:val="222A35"/>
          <w:kern w:val="24"/>
          <w:lang w:eastAsia="en-AU"/>
        </w:rPr>
        <w:t>support a nationally consistent and cohesive HTA approach</w:t>
      </w:r>
      <w:r w:rsidR="00932D3A">
        <w:rPr>
          <w:rFonts w:eastAsia="Times New Roman" w:cs="Segoe UI"/>
          <w:color w:val="222A35"/>
          <w:kern w:val="24"/>
          <w:lang w:eastAsia="en-AU"/>
        </w:rPr>
        <w:t xml:space="preserve">; </w:t>
      </w:r>
      <w:r w:rsidRPr="00174E14">
        <w:rPr>
          <w:rFonts w:eastAsia="Times New Roman" w:cs="Segoe UI"/>
          <w:color w:val="222A35"/>
          <w:kern w:val="24"/>
          <w:lang w:eastAsia="en-AU"/>
        </w:rPr>
        <w:t xml:space="preserve">To occur in a </w:t>
      </w:r>
      <w:r w:rsidRPr="00174E14">
        <w:rPr>
          <w:rFonts w:eastAsia="Times New Roman" w:cs="Segoe UI"/>
          <w:color w:val="222A35"/>
          <w:kern w:val="24"/>
          <w:u w:val="single"/>
          <w:lang w:eastAsia="en-AU"/>
        </w:rPr>
        <w:t>staged approach</w:t>
      </w:r>
      <w:r w:rsidRPr="00174E14">
        <w:rPr>
          <w:rFonts w:eastAsia="Times New Roman" w:cs="Segoe UI"/>
          <w:color w:val="222A35"/>
          <w:kern w:val="24"/>
          <w:lang w:eastAsia="en-AU"/>
        </w:rPr>
        <w:t>, incorporating the below options</w:t>
      </w:r>
      <w:r w:rsidR="00932D3A">
        <w:rPr>
          <w:rFonts w:eastAsia="Times New Roman" w:cs="Segoe UI"/>
          <w:color w:val="222A35"/>
          <w:kern w:val="24"/>
          <w:lang w:eastAsia="en-AU"/>
        </w:rPr>
        <w:t>:</w:t>
      </w:r>
    </w:p>
    <w:tbl>
      <w:tblPr>
        <w:tblStyle w:val="TableGrid"/>
        <w:tblW w:w="9072" w:type="dxa"/>
        <w:tblCellMar>
          <w:top w:w="113" w:type="dxa"/>
          <w:bottom w:w="113" w:type="dxa"/>
        </w:tblCellMar>
        <w:tblLook w:val="04A0" w:firstRow="1" w:lastRow="0" w:firstColumn="1" w:lastColumn="0" w:noHBand="0" w:noVBand="1"/>
      </w:tblPr>
      <w:tblGrid>
        <w:gridCol w:w="9072"/>
      </w:tblGrid>
      <w:tr w:rsidR="009F1154" w14:paraId="3F347556" w14:textId="77777777" w:rsidTr="00817ECE">
        <w:trPr>
          <w:cantSplit/>
          <w:trHeight w:val="1449"/>
        </w:trPr>
        <w:tc>
          <w:tcPr>
            <w:tcW w:w="9072" w:type="dxa"/>
            <w:tcBorders>
              <w:top w:val="single" w:sz="18" w:space="0" w:color="ACC02A" w:themeColor="accent5"/>
              <w:left w:val="nil"/>
              <w:bottom w:val="nil"/>
              <w:right w:val="nil"/>
            </w:tcBorders>
            <w:shd w:val="clear" w:color="auto" w:fill="F2F2F2" w:themeFill="background1" w:themeFillShade="F2"/>
          </w:tcPr>
          <w:p w14:paraId="24270556" w14:textId="65D38756" w:rsidR="00BA5734" w:rsidRPr="00B7135E" w:rsidRDefault="00BA5734" w:rsidP="008C10BB">
            <w:pPr>
              <w:spacing w:after="120" w:line="259" w:lineRule="auto"/>
              <w:rPr>
                <w:rFonts w:eastAsia="Times New Roman" w:cs="Segoe UI"/>
                <w:b/>
                <w:bCs/>
                <w:lang w:eastAsia="en-AU"/>
              </w:rPr>
            </w:pPr>
            <w:r w:rsidRPr="00BA5734">
              <w:rPr>
                <w:rFonts w:eastAsia="Times New Roman" w:cs="Segoe UI"/>
                <w:b/>
                <w:bCs/>
                <w:lang w:eastAsia="en-AU"/>
              </w:rPr>
              <w:lastRenderedPageBreak/>
              <w:t>Pathway for drugs for ultra-rare diseases</w:t>
            </w:r>
            <w:r w:rsidR="008B7A1E">
              <w:rPr>
                <w:rFonts w:eastAsia="Times New Roman" w:cs="Segoe UI"/>
                <w:b/>
                <w:bCs/>
                <w:lang w:eastAsia="en-AU"/>
              </w:rPr>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rPr>
                <w:rFonts w:eastAsia="Times New Roman" w:cs="Segoe UI"/>
                <w:b/>
                <w:bCs/>
                <w:lang w:eastAsia="en-AU"/>
              </w:rPr>
              <w:fldChar w:fldCharType="end"/>
            </w:r>
            <w:r w:rsidRPr="00BA5734">
              <w:rPr>
                <w:rFonts w:eastAsia="Times New Roman" w:cs="Segoe UI"/>
                <w:b/>
                <w:bCs/>
                <w:lang w:eastAsia="en-AU"/>
              </w:rPr>
              <w:t xml:space="preserve"> </w:t>
            </w:r>
            <w:r>
              <w:rPr>
                <w:rFonts w:eastAsia="Times New Roman" w:cs="Segoe UI"/>
                <w:b/>
                <w:bCs/>
                <w:lang w:eastAsia="en-AU"/>
              </w:rPr>
              <w:t>(LSDP</w:t>
            </w:r>
            <w:r w:rsidR="00E37312">
              <w:rPr>
                <w:rFonts w:eastAsia="Times New Roman" w:cs="Segoe UI"/>
                <w:b/>
                <w:bCs/>
                <w:lang w:eastAsia="en-AU"/>
              </w:rPr>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rPr>
                <w:rFonts w:eastAsia="Times New Roman" w:cs="Segoe UI"/>
                <w:b/>
                <w:bCs/>
                <w:lang w:eastAsia="en-AU"/>
              </w:rPr>
              <w:fldChar w:fldCharType="end"/>
            </w:r>
            <w:r>
              <w:rPr>
                <w:rFonts w:eastAsia="Times New Roman" w:cs="Segoe UI"/>
                <w:b/>
                <w:bCs/>
                <w:lang w:eastAsia="en-AU"/>
              </w:rPr>
              <w:t xml:space="preserve"> pathway)</w:t>
            </w:r>
            <w:r w:rsidR="00F90E2D">
              <w:rPr>
                <w:rFonts w:eastAsia="Times New Roman" w:cs="Segoe UI"/>
                <w:b/>
                <w:bCs/>
                <w:lang w:eastAsia="en-AU"/>
              </w:rPr>
              <w:t xml:space="preserve"> (short term)</w:t>
            </w:r>
          </w:p>
          <w:p w14:paraId="640728DE" w14:textId="46341252" w:rsidR="00530B99" w:rsidRPr="00E61E42" w:rsidRDefault="00C453BB" w:rsidP="008505D7">
            <w:pPr>
              <w:pStyle w:val="ListParagraph"/>
              <w:numPr>
                <w:ilvl w:val="0"/>
                <w:numId w:val="64"/>
              </w:numPr>
            </w:pPr>
            <w:r w:rsidRPr="00E61E42">
              <w:t>Develop and publish a statement of rationale for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fldChar w:fldCharType="end"/>
            </w:r>
            <w:r w:rsidRPr="00E61E42">
              <w:t xml:space="preserve"> outlining principles underpinning the program, and the eligibility criteria, including the value-for-</w:t>
            </w:r>
            <w:r w:rsidR="00530B99" w:rsidRPr="00E61E42">
              <w:t xml:space="preserve"> money consideration by reference to the overarching recommendations of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fldChar w:fldCharType="end"/>
            </w:r>
            <w:r w:rsidR="00530B99" w:rsidRPr="00E61E42">
              <w:t xml:space="preserve"> Review Expert Panel recommendation.  </w:t>
            </w:r>
          </w:p>
          <w:p w14:paraId="01B7B733" w14:textId="66EC5DFD" w:rsidR="00C453BB" w:rsidRPr="00E61E42" w:rsidRDefault="00C453BB" w:rsidP="008505D7">
            <w:pPr>
              <w:pStyle w:val="ListParagraph"/>
              <w:numPr>
                <w:ilvl w:val="0"/>
                <w:numId w:val="64"/>
              </w:numPr>
              <w:spacing w:line="259" w:lineRule="auto"/>
            </w:pPr>
            <w:r w:rsidRPr="00E61E42">
              <w:t>PBAC to become the sole HTA committee for drugs for ultra-rare diseases</w:t>
            </w:r>
            <w:r w:rsidRPr="00E61E42">
              <w:fldChar w:fldCharType="begin"/>
            </w:r>
            <w:r>
              <w:instrText xml:space="preserve"> XE "</w:instrText>
            </w:r>
            <w:r w:rsidRPr="00E61E42">
              <w:instrText>rare diseases</w:instrText>
            </w:r>
            <w:r>
              <w:instrText xml:space="preserve">" \b </w:instrText>
            </w:r>
            <w:r w:rsidRPr="00E61E42">
              <w:fldChar w:fldCharType="end"/>
            </w:r>
            <w:r w:rsidRPr="00E61E42">
              <w:t xml:space="preserve"> to eliminate double handling. The expertise on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fldChar w:fldCharType="end"/>
            </w:r>
            <w:r w:rsidRPr="00E61E42">
              <w:t xml:space="preserve"> expert panel will inform and support decisions regarding therapies for ultra-rare diseases.</w:t>
            </w:r>
          </w:p>
          <w:p w14:paraId="095C9107" w14:textId="190CFC27" w:rsidR="009F1154" w:rsidRPr="00817ECE" w:rsidRDefault="00C453BB" w:rsidP="008C10BB">
            <w:pPr>
              <w:spacing w:after="120" w:line="259" w:lineRule="auto"/>
              <w:rPr>
                <w:rFonts w:eastAsia="Times New Roman" w:cs="Segoe UI"/>
                <w:lang w:eastAsia="en-AU"/>
              </w:rPr>
            </w:pPr>
            <w:r w:rsidRPr="00E61E42">
              <w:t>PBAC advises the Minister on key requirements to enable listing on the 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r w:rsidR="00E37312" w:rsidRPr="00F44E49">
              <w:rPr>
                <w:rStyle w:val="cf01"/>
                <w:sz w:val="20"/>
                <w:szCs w:val="20"/>
              </w:rPr>
              <w:instrText>Program:</w:instrText>
            </w:r>
            <w:r w:rsidR="00E37312" w:rsidRPr="00F44E49">
              <w:instrText>LSDP</w:instrText>
            </w:r>
            <w:proofErr w:type="spellEnd"/>
            <w:r w:rsidR="00E37312">
              <w:instrText xml:space="preserve">" </w:instrText>
            </w:r>
            <w:r w:rsidR="00E37312">
              <w:fldChar w:fldCharType="end"/>
            </w:r>
            <w:r w:rsidRPr="00E61E42">
              <w:t xml:space="preserve"> based on a comparative assessment of effectiveness and cost.</w:t>
            </w:r>
          </w:p>
        </w:tc>
      </w:tr>
    </w:tbl>
    <w:p w14:paraId="7C252CF1" w14:textId="77777777" w:rsidR="006C2B70" w:rsidRDefault="006C2B70" w:rsidP="00411331"/>
    <w:tbl>
      <w:tblPr>
        <w:tblStyle w:val="TableGrid"/>
        <w:tblW w:w="0" w:type="auto"/>
        <w:tblLook w:val="04A0" w:firstRow="1" w:lastRow="0" w:firstColumn="1" w:lastColumn="0" w:noHBand="0" w:noVBand="1"/>
      </w:tblPr>
      <w:tblGrid>
        <w:gridCol w:w="9016"/>
      </w:tblGrid>
      <w:tr w:rsidR="006C2B70" w14:paraId="24E436D5" w14:textId="77777777" w:rsidTr="006C2B70">
        <w:tc>
          <w:tcPr>
            <w:tcW w:w="9016" w:type="dxa"/>
            <w:tcBorders>
              <w:top w:val="single" w:sz="18" w:space="0" w:color="ACC02A" w:themeColor="accent5"/>
              <w:left w:val="nil"/>
              <w:bottom w:val="nil"/>
              <w:right w:val="nil"/>
            </w:tcBorders>
            <w:shd w:val="clear" w:color="auto" w:fill="F2F2F2" w:themeFill="background1" w:themeFillShade="F2"/>
          </w:tcPr>
          <w:p w14:paraId="019E0BBB" w14:textId="77777777" w:rsidR="006C2B70" w:rsidRDefault="006C2B70" w:rsidP="006C2B70">
            <w:pPr>
              <w:spacing w:after="120"/>
              <w:rPr>
                <w:rFonts w:eastAsia="Times New Roman" w:cs="Segoe UI"/>
                <w:b/>
                <w:bCs/>
                <w:lang w:eastAsia="en-AU"/>
              </w:rPr>
            </w:pPr>
            <w:r w:rsidRPr="00563D26">
              <w:rPr>
                <w:b/>
                <w:bCs/>
                <w:lang w:eastAsia="en-AU"/>
              </w:rPr>
              <w:t>Vaccine pathway</w:t>
            </w:r>
            <w:r>
              <w:rPr>
                <w:b/>
                <w:bCs/>
                <w:lang w:eastAsia="en-AU"/>
              </w:rPr>
              <w:t xml:space="preserve"> (short term)</w:t>
            </w:r>
          </w:p>
          <w:p w14:paraId="2734B4D1" w14:textId="77777777" w:rsidR="006C2B70" w:rsidRPr="00441B67" w:rsidRDefault="006C2B70" w:rsidP="008505D7">
            <w:pPr>
              <w:numPr>
                <w:ilvl w:val="0"/>
                <w:numId w:val="65"/>
              </w:numPr>
            </w:pPr>
            <w:r w:rsidRPr="00441B67">
              <w:t xml:space="preserve">Streamline the pathway for listing of a vaccine on the NIP by removing the requirement for the sponsor to get ATAGI advice prior to submission. The revised process </w:t>
            </w:r>
            <w:r w:rsidRPr="00563D26">
              <w:rPr>
                <w:b/>
                <w:bCs/>
                <w:lang w:eastAsia="en-AU"/>
              </w:rPr>
              <w:t>would</w:t>
            </w:r>
            <w:r w:rsidRPr="00441B67">
              <w:t xml:space="preserve"> be as follows. </w:t>
            </w:r>
          </w:p>
          <w:p w14:paraId="2C096C07" w14:textId="77777777" w:rsidR="006C2B70" w:rsidRPr="00441B67" w:rsidRDefault="006C2B70" w:rsidP="008505D7">
            <w:pPr>
              <w:numPr>
                <w:ilvl w:val="0"/>
                <w:numId w:val="66"/>
              </w:numPr>
            </w:pPr>
            <w:r w:rsidRPr="00441B67">
              <w:t xml:space="preserve">The sponsor of a vaccine makes </w:t>
            </w:r>
            <w:r>
              <w:t>a submission</w:t>
            </w:r>
            <w:r w:rsidRPr="00441B67">
              <w:t xml:space="preserve"> to the PBAC for the </w:t>
            </w:r>
            <w:r>
              <w:t>NIP</w:t>
            </w:r>
            <w:r w:rsidRPr="00441B67">
              <w:t xml:space="preserve"> </w:t>
            </w:r>
          </w:p>
          <w:p w14:paraId="00820D12" w14:textId="77777777" w:rsidR="006C2B70" w:rsidRPr="00441B67" w:rsidRDefault="006C2B70" w:rsidP="008505D7">
            <w:pPr>
              <w:numPr>
                <w:ilvl w:val="0"/>
                <w:numId w:val="66"/>
              </w:numPr>
            </w:pPr>
            <w:r w:rsidRPr="00441B67">
              <w:t xml:space="preserve">The PBAC evaluators and vaccine evaluation experts evaluate the sponsors submission and produce a single comprehensive assessment report. </w:t>
            </w:r>
          </w:p>
          <w:p w14:paraId="183C1012" w14:textId="77777777" w:rsidR="006C2B70" w:rsidRPr="00441B67" w:rsidRDefault="006C2B70" w:rsidP="008505D7">
            <w:pPr>
              <w:numPr>
                <w:ilvl w:val="0"/>
                <w:numId w:val="66"/>
              </w:numPr>
            </w:pPr>
            <w:r w:rsidRPr="00441B67">
              <w:t>The</w:t>
            </w:r>
            <w:r w:rsidRPr="00441B67" w:rsidDel="000D0F82">
              <w:t xml:space="preserve"> </w:t>
            </w:r>
            <w:r w:rsidRPr="00441B67">
              <w:t xml:space="preserve">ESC is supplemented by the appropriate ATAGI representatives (specialists for </w:t>
            </w:r>
            <w:proofErr w:type="gramStart"/>
            <w:r w:rsidRPr="00441B67">
              <w:t>particular type of vaccine</w:t>
            </w:r>
            <w:proofErr w:type="gramEnd"/>
            <w:r w:rsidRPr="00441B67">
              <w:t xml:space="preserve"> and disease) to provide formal (ESC + ATAGI) advice to PBAC.</w:t>
            </w:r>
          </w:p>
          <w:p w14:paraId="534137ED" w14:textId="77777777" w:rsidR="006C2B70" w:rsidRPr="00441B67" w:rsidRDefault="006C2B70" w:rsidP="008505D7">
            <w:pPr>
              <w:numPr>
                <w:ilvl w:val="0"/>
                <w:numId w:val="66"/>
              </w:numPr>
            </w:pPr>
            <w:r w:rsidRPr="00441B67">
              <w:t xml:space="preserve">PBAC provides advice and recommendation to government on the clinical and cost effectiveness of the vaccine for the NIP. </w:t>
            </w:r>
          </w:p>
          <w:p w14:paraId="080B6155" w14:textId="6DD6FD7F" w:rsidR="006C2B70" w:rsidRPr="00441B67" w:rsidRDefault="006C2B70" w:rsidP="006C2B70">
            <w:pPr>
              <w:ind w:left="1080"/>
            </w:pPr>
            <w:r w:rsidRPr="00441B67">
              <w:rPr>
                <w:i/>
                <w:iCs/>
              </w:rPr>
              <w:t xml:space="preserve">Note: A review of the NIP is </w:t>
            </w:r>
            <w:r w:rsidR="00B65C85" w:rsidRPr="00441B67">
              <w:rPr>
                <w:i/>
                <w:iCs/>
              </w:rPr>
              <w:t>underway,</w:t>
            </w:r>
            <w:r w:rsidRPr="00441B67">
              <w:rPr>
                <w:i/>
              </w:rPr>
              <w:t xml:space="preserve"> and </w:t>
            </w:r>
            <w:r w:rsidRPr="00441B67">
              <w:rPr>
                <w:i/>
                <w:iCs/>
              </w:rPr>
              <w:t>it is expected this will include consideration of</w:t>
            </w:r>
            <w:r w:rsidRPr="00441B67">
              <w:rPr>
                <w:i/>
              </w:rPr>
              <w:t xml:space="preserve"> the procurement process and strategies to better coordinate and streamline</w:t>
            </w:r>
            <w:r w:rsidRPr="00441B67">
              <w:t xml:space="preserve"> </w:t>
            </w:r>
            <w:r w:rsidRPr="00441B67">
              <w:rPr>
                <w:i/>
              </w:rPr>
              <w:t>the procurement and implementation of vaccines</w:t>
            </w:r>
            <w:r w:rsidRPr="00441B67">
              <w:rPr>
                <w:i/>
              </w:rPr>
              <w:fldChar w:fldCharType="begin"/>
            </w:r>
            <w:r w:rsidRPr="00441B67">
              <w:instrText xml:space="preserve"> XE "vaccines" \b </w:instrText>
            </w:r>
            <w:r w:rsidRPr="00441B67">
              <w:rPr>
                <w:i/>
              </w:rPr>
              <w:fldChar w:fldCharType="end"/>
            </w:r>
            <w:r w:rsidRPr="00441B67">
              <w:rPr>
                <w:i/>
                <w:iCs/>
              </w:rPr>
              <w:t>.</w:t>
            </w:r>
          </w:p>
          <w:p w14:paraId="37A1B260" w14:textId="77777777" w:rsidR="006C2B70" w:rsidRPr="00441B67" w:rsidRDefault="006C2B70" w:rsidP="008505D7">
            <w:pPr>
              <w:numPr>
                <w:ilvl w:val="0"/>
                <w:numId w:val="65"/>
              </w:numPr>
            </w:pPr>
            <w:r w:rsidRPr="00441B67">
              <w:t>Horizon scanning for vaccines</w:t>
            </w:r>
            <w:r w:rsidRPr="00441B67">
              <w:fldChar w:fldCharType="begin"/>
            </w:r>
            <w:r w:rsidRPr="00441B67">
              <w:instrText xml:space="preserve"> XE "vaccines" \b </w:instrText>
            </w:r>
            <w:r w:rsidRPr="00441B67">
              <w:fldChar w:fldCharType="end"/>
            </w:r>
            <w:r w:rsidRPr="00441B67">
              <w:t xml:space="preserve"> is established including appropriate stakeholders to ensure that ATAGI can be prepared to provide advice. </w:t>
            </w:r>
          </w:p>
          <w:p w14:paraId="5144E511" w14:textId="77777777" w:rsidR="006C2B70" w:rsidRPr="00441B67" w:rsidRDefault="006C2B70" w:rsidP="008505D7">
            <w:pPr>
              <w:numPr>
                <w:ilvl w:val="0"/>
                <w:numId w:val="65"/>
              </w:numPr>
            </w:pPr>
            <w:r w:rsidRPr="00441B67">
              <w:t>Develop a mechanism and criteria to have the assessment of vaccines</w:t>
            </w:r>
            <w:r w:rsidRPr="00441B67">
              <w:fldChar w:fldCharType="begin"/>
            </w:r>
            <w:r w:rsidRPr="00441B67">
              <w:instrText xml:space="preserve"> XE "vaccines" \b </w:instrText>
            </w:r>
            <w:r w:rsidRPr="00441B67">
              <w:fldChar w:fldCharType="end"/>
            </w:r>
            <w:r w:rsidRPr="00441B67">
              <w:t xml:space="preserve"> be proportionate to the level of risk of the product.</w:t>
            </w:r>
          </w:p>
          <w:p w14:paraId="5B148EFF" w14:textId="77777777" w:rsidR="006C2B70" w:rsidRDefault="006C2B70" w:rsidP="006C2B70">
            <w:pPr>
              <w:ind w:left="360"/>
              <w:rPr>
                <w:i/>
              </w:rPr>
            </w:pPr>
            <w:r w:rsidRPr="00441B67">
              <w:t>Note</w:t>
            </w:r>
            <w:r w:rsidRPr="00441B67">
              <w:rPr>
                <w:i/>
              </w:rPr>
              <w:t>: These changes are not intended to preclude the ability for sponsors to seek early advice from ATAGI or modify</w:t>
            </w:r>
            <w:r w:rsidRPr="00441B67">
              <w:rPr>
                <w:i/>
                <w:iCs/>
              </w:rPr>
              <w:t>/remove</w:t>
            </w:r>
            <w:r w:rsidRPr="00441B67">
              <w:rPr>
                <w:i/>
              </w:rPr>
              <w:t xml:space="preserve"> any of functions of ATAGI.</w:t>
            </w:r>
          </w:p>
          <w:p w14:paraId="5849DE5B" w14:textId="77777777" w:rsidR="006C2B70" w:rsidRDefault="006C2B70" w:rsidP="00411331"/>
        </w:tc>
      </w:tr>
    </w:tbl>
    <w:p w14:paraId="58003B2E" w14:textId="77777777" w:rsidR="00BA5734" w:rsidRDefault="00BA5734" w:rsidP="00411331"/>
    <w:tbl>
      <w:tblPr>
        <w:tblStyle w:val="TableGrid"/>
        <w:tblW w:w="9498" w:type="dxa"/>
        <w:tblInd w:w="-5" w:type="dxa"/>
        <w:tblLook w:val="04A0" w:firstRow="1" w:lastRow="0" w:firstColumn="1" w:lastColumn="0" w:noHBand="0" w:noVBand="1"/>
      </w:tblPr>
      <w:tblGrid>
        <w:gridCol w:w="9498"/>
      </w:tblGrid>
      <w:tr w:rsidR="00A455A0" w14:paraId="0B9220AC" w14:textId="77777777" w:rsidTr="00D2668A">
        <w:trPr>
          <w:trHeight w:val="938"/>
        </w:trPr>
        <w:tc>
          <w:tcPr>
            <w:tcW w:w="9498" w:type="dxa"/>
            <w:tcBorders>
              <w:top w:val="single" w:sz="18" w:space="0" w:color="ACC02A" w:themeColor="accent5"/>
              <w:left w:val="nil"/>
              <w:bottom w:val="nil"/>
              <w:right w:val="nil"/>
            </w:tcBorders>
            <w:shd w:val="clear" w:color="auto" w:fill="F2F2F2" w:themeFill="background1" w:themeFillShade="F2"/>
          </w:tcPr>
          <w:p w14:paraId="49DB7EB9" w14:textId="59417AC3" w:rsidR="00BA5734" w:rsidRPr="00FD4E31" w:rsidRDefault="00E63E0C" w:rsidP="00377548">
            <w:pPr>
              <w:spacing w:after="120" w:line="259" w:lineRule="auto"/>
              <w:rPr>
                <w:b/>
                <w:bCs/>
              </w:rPr>
            </w:pPr>
            <w:r w:rsidRPr="00E63E0C">
              <w:rPr>
                <w:b/>
                <w:bCs/>
              </w:rPr>
              <w:lastRenderedPageBreak/>
              <w:t xml:space="preserve">Expanding role of </w:t>
            </w:r>
            <w:r w:rsidR="00AB45D6">
              <w:rPr>
                <w:b/>
                <w:bCs/>
              </w:rPr>
              <w:t>PBAC</w:t>
            </w:r>
            <w:r w:rsidR="00BA5734" w:rsidRPr="00FD4E31">
              <w:rPr>
                <w:b/>
                <w:bCs/>
              </w:rPr>
              <w:t xml:space="preserve"> (</w:t>
            </w:r>
            <w:r w:rsidR="00F90E2D">
              <w:rPr>
                <w:b/>
                <w:bCs/>
              </w:rPr>
              <w:t>medium</w:t>
            </w:r>
            <w:r w:rsidR="00F90E2D" w:rsidRPr="00FD4E31">
              <w:rPr>
                <w:b/>
                <w:bCs/>
              </w:rPr>
              <w:t xml:space="preserve"> </w:t>
            </w:r>
            <w:r w:rsidR="00BA5734" w:rsidRPr="00FD4E31">
              <w:rPr>
                <w:b/>
                <w:bCs/>
              </w:rPr>
              <w:t xml:space="preserve">term) </w:t>
            </w:r>
          </w:p>
          <w:p w14:paraId="6B6AF315" w14:textId="77777777" w:rsidR="00BA5734" w:rsidRDefault="00AB45D6" w:rsidP="008505D7">
            <w:pPr>
              <w:numPr>
                <w:ilvl w:val="0"/>
                <w:numId w:val="135"/>
              </w:numPr>
              <w:spacing w:line="259" w:lineRule="auto"/>
            </w:pPr>
            <w:r w:rsidRPr="00AB45D6">
              <w:t>Further expanding the advisory role of the PBAC to enable it to make the HTA recommendation to the Minister for Health for a broader range of health technologies including codependent health technologies. (</w:t>
            </w:r>
            <w:proofErr w:type="gramStart"/>
            <w:r w:rsidRPr="00AB45D6">
              <w:t>short</w:t>
            </w:r>
            <w:proofErr w:type="gramEnd"/>
            <w:r w:rsidRPr="00AB45D6">
              <w:t xml:space="preserve"> term)</w:t>
            </w:r>
          </w:p>
          <w:p w14:paraId="049963B1" w14:textId="74E0FA73" w:rsidR="00384379" w:rsidRPr="00FD4E31" w:rsidRDefault="00384379" w:rsidP="008505D7">
            <w:pPr>
              <w:numPr>
                <w:ilvl w:val="0"/>
                <w:numId w:val="135"/>
              </w:numPr>
              <w:spacing w:line="259" w:lineRule="auto"/>
            </w:pPr>
            <w:r w:rsidRPr="00384379">
              <w:t>The HTA advice does not presume all subsequent funding decisions would take effect through the PBS.</w:t>
            </w:r>
          </w:p>
        </w:tc>
      </w:tr>
    </w:tbl>
    <w:p w14:paraId="26E8B842" w14:textId="77777777" w:rsidR="006C2B70" w:rsidRPr="00B87614" w:rsidRDefault="006C2B70" w:rsidP="003479B7">
      <w:pPr>
        <w:rPr>
          <w:lang w:eastAsia="en-AU"/>
        </w:rPr>
      </w:pPr>
    </w:p>
    <w:p w14:paraId="0BA01CC8" w14:textId="06B41244" w:rsidR="00F31647" w:rsidRPr="00F31647" w:rsidRDefault="00F31647" w:rsidP="00145D0E">
      <w:pPr>
        <w:pStyle w:val="Heading6"/>
        <w:keepNext/>
        <w:keepLines/>
      </w:pPr>
      <w:r w:rsidRPr="00F31647">
        <w:t xml:space="preserve">Figure </w:t>
      </w:r>
      <w:r w:rsidR="00E73C9F">
        <w:fldChar w:fldCharType="begin"/>
      </w:r>
      <w:r w:rsidR="00E73C9F">
        <w:instrText xml:space="preserve"> SEQ</w:instrText>
      </w:r>
      <w:r w:rsidR="00E73C9F">
        <w:instrText xml:space="preserve"> Figure \* ARABIC </w:instrText>
      </w:r>
      <w:r w:rsidR="00E73C9F">
        <w:fldChar w:fldCharType="separate"/>
      </w:r>
      <w:r w:rsidR="00474ED6">
        <w:rPr>
          <w:noProof/>
        </w:rPr>
        <w:t>5</w:t>
      </w:r>
      <w:r w:rsidR="00E73C9F">
        <w:rPr>
          <w:noProof/>
        </w:rPr>
        <w:fldChar w:fldCharType="end"/>
      </w:r>
      <w:r w:rsidRPr="00F31647">
        <w:t xml:space="preserve"> Streamlining and aligning HTA pathway and advisory committee: </w:t>
      </w:r>
      <w:proofErr w:type="gramStart"/>
      <w:r w:rsidRPr="00F31647">
        <w:t>Short and medium</w:t>
      </w:r>
      <w:proofErr w:type="gramEnd"/>
      <w:r w:rsidRPr="00F31647">
        <w:t xml:space="preserve"> stage changes</w:t>
      </w:r>
    </w:p>
    <w:p w14:paraId="126756D9" w14:textId="07466451" w:rsidR="00D5445F" w:rsidRDefault="00AF6D1E" w:rsidP="00D5445F">
      <w:r>
        <w:rPr>
          <w:noProof/>
        </w:rPr>
        <w:drawing>
          <wp:inline distT="0" distB="0" distL="0" distR="0" wp14:anchorId="7975B50C" wp14:editId="4F4A56A9">
            <wp:extent cx="5685863" cy="2806279"/>
            <wp:effectExtent l="0" t="0" r="0" b="0"/>
            <wp:docPr id="1423232229" name="Picture 142323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14875" cy="2820598"/>
                    </a:xfrm>
                    <a:prstGeom prst="rect">
                      <a:avLst/>
                    </a:prstGeom>
                    <a:noFill/>
                  </pic:spPr>
                </pic:pic>
              </a:graphicData>
            </a:graphic>
          </wp:inline>
        </w:drawing>
      </w:r>
    </w:p>
    <w:p w14:paraId="6C0A8372" w14:textId="77777777" w:rsidR="00D5445F" w:rsidRPr="00D5445F" w:rsidRDefault="00D5445F" w:rsidP="00117D66">
      <w:pPr>
        <w:spacing w:after="0"/>
      </w:pPr>
    </w:p>
    <w:tbl>
      <w:tblPr>
        <w:tblStyle w:val="TableGrid"/>
        <w:tblW w:w="0" w:type="auto"/>
        <w:tblCellMar>
          <w:top w:w="113" w:type="dxa"/>
          <w:bottom w:w="113" w:type="dxa"/>
        </w:tblCellMar>
        <w:tblLook w:val="04A0" w:firstRow="1" w:lastRow="0" w:firstColumn="1" w:lastColumn="0" w:noHBand="0" w:noVBand="1"/>
      </w:tblPr>
      <w:tblGrid>
        <w:gridCol w:w="9016"/>
      </w:tblGrid>
      <w:tr w:rsidR="00614AB5" w14:paraId="0660153F" w14:textId="77777777" w:rsidTr="00D965C5">
        <w:trPr>
          <w:trHeight w:val="938"/>
        </w:trPr>
        <w:tc>
          <w:tcPr>
            <w:tcW w:w="9016" w:type="dxa"/>
            <w:tcBorders>
              <w:top w:val="single" w:sz="18" w:space="0" w:color="ACC02A" w:themeColor="accent5"/>
              <w:left w:val="nil"/>
              <w:bottom w:val="nil"/>
              <w:right w:val="nil"/>
            </w:tcBorders>
            <w:shd w:val="clear" w:color="auto" w:fill="F2F2F2" w:themeFill="background1" w:themeFillShade="F2"/>
          </w:tcPr>
          <w:p w14:paraId="39F1F867" w14:textId="18821AB6" w:rsidR="00F5279C" w:rsidRDefault="00AB2CDA" w:rsidP="008C10BB">
            <w:pPr>
              <w:spacing w:after="120" w:line="259" w:lineRule="auto"/>
              <w:rPr>
                <w:b/>
                <w:bCs/>
                <w:lang w:eastAsia="en-AU"/>
              </w:rPr>
            </w:pPr>
            <w:r w:rsidRPr="00AB2CDA">
              <w:rPr>
                <w:b/>
                <w:bCs/>
                <w:lang w:eastAsia="en-AU"/>
              </w:rPr>
              <w:t xml:space="preserve">Unified HTA pathway for all health technologies with Commonwealth funding </w:t>
            </w:r>
            <w:r w:rsidR="00F5279C" w:rsidRPr="00BE65E8">
              <w:rPr>
                <w:b/>
                <w:bCs/>
                <w:lang w:eastAsia="en-AU"/>
              </w:rPr>
              <w:t>(medium to long-term)</w:t>
            </w:r>
          </w:p>
          <w:p w14:paraId="27E2FDB6" w14:textId="0D03825A" w:rsidR="00787378" w:rsidRPr="00787378" w:rsidRDefault="00787378" w:rsidP="008C10BB">
            <w:pPr>
              <w:spacing w:after="120" w:line="259" w:lineRule="auto"/>
              <w:rPr>
                <w:b/>
                <w:lang w:eastAsia="en-AU"/>
              </w:rPr>
            </w:pPr>
            <w:r w:rsidRPr="00787378">
              <w:rPr>
                <w:rFonts w:eastAsia="Times New Roman" w:cs="Segoe UI"/>
                <w:color w:val="000000"/>
                <w:kern w:val="24"/>
                <w:lang w:eastAsia="en-AU"/>
              </w:rPr>
              <w:t>Develop a unified, national, HTA pathway for all health technology evaluation</w:t>
            </w:r>
            <w:r w:rsidR="00F01902">
              <w:rPr>
                <w:rFonts w:eastAsia="Times New Roman" w:cs="Segoe UI"/>
                <w:color w:val="000000"/>
                <w:kern w:val="24"/>
                <w:lang w:eastAsia="en-AU"/>
              </w:rPr>
              <w:t>.</w:t>
            </w:r>
            <w:r w:rsidR="54AF1777" w:rsidRPr="00787378">
              <w:rPr>
                <w:rFonts w:eastAsia="Times New Roman" w:cs="Segoe UI"/>
                <w:color w:val="000000"/>
                <w:kern w:val="24"/>
                <w:lang w:eastAsia="en-AU"/>
              </w:rPr>
              <w:t xml:space="preserve"> </w:t>
            </w:r>
          </w:p>
          <w:p w14:paraId="48E4D628" w14:textId="44E04DD5" w:rsidR="00F9176F" w:rsidRPr="00787378" w:rsidRDefault="00F9176F" w:rsidP="008505D7">
            <w:pPr>
              <w:pStyle w:val="ListParagraph"/>
              <w:numPr>
                <w:ilvl w:val="0"/>
                <w:numId w:val="68"/>
              </w:numPr>
              <w:spacing w:line="259" w:lineRule="auto"/>
              <w:rPr>
                <w:rFonts w:eastAsia="Times New Roman" w:cs="Segoe UI"/>
                <w:color w:val="222A35"/>
                <w:kern w:val="24"/>
                <w:lang w:eastAsia="en-AU"/>
              </w:rPr>
            </w:pPr>
            <w:r w:rsidRPr="00787378">
              <w:rPr>
                <w:rFonts w:eastAsia="Times New Roman" w:cs="Segoe UI"/>
                <w:color w:val="222A35"/>
                <w:kern w:val="24"/>
                <w:lang w:eastAsia="en-AU"/>
              </w:rPr>
              <w:t xml:space="preserve">To meet this aim, investigate approaches for having one committee* that is appropriately resourced (including adjustments to Committee composition and scope) that could progress all HTA by drawing on pools of appropriate specialists as needed, including for medicines, </w:t>
            </w:r>
            <w:r w:rsidR="00CB0EAE">
              <w:rPr>
                <w:rFonts w:eastAsia="Times New Roman" w:cs="Segoe UI"/>
                <w:color w:val="222A35"/>
                <w:kern w:val="24"/>
                <w:lang w:eastAsia="en-AU"/>
              </w:rPr>
              <w:t>advanced therapies</w:t>
            </w:r>
            <w:r w:rsidR="00700B73">
              <w:rPr>
                <w:rFonts w:eastAsia="Times New Roman" w:cs="Segoe UI"/>
                <w:color w:val="222A35"/>
                <w:kern w:val="24"/>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lang w:eastAsia="en-AU"/>
              </w:rPr>
              <w:fldChar w:fldCharType="end"/>
            </w:r>
            <w:r w:rsidR="008A7953">
              <w:rPr>
                <w:rFonts w:eastAsia="Times New Roman" w:cs="Segoe UI"/>
                <w:color w:val="222A35"/>
                <w:kern w:val="24"/>
                <w:lang w:eastAsia="en-AU"/>
              </w:rPr>
              <w:t>, high cost HST</w:t>
            </w:r>
            <w:r w:rsidR="00D0068C">
              <w:rPr>
                <w:rFonts w:eastAsia="Times New Roman" w:cs="Segoe UI"/>
                <w:color w:val="222A35"/>
                <w:kern w:val="24"/>
                <w:lang w:eastAsia="en-AU"/>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Fonts w:eastAsia="Times New Roman" w:cs="Segoe UI"/>
                <w:color w:val="222A35"/>
                <w:kern w:val="24"/>
                <w:lang w:eastAsia="en-AU"/>
              </w:rPr>
              <w:fldChar w:fldCharType="end"/>
            </w:r>
            <w:r w:rsidR="008A7953">
              <w:rPr>
                <w:rFonts w:eastAsia="Times New Roman" w:cs="Segoe UI"/>
                <w:color w:val="222A35"/>
                <w:kern w:val="24"/>
                <w:lang w:eastAsia="en-AU"/>
              </w:rPr>
              <w:t>’s delivered to public inpatient</w:t>
            </w:r>
            <w:r w:rsidRPr="00787378">
              <w:rPr>
                <w:rFonts w:eastAsia="Times New Roman" w:cs="Segoe UI"/>
                <w:color w:val="222A35"/>
                <w:kern w:val="24"/>
                <w:lang w:eastAsia="en-AU"/>
              </w:rPr>
              <w:t xml:space="preserve">s), blood and blood products and other types of technologies seeking public funding. </w:t>
            </w:r>
          </w:p>
          <w:p w14:paraId="0DF8A43C" w14:textId="66E08398" w:rsidR="00F9176F" w:rsidRPr="00787378" w:rsidRDefault="00F9176F" w:rsidP="008505D7">
            <w:pPr>
              <w:pStyle w:val="ListParagraph"/>
              <w:numPr>
                <w:ilvl w:val="0"/>
                <w:numId w:val="68"/>
              </w:numPr>
              <w:spacing w:line="259" w:lineRule="auto"/>
              <w:rPr>
                <w:rFonts w:eastAsia="Times New Roman" w:cs="Segoe UI"/>
                <w:color w:val="222A35"/>
                <w:kern w:val="24"/>
                <w:lang w:eastAsia="en-AU"/>
              </w:rPr>
            </w:pPr>
            <w:r w:rsidRPr="00787378">
              <w:rPr>
                <w:rFonts w:eastAsia="Times New Roman" w:cs="Segoe UI"/>
                <w:color w:val="222A35"/>
                <w:kern w:val="24"/>
                <w:lang w:eastAsia="en-AU"/>
              </w:rPr>
              <w:t xml:space="preserve">The Committee responsible for assessing a submission should have the flexibility to recommend the most suitable funding pathway </w:t>
            </w:r>
            <w:r w:rsidR="006D513F">
              <w:rPr>
                <w:rFonts w:eastAsia="Times New Roman" w:cs="Segoe UI"/>
                <w:color w:val="222A35"/>
                <w:kern w:val="24"/>
                <w:lang w:eastAsia="en-AU"/>
              </w:rPr>
              <w:t xml:space="preserve">/mechanism </w:t>
            </w:r>
            <w:r w:rsidRPr="00787378">
              <w:rPr>
                <w:rFonts w:eastAsia="Times New Roman" w:cs="Segoe UI"/>
                <w:color w:val="222A35"/>
                <w:kern w:val="24"/>
                <w:lang w:eastAsia="en-AU"/>
              </w:rPr>
              <w:t xml:space="preserve">for that product. </w:t>
            </w:r>
          </w:p>
          <w:p w14:paraId="16C15443" w14:textId="77777777" w:rsidR="00F9176F" w:rsidRPr="00787378" w:rsidRDefault="00F9176F" w:rsidP="008505D7">
            <w:pPr>
              <w:pStyle w:val="ListParagraph"/>
              <w:numPr>
                <w:ilvl w:val="0"/>
                <w:numId w:val="68"/>
              </w:numPr>
              <w:spacing w:line="259" w:lineRule="auto"/>
              <w:rPr>
                <w:rFonts w:eastAsia="Times New Roman" w:cs="Segoe UI"/>
                <w:color w:val="222A35"/>
                <w:kern w:val="24"/>
                <w:lang w:eastAsia="en-AU"/>
              </w:rPr>
            </w:pPr>
            <w:r w:rsidRPr="00787378">
              <w:rPr>
                <w:rFonts w:eastAsia="Times New Roman" w:cs="Segoe UI"/>
                <w:color w:val="222A35"/>
                <w:kern w:val="24"/>
                <w:lang w:eastAsia="en-AU"/>
              </w:rPr>
              <w:t xml:space="preserve">It is noted that the committee structure may need to be augmented to ensure that it appropriately resourced both with expertise and workload. </w:t>
            </w:r>
          </w:p>
          <w:p w14:paraId="11CA463D" w14:textId="77777777" w:rsidR="00F9176F" w:rsidRDefault="00F9176F" w:rsidP="008505D7">
            <w:pPr>
              <w:pStyle w:val="ListParagraph"/>
              <w:numPr>
                <w:ilvl w:val="0"/>
                <w:numId w:val="68"/>
              </w:numPr>
              <w:spacing w:line="259" w:lineRule="auto"/>
              <w:rPr>
                <w:rFonts w:eastAsia="Times New Roman" w:cs="Segoe UI"/>
                <w:color w:val="222A35"/>
                <w:kern w:val="24"/>
                <w:lang w:eastAsia="en-AU"/>
              </w:rPr>
            </w:pPr>
            <w:r w:rsidRPr="00787378">
              <w:rPr>
                <w:rFonts w:eastAsia="Times New Roman" w:cs="Segoe UI"/>
                <w:color w:val="222A35"/>
                <w:kern w:val="24"/>
                <w:lang w:eastAsia="en-AU"/>
              </w:rPr>
              <w:lastRenderedPageBreak/>
              <w:t>The HTA advice does not presume all subsequent funding decisions would take effect through the PBS.</w:t>
            </w:r>
          </w:p>
          <w:p w14:paraId="1155761C" w14:textId="77777777" w:rsidR="000F385E" w:rsidRPr="00787378" w:rsidRDefault="000F385E" w:rsidP="008C10BB">
            <w:pPr>
              <w:pStyle w:val="ListParagraph"/>
              <w:spacing w:line="259" w:lineRule="auto"/>
              <w:ind w:left="360"/>
              <w:rPr>
                <w:rFonts w:eastAsia="Times New Roman" w:cs="Segoe UI"/>
                <w:color w:val="222A35"/>
                <w:kern w:val="24"/>
                <w:lang w:eastAsia="en-AU"/>
              </w:rPr>
            </w:pPr>
          </w:p>
          <w:p w14:paraId="0550C346" w14:textId="1A3B7D8D" w:rsidR="00614AB5" w:rsidRDefault="00F9176F" w:rsidP="00787378">
            <w:pPr>
              <w:spacing w:line="259" w:lineRule="auto"/>
              <w:ind w:left="360"/>
              <w:rPr>
                <w:rFonts w:eastAsia="Times New Roman" w:cs="Segoe UI"/>
                <w:color w:val="222A35"/>
                <w:lang w:eastAsia="en-AU"/>
              </w:rPr>
            </w:pPr>
            <w:r w:rsidRPr="00787378">
              <w:rPr>
                <w:rFonts w:eastAsia="Times New Roman" w:cs="Segoe UI"/>
                <w:color w:val="222A35"/>
                <w:kern w:val="24"/>
                <w:lang w:eastAsia="en-AU"/>
              </w:rPr>
              <w:t xml:space="preserve">* </w:t>
            </w:r>
            <w:r w:rsidR="5E1C56B1" w:rsidRPr="630F9855">
              <w:rPr>
                <w:rFonts w:eastAsia="Times New Roman" w:cs="Segoe UI"/>
                <w:color w:val="222A35"/>
                <w:lang w:eastAsia="en-AU"/>
              </w:rPr>
              <w:t>The goal of this is to</w:t>
            </w:r>
            <w:r w:rsidR="00E238C3" w:rsidRPr="630F9855">
              <w:rPr>
                <w:rFonts w:eastAsia="Times New Roman" w:cs="Segoe UI"/>
                <w:color w:val="222A35"/>
                <w:lang w:eastAsia="en-AU"/>
              </w:rPr>
              <w:t xml:space="preserve"> </w:t>
            </w:r>
            <w:r w:rsidRPr="630F9855">
              <w:rPr>
                <w:rFonts w:eastAsia="Times New Roman" w:cs="Segoe UI"/>
                <w:color w:val="222A35"/>
                <w:lang w:eastAsia="en-AU"/>
              </w:rPr>
              <w:t>have a unified HTA committee approach</w:t>
            </w:r>
            <w:r w:rsidR="5E1C56B1" w:rsidRPr="630F9855">
              <w:rPr>
                <w:rFonts w:eastAsia="Times New Roman" w:cs="Segoe UI"/>
                <w:color w:val="222A35"/>
                <w:lang w:eastAsia="en-AU"/>
              </w:rPr>
              <w:t xml:space="preserve"> however</w:t>
            </w:r>
            <w:r w:rsidR="00E238C3" w:rsidRPr="630F9855">
              <w:rPr>
                <w:rFonts w:eastAsia="Times New Roman" w:cs="Segoe UI"/>
                <w:color w:val="222A35"/>
                <w:lang w:eastAsia="en-AU"/>
              </w:rPr>
              <w:t xml:space="preserve"> </w:t>
            </w:r>
            <w:r w:rsidRPr="630F9855">
              <w:rPr>
                <w:rFonts w:eastAsia="Times New Roman" w:cs="Segoe UI"/>
                <w:color w:val="222A35"/>
                <w:lang w:eastAsia="en-AU"/>
              </w:rPr>
              <w:t xml:space="preserve">with respect to workload, this could be done through more frequent meetings or having multiple committees with a unified approach and offset meeting cycles. Additionally, </w:t>
            </w:r>
            <w:r w:rsidR="5E1C56B1" w:rsidRPr="630F9855">
              <w:rPr>
                <w:rFonts w:eastAsia="Times New Roman" w:cs="Segoe UI"/>
                <w:color w:val="222A35"/>
                <w:lang w:eastAsia="en-AU"/>
              </w:rPr>
              <w:t>the</w:t>
            </w:r>
            <w:r w:rsidRPr="630F9855">
              <w:rPr>
                <w:rFonts w:eastAsia="Times New Roman" w:cs="Segoe UI"/>
                <w:color w:val="222A35"/>
                <w:lang w:eastAsia="en-AU"/>
              </w:rPr>
              <w:t xml:space="preserve"> committee expertise could be augmented through additional permanent members, having topic specific groups that can be drawn on to provide advice, or pools of topic specific experts that can be drawn on to supplementary members as the expertise is required.</w:t>
            </w:r>
            <w:r w:rsidR="5E1C56B1" w:rsidRPr="630F9855">
              <w:rPr>
                <w:rFonts w:eastAsia="Times New Roman" w:cs="Segoe UI"/>
                <w:color w:val="222A35"/>
                <w:lang w:eastAsia="en-AU"/>
              </w:rPr>
              <w:t xml:space="preserve"> </w:t>
            </w:r>
          </w:p>
        </w:tc>
      </w:tr>
    </w:tbl>
    <w:p w14:paraId="037DC38A" w14:textId="77777777" w:rsidR="00947A7D" w:rsidRDefault="00947A7D" w:rsidP="00DB623D">
      <w:pPr>
        <w:spacing w:after="0"/>
        <w:rPr>
          <w:noProof/>
        </w:rPr>
      </w:pPr>
    </w:p>
    <w:p w14:paraId="29240C14" w14:textId="1F4A7982" w:rsidR="00334B08" w:rsidRDefault="00334B08" w:rsidP="00145D0E">
      <w:pPr>
        <w:pStyle w:val="Heading6"/>
        <w:keepNext/>
        <w:keepLines/>
      </w:pPr>
      <w:r>
        <w:t xml:space="preserve">Figure </w:t>
      </w:r>
      <w:r w:rsidR="00E73C9F">
        <w:fldChar w:fldCharType="begin"/>
      </w:r>
      <w:r w:rsidR="00E73C9F">
        <w:instrText xml:space="preserve"> SEQ Figure \* ARABIC </w:instrText>
      </w:r>
      <w:r w:rsidR="00E73C9F">
        <w:fldChar w:fldCharType="separate"/>
      </w:r>
      <w:r w:rsidR="00474ED6">
        <w:rPr>
          <w:noProof/>
        </w:rPr>
        <w:t>6</w:t>
      </w:r>
      <w:r w:rsidR="00E73C9F">
        <w:rPr>
          <w:noProof/>
        </w:rPr>
        <w:fldChar w:fldCharType="end"/>
      </w:r>
      <w:r>
        <w:t xml:space="preserve"> </w:t>
      </w:r>
      <w:r w:rsidRPr="00950038">
        <w:t xml:space="preserve">Streamlining and aligning HTA pathway and advisory committee: </w:t>
      </w:r>
      <w:r>
        <w:t>medium-long</w:t>
      </w:r>
      <w:r w:rsidRPr="00950038">
        <w:t xml:space="preserve"> stage </w:t>
      </w:r>
      <w:proofErr w:type="gramStart"/>
      <w:r w:rsidRPr="00950038">
        <w:t>changes</w:t>
      </w:r>
      <w:proofErr w:type="gramEnd"/>
    </w:p>
    <w:p w14:paraId="581EAA91" w14:textId="328329C7" w:rsidR="00614AB5" w:rsidRDefault="00C33359" w:rsidP="00614AB5">
      <w:r>
        <w:rPr>
          <w:noProof/>
        </w:rPr>
        <w:drawing>
          <wp:inline distT="0" distB="0" distL="0" distR="0" wp14:anchorId="2F35C33A" wp14:editId="5B474815">
            <wp:extent cx="6044540" cy="2983306"/>
            <wp:effectExtent l="0" t="0" r="0" b="7620"/>
            <wp:docPr id="1423232230" name="Picture 142323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069756" cy="2995751"/>
                    </a:xfrm>
                    <a:prstGeom prst="rect">
                      <a:avLst/>
                    </a:prstGeom>
                    <a:noFill/>
                  </pic:spPr>
                </pic:pic>
              </a:graphicData>
            </a:graphic>
          </wp:inline>
        </w:drawing>
      </w:r>
    </w:p>
    <w:p w14:paraId="63BACB09" w14:textId="4E6FBD3F" w:rsidR="001A23DB" w:rsidRDefault="001A23DB" w:rsidP="00F26F0E">
      <w:pPr>
        <w:pStyle w:val="Heading3"/>
      </w:pPr>
      <w:bookmarkStart w:id="139" w:name="_Toc157029077"/>
      <w:r w:rsidRPr="006647C5">
        <w:t xml:space="preserve">Options </w:t>
      </w:r>
      <w:r>
        <w:t>– Proportionate appraisal pathways</w:t>
      </w:r>
      <w:bookmarkEnd w:id="139"/>
    </w:p>
    <w:p w14:paraId="79A961A5" w14:textId="1C1633C3" w:rsidR="00614AB5" w:rsidRDefault="00227F19" w:rsidP="00614AB5">
      <w:pPr>
        <w:rPr>
          <w:rFonts w:eastAsia="Times New Roman" w:cs="Segoe UI"/>
          <w:color w:val="222A35"/>
          <w:kern w:val="24"/>
          <w:lang w:eastAsia="en-AU"/>
        </w:rPr>
      </w:pPr>
      <w:r w:rsidRPr="001A5807">
        <w:rPr>
          <w:rFonts w:eastAsia="Times New Roman" w:cs="Segoe UI"/>
          <w:color w:val="222A35"/>
          <w:kern w:val="24"/>
          <w:lang w:eastAsia="en-AU"/>
        </w:rPr>
        <w:t>Calibrate the level of appraisal required for HTA submissions to the level of risk (levels of uncertainty and potential fiscal impact) and clinical need that the submission represents.</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5665DD" w14:paraId="5C275A3A" w14:textId="77777777" w:rsidTr="00D965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7F71B9A3" w14:textId="77777777" w:rsidR="005665DD" w:rsidRDefault="0009189D" w:rsidP="008C10BB">
            <w:pPr>
              <w:spacing w:line="259" w:lineRule="auto"/>
              <w:rPr>
                <w:b/>
                <w:bCs/>
                <w:lang w:eastAsia="en-AU"/>
              </w:rPr>
            </w:pPr>
            <w:r w:rsidRPr="0009189D">
              <w:rPr>
                <w:b/>
                <w:bCs/>
                <w:lang w:eastAsia="en-AU"/>
              </w:rPr>
              <w:t>Triaging submissions</w:t>
            </w:r>
          </w:p>
          <w:p w14:paraId="2D383474" w14:textId="77777777" w:rsidR="00CD26BC" w:rsidRPr="00DB623D" w:rsidRDefault="00CD26BC" w:rsidP="008C10BB">
            <w:pPr>
              <w:spacing w:after="120" w:line="259" w:lineRule="auto"/>
              <w:rPr>
                <w:rFonts w:eastAsia="Times New Roman" w:cs="Segoe UI"/>
                <w:color w:val="222A35"/>
                <w:kern w:val="24"/>
                <w:lang w:eastAsia="en-AU"/>
              </w:rPr>
            </w:pPr>
            <w:r w:rsidRPr="00DB623D">
              <w:rPr>
                <w:rFonts w:eastAsia="Times New Roman" w:cs="Segoe UI"/>
                <w:color w:val="222A35"/>
                <w:kern w:val="24"/>
                <w:lang w:eastAsia="en-AU"/>
              </w:rPr>
              <w:t>As a part of both the proportionate appraisal</w:t>
            </w:r>
            <w:r w:rsidRPr="002A2CF5">
              <w:rPr>
                <w:rFonts w:eastAsia="Times New Roman" w:cs="Segoe UI"/>
                <w:color w:val="222A35"/>
                <w:kern w:val="24"/>
                <w:lang w:eastAsia="en-AU"/>
              </w:rPr>
              <w:fldChar w:fldCharType="begin"/>
            </w:r>
            <w:r w:rsidRPr="002A2CF5">
              <w:instrText xml:space="preserve"> XE "</w:instrText>
            </w:r>
            <w:r w:rsidRPr="002A2CF5">
              <w:rPr>
                <w:rFonts w:eastAsia="Times New Roman" w:cs="Segoe UI"/>
                <w:color w:val="222A35"/>
                <w:kern w:val="24"/>
                <w:lang w:eastAsia="en-AU"/>
              </w:rPr>
              <w:instrText>proportionate appraisal</w:instrText>
            </w:r>
            <w:r w:rsidRPr="002A2CF5">
              <w:instrText xml:space="preserve">" \b </w:instrText>
            </w:r>
            <w:r w:rsidRPr="002A2CF5">
              <w:rPr>
                <w:rFonts w:eastAsia="Times New Roman" w:cs="Segoe UI"/>
                <w:color w:val="222A35"/>
                <w:kern w:val="24"/>
                <w:lang w:eastAsia="en-AU"/>
              </w:rPr>
              <w:fldChar w:fldCharType="end"/>
            </w:r>
            <w:r w:rsidRPr="00DB623D">
              <w:rPr>
                <w:rFonts w:eastAsia="Times New Roman" w:cs="Segoe UI"/>
                <w:color w:val="222A35"/>
                <w:kern w:val="24"/>
                <w:lang w:eastAsia="en-AU"/>
              </w:rPr>
              <w:t xml:space="preserve"> and streamlining</w:t>
            </w:r>
            <w:r w:rsidRPr="002A2CF5">
              <w:rPr>
                <w:rFonts w:eastAsia="Times New Roman" w:cs="Segoe UI"/>
                <w:color w:val="222A35"/>
                <w:kern w:val="24"/>
                <w:lang w:eastAsia="en-AU"/>
              </w:rPr>
              <w:fldChar w:fldCharType="begin"/>
            </w:r>
            <w:r w:rsidRPr="002A2CF5">
              <w:instrText xml:space="preserve"> XE "</w:instrText>
            </w:r>
            <w:r w:rsidRPr="002A2CF5">
              <w:rPr>
                <w:rFonts w:eastAsia="Times New Roman" w:cs="Segoe UI"/>
                <w:color w:val="222A35"/>
                <w:kern w:val="24"/>
                <w:lang w:eastAsia="en-AU"/>
              </w:rPr>
              <w:instrText>streamlining</w:instrText>
            </w:r>
            <w:r w:rsidRPr="002A2CF5">
              <w:instrText xml:space="preserve">" \b </w:instrText>
            </w:r>
            <w:r w:rsidRPr="002A2CF5">
              <w:rPr>
                <w:rFonts w:eastAsia="Times New Roman" w:cs="Segoe UI"/>
                <w:color w:val="222A35"/>
                <w:kern w:val="24"/>
                <w:lang w:eastAsia="en-AU"/>
              </w:rPr>
              <w:fldChar w:fldCharType="end"/>
            </w:r>
            <w:r w:rsidRPr="00DB623D">
              <w:rPr>
                <w:rFonts w:eastAsia="Times New Roman" w:cs="Segoe UI"/>
                <w:color w:val="222A35"/>
                <w:kern w:val="24"/>
                <w:lang w:eastAsia="en-AU"/>
              </w:rPr>
              <w:t xml:space="preserve"> of HTA pathways and committees, HTA submissions for Australian Government Subsidy should utilise a ‘single front door’ approach before triaging submissions to determine the appropriate evaluation and appraisal mechanisms. Triaging stage would determine: </w:t>
            </w:r>
          </w:p>
          <w:p w14:paraId="60411929" w14:textId="6691EEB9" w:rsidR="00CD26BC" w:rsidRPr="00DB623D" w:rsidRDefault="00CD26BC" w:rsidP="008505D7">
            <w:pPr>
              <w:numPr>
                <w:ilvl w:val="0"/>
                <w:numId w:val="70"/>
              </w:numPr>
              <w:spacing w:line="259" w:lineRule="auto"/>
            </w:pPr>
            <w:r w:rsidRPr="00DB623D">
              <w:t>The appropriate appraisal for the HTA submission (based on risk and other factors)</w:t>
            </w:r>
            <w:r w:rsidR="0015457F">
              <w:t>.</w:t>
            </w:r>
          </w:p>
          <w:p w14:paraId="3C6F1DA0" w14:textId="10E40CC3" w:rsidR="00CD26BC" w:rsidRPr="00DB623D" w:rsidRDefault="00CD26BC" w:rsidP="008505D7">
            <w:pPr>
              <w:numPr>
                <w:ilvl w:val="0"/>
                <w:numId w:val="70"/>
              </w:numPr>
              <w:spacing w:line="259" w:lineRule="auto"/>
            </w:pPr>
            <w:r w:rsidRPr="00DB623D">
              <w:lastRenderedPageBreak/>
              <w:t>Appropriate constitution/membership required for HTA committee and technical sub-committees based on type of technology and other factors (</w:t>
            </w:r>
            <w:proofErr w:type="gramStart"/>
            <w:r w:rsidRPr="00DB623D">
              <w:t>e</w:t>
            </w:r>
            <w:r w:rsidR="009B5C5D">
              <w:t>.</w:t>
            </w:r>
            <w:r w:rsidRPr="00DB623D">
              <w:t>g.</w:t>
            </w:r>
            <w:proofErr w:type="gramEnd"/>
            <w:r w:rsidRPr="00DB623D">
              <w:t xml:space="preserve"> for consideration of vaccines</w:t>
            </w:r>
            <w:r w:rsidRPr="00DB623D">
              <w:fldChar w:fldCharType="begin"/>
            </w:r>
            <w:r w:rsidRPr="00DB623D">
              <w:instrText xml:space="preserve"> XE "vaccines" \b </w:instrText>
            </w:r>
            <w:r w:rsidRPr="00DB623D">
              <w:fldChar w:fldCharType="end"/>
            </w:r>
            <w:r w:rsidRPr="00DB623D">
              <w:t xml:space="preserve"> or specific diagnostic tests)</w:t>
            </w:r>
            <w:r w:rsidR="0015457F">
              <w:t>.</w:t>
            </w:r>
          </w:p>
          <w:p w14:paraId="0DD053E7" w14:textId="1CC9960F" w:rsidR="00CD26BC" w:rsidRPr="00DB623D" w:rsidRDefault="00CD26BC" w:rsidP="008505D7">
            <w:pPr>
              <w:numPr>
                <w:ilvl w:val="0"/>
                <w:numId w:val="70"/>
              </w:numPr>
              <w:spacing w:line="259" w:lineRule="auto"/>
            </w:pPr>
            <w:r w:rsidRPr="00DB623D">
              <w:t>The PICO</w:t>
            </w:r>
            <w:r w:rsidRPr="00DB623D">
              <w:fldChar w:fldCharType="begin"/>
            </w:r>
            <w:r w:rsidRPr="00DB623D">
              <w:instrText xml:space="preserve"> XE "PICO" \b </w:instrText>
            </w:r>
            <w:r w:rsidRPr="00DB623D">
              <w:fldChar w:fldCharType="end"/>
            </w:r>
            <w:r w:rsidRPr="00DB623D">
              <w:t xml:space="preserve"> scoping/consultation/confirmation required</w:t>
            </w:r>
            <w:r w:rsidR="0015457F">
              <w:t>.</w:t>
            </w:r>
          </w:p>
          <w:p w14:paraId="7A280F3C" w14:textId="587E14D6" w:rsidR="00CD26BC" w:rsidRPr="00DB623D" w:rsidRDefault="00CD26BC" w:rsidP="008505D7">
            <w:pPr>
              <w:numPr>
                <w:ilvl w:val="0"/>
                <w:numId w:val="70"/>
              </w:numPr>
              <w:spacing w:line="259" w:lineRule="auto"/>
              <w:ind w:left="357" w:hanging="357"/>
            </w:pPr>
            <w:r w:rsidRPr="00DB623D">
              <w:t>The meeting date for the HTA consideration (based on the above</w:t>
            </w:r>
            <w:r w:rsidR="7C545B74">
              <w:t>)</w:t>
            </w:r>
            <w:r w:rsidR="2B8EE1C4">
              <w:t>.</w:t>
            </w:r>
          </w:p>
          <w:p w14:paraId="1ACE7D57" w14:textId="77777777" w:rsidR="00DF56D8" w:rsidRPr="00DB623D" w:rsidRDefault="00DF56D8" w:rsidP="008C10BB">
            <w:pPr>
              <w:spacing w:line="259" w:lineRule="auto"/>
              <w:ind w:left="357"/>
            </w:pPr>
          </w:p>
          <w:p w14:paraId="7A3B9DF3" w14:textId="1310D90A" w:rsidR="0009189D" w:rsidRDefault="00CD26BC" w:rsidP="008C10BB">
            <w:pPr>
              <w:spacing w:line="259" w:lineRule="auto"/>
            </w:pPr>
            <w:r w:rsidRPr="00DB623D">
              <w:rPr>
                <w:rFonts w:eastAsia="Times New Roman" w:cs="Segoe UI"/>
                <w:color w:val="222A35"/>
                <w:kern w:val="24"/>
                <w:lang w:eastAsia="en-AU"/>
              </w:rPr>
              <w:t xml:space="preserve">While the decision of the appropriate HTA pathway would be through consideration of a triaging body (could be </w:t>
            </w:r>
            <w:proofErr w:type="gramStart"/>
            <w:r w:rsidRPr="00DB623D">
              <w:rPr>
                <w:rFonts w:eastAsia="Times New Roman" w:cs="Segoe UI"/>
                <w:color w:val="222A35"/>
                <w:kern w:val="24"/>
                <w:lang w:eastAsia="en-AU"/>
              </w:rPr>
              <w:t>similar to</w:t>
            </w:r>
            <w:proofErr w:type="gramEnd"/>
            <w:r w:rsidRPr="00DB623D">
              <w:rPr>
                <w:rFonts w:eastAsia="Times New Roman" w:cs="Segoe UI"/>
                <w:color w:val="222A35"/>
                <w:kern w:val="24"/>
                <w:lang w:eastAsia="en-AU"/>
              </w:rPr>
              <w:t xml:space="preserve"> PBAC executive or other), the development of a clear and transparent decision tool such as a decision tree would improve consistency, reduce workload, and help support fit-for-purpose submissions.</w:t>
            </w:r>
          </w:p>
        </w:tc>
      </w:tr>
    </w:tbl>
    <w:p w14:paraId="7D0CD213" w14:textId="77777777" w:rsidR="005235C6" w:rsidRDefault="005235C6" w:rsidP="007A295F">
      <w:pPr>
        <w:spacing w:after="0"/>
      </w:pPr>
    </w:p>
    <w:tbl>
      <w:tblPr>
        <w:tblStyle w:val="TableGrid"/>
        <w:tblW w:w="9367" w:type="dxa"/>
        <w:tblCellMar>
          <w:top w:w="113" w:type="dxa"/>
          <w:bottom w:w="113" w:type="dxa"/>
        </w:tblCellMar>
        <w:tblLook w:val="04A0" w:firstRow="1" w:lastRow="0" w:firstColumn="1" w:lastColumn="0" w:noHBand="0" w:noVBand="1"/>
      </w:tblPr>
      <w:tblGrid>
        <w:gridCol w:w="9367"/>
      </w:tblGrid>
      <w:tr w:rsidR="00EC69D6" w14:paraId="528355B1" w14:textId="77777777" w:rsidTr="00D965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49442E7E" w14:textId="77777777" w:rsidR="00EC69D6" w:rsidRPr="002715B9" w:rsidRDefault="00EC69D6" w:rsidP="008C10BB">
            <w:pPr>
              <w:spacing w:after="120" w:line="259" w:lineRule="auto"/>
              <w:rPr>
                <w:rFonts w:eastAsia="Times New Roman" w:cs="Segoe UI"/>
                <w:b/>
                <w:bCs/>
                <w:color w:val="222A35"/>
                <w:kern w:val="24"/>
                <w:sz w:val="36"/>
                <w:szCs w:val="36"/>
                <w:lang w:eastAsia="en-AU"/>
              </w:rPr>
            </w:pPr>
            <w:r w:rsidRPr="002F7EBE">
              <w:rPr>
                <w:rFonts w:eastAsia="Times New Roman" w:cs="Segoe UI"/>
                <w:b/>
                <w:bCs/>
                <w:color w:val="222A35"/>
                <w:kern w:val="24"/>
                <w:lang w:eastAsia="en-AU"/>
              </w:rPr>
              <w:t>Streamlined pathway for cost-minimisation submissions (therapies not claiming a significant improvement in health outcomes or reduction in toxicity)</w:t>
            </w:r>
          </w:p>
          <w:p w14:paraId="57B863E6" w14:textId="2467D407" w:rsidR="00EC69D6" w:rsidRPr="00E6762F" w:rsidRDefault="00EC69D6" w:rsidP="008505D7">
            <w:pPr>
              <w:numPr>
                <w:ilvl w:val="0"/>
                <w:numId w:val="71"/>
              </w:numPr>
              <w:spacing w:line="259" w:lineRule="auto"/>
            </w:pPr>
            <w:r w:rsidRPr="00E6762F">
              <w:t>Develop criteria for therapies to be eligible for streamlined cost-minimisation pathway</w:t>
            </w:r>
            <w:r w:rsidR="0015457F" w:rsidRPr="00E6762F">
              <w:t>.</w:t>
            </w:r>
            <w:r w:rsidRPr="00E6762F">
              <w:t xml:space="preserve"> </w:t>
            </w:r>
          </w:p>
          <w:p w14:paraId="57DD5D5F" w14:textId="4D8B439A" w:rsidR="00EC69D6" w:rsidRPr="00E6762F" w:rsidRDefault="00EC69D6" w:rsidP="008505D7">
            <w:pPr>
              <w:numPr>
                <w:ilvl w:val="0"/>
                <w:numId w:val="71"/>
              </w:numPr>
              <w:spacing w:line="259" w:lineRule="auto"/>
            </w:pPr>
            <w:r w:rsidRPr="00E6762F">
              <w:t>Submissions for therapies not claiming a significant improvement in health outcomes, would undergo an abbreviated evaluation and consideration by the PBAC Economic Sub-Committee (ESC); if it can be determined that the therapy meets the developed criteria it would be fast tracked to the price agreement stage after out-of-session consideration by the PBAC executive</w:t>
            </w:r>
            <w:r w:rsidR="73BEE7C2">
              <w:t xml:space="preserve"> (or similar)</w:t>
            </w:r>
            <w:r w:rsidR="1E65F2CE">
              <w:t>.</w:t>
            </w:r>
            <w:r w:rsidRPr="00E6762F">
              <w:t xml:space="preserve"> </w:t>
            </w:r>
          </w:p>
          <w:p w14:paraId="6253F826" w14:textId="77777777" w:rsidR="00EC69D6" w:rsidRDefault="00EC69D6" w:rsidP="008505D7">
            <w:pPr>
              <w:numPr>
                <w:ilvl w:val="0"/>
                <w:numId w:val="71"/>
              </w:numPr>
              <w:spacing w:line="259" w:lineRule="auto"/>
            </w:pPr>
            <w:r w:rsidRPr="00E6762F">
              <w:t xml:space="preserve">Information regarding the price of the comparator the proposed therapy is cost-minimised against would be shared with the sponsor early in the process prior to HTA committee consideration. This would allow sponsors to make an informed decision regarding whether to proceed or withdraw the submission from consideration (if the potential pricing outcome is not within sponsor expectations). Withdrawal of submissions that would unlikely proceed to implementation following a positive HTA committee recommendation may prevent the unnecessary use of valuable resources. </w:t>
            </w:r>
          </w:p>
          <w:p w14:paraId="35A33DB7" w14:textId="23139843" w:rsidR="00EC69D6" w:rsidRDefault="00EC69D6" w:rsidP="008505D7">
            <w:pPr>
              <w:numPr>
                <w:ilvl w:val="0"/>
                <w:numId w:val="71"/>
              </w:numPr>
              <w:spacing w:line="259" w:lineRule="auto"/>
            </w:pPr>
            <w:r w:rsidRPr="00EC69D6">
              <w:t>For submissions that do not meet the criteria the PBAC executive can nominate for the submission to either be considered without change by the PBAC in the current cycle or the next cycle, allowing the sponsor time to address issues raised, noting the sponsor would have the discretion to withdraw their submission.</w:t>
            </w:r>
          </w:p>
        </w:tc>
      </w:tr>
    </w:tbl>
    <w:p w14:paraId="174E305E" w14:textId="77777777" w:rsidR="00DD29A1" w:rsidRDefault="00DD29A1"/>
    <w:tbl>
      <w:tblPr>
        <w:tblStyle w:val="TableGrid"/>
        <w:tblW w:w="9367" w:type="dxa"/>
        <w:tblCellMar>
          <w:top w:w="113" w:type="dxa"/>
          <w:bottom w:w="113" w:type="dxa"/>
        </w:tblCellMar>
        <w:tblLook w:val="04A0" w:firstRow="1" w:lastRow="0" w:firstColumn="1" w:lastColumn="0" w:noHBand="0" w:noVBand="1"/>
      </w:tblPr>
      <w:tblGrid>
        <w:gridCol w:w="9367"/>
      </w:tblGrid>
      <w:tr w:rsidR="00BE14CE" w14:paraId="7172C216" w14:textId="77777777" w:rsidTr="00D965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D2109F0" w14:textId="7ADFE26C" w:rsidR="00BE14CE" w:rsidRDefault="00BE14CE" w:rsidP="00DD29A1">
            <w:pPr>
              <w:spacing w:after="120" w:line="259" w:lineRule="auto"/>
            </w:pPr>
            <w:r w:rsidRPr="005B36AB">
              <w:rPr>
                <w:rFonts w:eastAsia="Times New Roman" w:cs="Segoe UI"/>
                <w:b/>
                <w:bCs/>
                <w:color w:val="222A35"/>
                <w:kern w:val="24"/>
                <w:lang w:eastAsia="en-AU"/>
              </w:rPr>
              <w:t>Early resolution mechanisms for submissions of major new therapeutic advances in areas of HUCN</w:t>
            </w:r>
            <w:r w:rsidR="00D027D9">
              <w:rPr>
                <w:rFonts w:eastAsia="Times New Roman" w:cs="Segoe UI"/>
                <w:b/>
                <w:bCs/>
                <w:color w:val="222A35"/>
                <w:kern w:val="24"/>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b/>
                <w:bCs/>
                <w:color w:val="222A35"/>
                <w:kern w:val="24"/>
                <w:lang w:eastAsia="en-AU"/>
              </w:rPr>
              <w:fldChar w:fldCharType="end"/>
            </w:r>
            <w:r w:rsidRPr="005B36AB">
              <w:rPr>
                <w:rFonts w:eastAsia="Times New Roman" w:cs="Segoe UI"/>
                <w:b/>
                <w:bCs/>
                <w:color w:val="222A35"/>
                <w:kern w:val="24"/>
                <w:lang w:eastAsia="en-AU"/>
              </w:rPr>
              <w:t xml:space="preserve"> </w:t>
            </w:r>
          </w:p>
          <w:p w14:paraId="57871ECB" w14:textId="5F9FDD9F" w:rsidR="00BE14CE" w:rsidRPr="004C15AC" w:rsidRDefault="00BE14CE" w:rsidP="00DD29A1">
            <w:pPr>
              <w:spacing w:after="120" w:line="259" w:lineRule="auto"/>
              <w:contextualSpacing/>
            </w:pPr>
            <w:r w:rsidRPr="004C15AC">
              <w:t>For health technologies that are comparatively clinically safe and effective and represent HATV</w:t>
            </w:r>
            <w:r w:rsidRPr="004C15AC">
              <w:fldChar w:fldCharType="begin"/>
            </w:r>
            <w:r w:rsidRPr="004C15AC">
              <w:instrText xml:space="preserve"> XE "high added therapeutic </w:instrText>
            </w:r>
            <w:proofErr w:type="spellStart"/>
            <w:r w:rsidRPr="004C15AC">
              <w:instrText>value:HATV</w:instrText>
            </w:r>
            <w:proofErr w:type="spellEnd"/>
            <w:r w:rsidRPr="004C15AC">
              <w:instrText xml:space="preserve">" \b </w:instrText>
            </w:r>
            <w:r w:rsidRPr="004C15AC">
              <w:fldChar w:fldCharType="end"/>
            </w:r>
            <w:r w:rsidRPr="004C15AC">
              <w:t xml:space="preserve"> in an area of HUCN</w:t>
            </w:r>
            <w:r w:rsidR="00D027D9">
              <w:fldChar w:fldCharType="begin"/>
            </w:r>
            <w:r w:rsidR="00D027D9">
              <w:instrText xml:space="preserve"> XE </w:instrText>
            </w:r>
            <w:r w:rsidR="00D027D9">
              <w:lastRenderedPageBreak/>
              <w:instrText>"</w:instrText>
            </w:r>
            <w:r w:rsidR="00D027D9" w:rsidRPr="008516C7">
              <w:rPr>
                <w:lang w:val="en-US"/>
              </w:rPr>
              <w:instrText>high unmet clinical need:</w:instrText>
            </w:r>
            <w:r w:rsidR="00D027D9" w:rsidRPr="008516C7">
              <w:instrText>HUCN</w:instrText>
            </w:r>
            <w:r w:rsidR="00D027D9">
              <w:instrText xml:space="preserve">" </w:instrText>
            </w:r>
            <w:r w:rsidR="00D027D9">
              <w:fldChar w:fldCharType="end"/>
            </w:r>
            <w:r w:rsidRPr="004C15AC">
              <w:t xml:space="preserve"> (where submission meets set criteria), but where there is uncertainty related to the economic model or the price. </w:t>
            </w:r>
          </w:p>
          <w:p w14:paraId="75B52D15" w14:textId="77777777" w:rsidR="00BE14CE" w:rsidRPr="004C15AC" w:rsidRDefault="00BE14CE" w:rsidP="00DD29A1">
            <w:pPr>
              <w:spacing w:after="120" w:line="259" w:lineRule="auto"/>
              <w:contextualSpacing/>
            </w:pPr>
          </w:p>
          <w:p w14:paraId="428F6894" w14:textId="77777777" w:rsidR="00BE14CE" w:rsidRPr="004C15AC" w:rsidRDefault="00BE14CE" w:rsidP="00DD29A1">
            <w:pPr>
              <w:spacing w:after="120" w:line="259" w:lineRule="auto"/>
              <w:contextualSpacing/>
              <w:rPr>
                <w:u w:val="single"/>
              </w:rPr>
            </w:pPr>
            <w:r w:rsidRPr="004C15AC">
              <w:rPr>
                <w:u w:val="single"/>
              </w:rPr>
              <w:t xml:space="preserve">Criteria: </w:t>
            </w:r>
          </w:p>
          <w:p w14:paraId="12ABC99D" w14:textId="0FBA4E96" w:rsidR="00BE14CE" w:rsidRPr="004C15AC" w:rsidRDefault="00BE14CE" w:rsidP="008505D7">
            <w:pPr>
              <w:numPr>
                <w:ilvl w:val="0"/>
                <w:numId w:val="150"/>
              </w:numPr>
              <w:spacing w:after="120" w:line="259" w:lineRule="auto"/>
              <w:contextualSpacing/>
            </w:pPr>
            <w:r w:rsidRPr="004C15AC">
              <w:t>Therapies that offer likely HATV</w:t>
            </w:r>
            <w:r w:rsidRPr="004C15AC">
              <w:fldChar w:fldCharType="begin"/>
            </w:r>
            <w:r w:rsidRPr="004C15AC">
              <w:instrText xml:space="preserve"> XE "high added therapeutic </w:instrText>
            </w:r>
            <w:proofErr w:type="spellStart"/>
            <w:r w:rsidRPr="004C15AC">
              <w:instrText>value:HATV</w:instrText>
            </w:r>
            <w:proofErr w:type="spellEnd"/>
            <w:r w:rsidRPr="004C15AC">
              <w:instrText xml:space="preserve">" \b </w:instrText>
            </w:r>
            <w:r w:rsidRPr="004C15AC">
              <w:fldChar w:fldCharType="end"/>
            </w:r>
            <w:r w:rsidRPr="004C15AC">
              <w:t xml:space="preserve"> in areas where there is HUCN</w:t>
            </w:r>
            <w:r w:rsidR="00D027D9">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fldChar w:fldCharType="end"/>
            </w:r>
            <w:r w:rsidRPr="004C15AC">
              <w:t>, and</w:t>
            </w:r>
          </w:p>
          <w:p w14:paraId="63624953" w14:textId="77777777" w:rsidR="00BE14CE" w:rsidRPr="004C15AC" w:rsidRDefault="00BE14CE" w:rsidP="008505D7">
            <w:pPr>
              <w:numPr>
                <w:ilvl w:val="0"/>
                <w:numId w:val="150"/>
              </w:numPr>
              <w:spacing w:after="120" w:line="259" w:lineRule="auto"/>
              <w:contextualSpacing/>
            </w:pPr>
            <w:r w:rsidRPr="004C15AC">
              <w:t>Submission made to the PBAC at the same time as TGA application is made, or at the earliest opportunity after TGA application is made, and</w:t>
            </w:r>
          </w:p>
          <w:p w14:paraId="4CA3E552" w14:textId="77777777" w:rsidR="00BE14CE" w:rsidRPr="004C15AC" w:rsidRDefault="00BE14CE" w:rsidP="008505D7">
            <w:pPr>
              <w:numPr>
                <w:ilvl w:val="0"/>
                <w:numId w:val="150"/>
              </w:numPr>
              <w:spacing w:after="120" w:line="259" w:lineRule="auto"/>
              <w:contextualSpacing/>
            </w:pPr>
            <w:r w:rsidRPr="004C15AC">
              <w:t>Submission lodged within 6 months of receiving first regulatory approval from a comparable overseas regulator (</w:t>
            </w:r>
            <w:proofErr w:type="gramStart"/>
            <w:r w:rsidRPr="004C15AC">
              <w:t>e.g.</w:t>
            </w:r>
            <w:proofErr w:type="gramEnd"/>
            <w:r w:rsidRPr="004C15AC">
              <w:t xml:space="preserve"> Food and Drug Administration (FDA)/European Medicines Agency (EMA)) </w:t>
            </w:r>
          </w:p>
          <w:p w14:paraId="46A15168" w14:textId="77777777" w:rsidR="00BE14CE" w:rsidRPr="004C15AC" w:rsidRDefault="00BE14CE" w:rsidP="00DD29A1">
            <w:pPr>
              <w:spacing w:after="120" w:line="259" w:lineRule="auto"/>
              <w:contextualSpacing/>
            </w:pPr>
          </w:p>
          <w:p w14:paraId="35BCDBB9" w14:textId="77777777" w:rsidR="00BE14CE" w:rsidRPr="004C15AC" w:rsidRDefault="00BE14CE" w:rsidP="00DD29A1">
            <w:pPr>
              <w:spacing w:after="120" w:line="259" w:lineRule="auto"/>
              <w:contextualSpacing/>
              <w:rPr>
                <w:u w:val="single"/>
              </w:rPr>
            </w:pPr>
            <w:r w:rsidRPr="004C15AC">
              <w:rPr>
                <w:u w:val="single"/>
              </w:rPr>
              <w:t xml:space="preserve">Alternative option 1: Introducing an optional resolution step </w:t>
            </w:r>
            <w:r w:rsidRPr="004C15AC">
              <w:rPr>
                <w:b/>
                <w:u w:val="single"/>
              </w:rPr>
              <w:t>before</w:t>
            </w:r>
            <w:r w:rsidRPr="004C15AC">
              <w:rPr>
                <w:u w:val="single"/>
              </w:rPr>
              <w:t xml:space="preserve"> HTA committee consideration:</w:t>
            </w:r>
          </w:p>
          <w:p w14:paraId="294612FD" w14:textId="77777777" w:rsidR="00BE14CE" w:rsidRPr="004C15AC" w:rsidRDefault="00BE14CE" w:rsidP="008505D7">
            <w:pPr>
              <w:numPr>
                <w:ilvl w:val="0"/>
                <w:numId w:val="151"/>
              </w:numPr>
              <w:spacing w:after="120" w:line="259" w:lineRule="auto"/>
              <w:ind w:left="357" w:hanging="357"/>
              <w:contextualSpacing/>
            </w:pPr>
            <w:r w:rsidRPr="004C15AC">
              <w:t xml:space="preserve">After the submission has been evaluated and considered by </w:t>
            </w:r>
            <w:r w:rsidRPr="004C15AC" w:rsidDel="00A61A74">
              <w:t xml:space="preserve">PBAC </w:t>
            </w:r>
            <w:r w:rsidRPr="004C15AC">
              <w:t>Economic Sub-Committee (ESC), sponsors would be provided with preliminary advice on their submission, and the option to either:</w:t>
            </w:r>
          </w:p>
          <w:p w14:paraId="00533208" w14:textId="77777777" w:rsidR="00BE14CE" w:rsidRPr="004C15AC" w:rsidRDefault="00BE14CE" w:rsidP="008505D7">
            <w:pPr>
              <w:numPr>
                <w:ilvl w:val="0"/>
                <w:numId w:val="152"/>
              </w:numPr>
              <w:spacing w:after="120" w:line="259" w:lineRule="auto"/>
              <w:contextualSpacing/>
            </w:pPr>
            <w:r w:rsidRPr="004C15AC">
              <w:t>progress submission to HTA Committee for consideration ‘as-is’ (with risk of negative recommendation and exit from the HTA cycle); or</w:t>
            </w:r>
          </w:p>
          <w:p w14:paraId="12B30047" w14:textId="77777777" w:rsidR="00BE14CE" w:rsidRPr="004C15AC" w:rsidRDefault="00BE14CE" w:rsidP="008505D7">
            <w:pPr>
              <w:numPr>
                <w:ilvl w:val="0"/>
                <w:numId w:val="152"/>
              </w:numPr>
              <w:spacing w:after="120" w:line="259" w:lineRule="auto"/>
              <w:contextualSpacing/>
            </w:pPr>
            <w:r w:rsidRPr="004C15AC">
              <w:t>undertake a resolution process to address identified deficiencies/technical concerns under a set/time-limited period (</w:t>
            </w:r>
            <w:proofErr w:type="gramStart"/>
            <w:r w:rsidRPr="004C15AC">
              <w:t>e.g.</w:t>
            </w:r>
            <w:proofErr w:type="gramEnd"/>
            <w:r w:rsidRPr="004C15AC">
              <w:t xml:space="preserve"> up to maximum of one HTA cycle length of ~17 weeks), before progressing to HTA Committee consideration.</w:t>
            </w:r>
          </w:p>
          <w:p w14:paraId="781E4D14" w14:textId="77777777" w:rsidR="00BE14CE" w:rsidRPr="004C15AC" w:rsidRDefault="00BE14CE" w:rsidP="008505D7">
            <w:pPr>
              <w:numPr>
                <w:ilvl w:val="0"/>
                <w:numId w:val="151"/>
              </w:numPr>
              <w:spacing w:after="120" w:line="259" w:lineRule="auto"/>
              <w:ind w:left="357" w:hanging="357"/>
              <w:contextualSpacing/>
            </w:pPr>
            <w:r w:rsidRPr="004C15AC">
              <w:t xml:space="preserve">With this approach, the relevant ESC discussants, evaluators, Departmental </w:t>
            </w:r>
            <w:proofErr w:type="gramStart"/>
            <w:r w:rsidRPr="004C15AC">
              <w:t>staff</w:t>
            </w:r>
            <w:proofErr w:type="gramEnd"/>
            <w:r w:rsidRPr="004C15AC">
              <w:t xml:space="preserve"> and the sponsor would meet and work iteratively towards addressing deficiencies/technical concerns with ESC advice, prior to a PBAC consideration so that it is more likely to receive a positive recommendation. </w:t>
            </w:r>
          </w:p>
          <w:p w14:paraId="3D7FE3B2" w14:textId="41C933A6" w:rsidR="00BE14CE" w:rsidRPr="004C15AC" w:rsidRDefault="00BE14CE" w:rsidP="008505D7">
            <w:pPr>
              <w:numPr>
                <w:ilvl w:val="0"/>
                <w:numId w:val="151"/>
              </w:numPr>
              <w:spacing w:after="120" w:line="259" w:lineRule="auto"/>
              <w:ind w:left="357" w:hanging="357"/>
              <w:contextualSpacing/>
            </w:pPr>
            <w:r w:rsidRPr="004C15AC">
              <w:t>After the resolution process</w:t>
            </w:r>
            <w:r w:rsidR="5833D4CA">
              <w:t>,</w:t>
            </w:r>
            <w:r w:rsidRPr="004C15AC">
              <w:t xml:space="preserve"> the submission would go to PBAC where a recommendation to the minister would be made regarding the listing. </w:t>
            </w:r>
          </w:p>
          <w:p w14:paraId="6E4EF136" w14:textId="77777777" w:rsidR="00BE14CE" w:rsidRPr="004C15AC" w:rsidRDefault="00BE14CE" w:rsidP="008505D7">
            <w:pPr>
              <w:numPr>
                <w:ilvl w:val="0"/>
                <w:numId w:val="151"/>
              </w:numPr>
              <w:spacing w:after="120" w:line="259" w:lineRule="auto"/>
              <w:ind w:left="357" w:hanging="357"/>
              <w:contextualSpacing/>
            </w:pPr>
            <w:r w:rsidRPr="004C15AC">
              <w:t>This would be a time limited process running contemporaneously to the TGA assessment, resulting in expeditated access.</w:t>
            </w:r>
          </w:p>
          <w:p w14:paraId="6588A4BE" w14:textId="066A3267" w:rsidR="00BE14CE" w:rsidRPr="004C15AC" w:rsidRDefault="00BE14CE" w:rsidP="008505D7">
            <w:pPr>
              <w:numPr>
                <w:ilvl w:val="0"/>
                <w:numId w:val="151"/>
              </w:numPr>
              <w:spacing w:after="120" w:line="259" w:lineRule="auto"/>
              <w:ind w:left="357" w:hanging="357"/>
              <w:contextualSpacing/>
            </w:pPr>
            <w:r w:rsidRPr="004C15AC">
              <w:t>It is intended that the optional early resolution</w:t>
            </w:r>
            <w:r w:rsidR="00336A3C">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fldChar w:fldCharType="end"/>
            </w:r>
            <w:r w:rsidRPr="004C15AC">
              <w:t xml:space="preserve"> process will avoid a negative recommendation, however in the rare occasion where the application is not recommended, there would be a restriction on the ability for sponsors to re-submit. </w:t>
            </w:r>
          </w:p>
          <w:p w14:paraId="4C0427DE" w14:textId="3CA520CF" w:rsidR="00BE14CE" w:rsidRPr="004C15AC" w:rsidRDefault="00BE14CE" w:rsidP="008505D7">
            <w:pPr>
              <w:numPr>
                <w:ilvl w:val="0"/>
                <w:numId w:val="151"/>
              </w:numPr>
              <w:spacing w:after="120" w:line="259" w:lineRule="auto"/>
              <w:ind w:left="357" w:hanging="357"/>
              <w:contextualSpacing/>
            </w:pPr>
            <w:r w:rsidRPr="004C15AC">
              <w:t>Note: Understanding feasible and practical solutions / strategies to reduce the number of resubmissions under this option is a key detail to workshop with stakeholders through this consultation process. This could include setting a maximum allowable number of submission (</w:t>
            </w:r>
            <w:proofErr w:type="gramStart"/>
            <w:r w:rsidRPr="004C15AC">
              <w:t>e.g.</w:t>
            </w:r>
            <w:proofErr w:type="gramEnd"/>
            <w:r w:rsidRPr="004C15AC">
              <w:t xml:space="preserve"> only 1 resubmission allowed). </w:t>
            </w:r>
          </w:p>
          <w:p w14:paraId="333919B1" w14:textId="77777777" w:rsidR="00BE14CE" w:rsidRPr="004C15AC" w:rsidRDefault="00BE14CE" w:rsidP="006110C9">
            <w:pPr>
              <w:pBdr>
                <w:top w:val="single" w:sz="18" w:space="1" w:color="FFFFFF" w:themeColor="background1"/>
              </w:pBdr>
              <w:spacing w:after="120" w:line="259" w:lineRule="auto"/>
              <w:contextualSpacing/>
              <w:jc w:val="center"/>
              <w:rPr>
                <w:b/>
                <w:u w:val="single"/>
              </w:rPr>
            </w:pPr>
            <w:r w:rsidRPr="004C15AC">
              <w:rPr>
                <w:b/>
                <w:u w:val="single"/>
              </w:rPr>
              <w:t>OR</w:t>
            </w:r>
          </w:p>
          <w:p w14:paraId="309B7AFC" w14:textId="77777777" w:rsidR="00BE14CE" w:rsidRPr="004C15AC" w:rsidRDefault="00BE14CE" w:rsidP="00DD29A1">
            <w:pPr>
              <w:spacing w:after="120" w:line="259" w:lineRule="auto"/>
              <w:contextualSpacing/>
              <w:rPr>
                <w:u w:val="single"/>
              </w:rPr>
            </w:pPr>
            <w:r w:rsidRPr="004C15AC">
              <w:rPr>
                <w:u w:val="single"/>
              </w:rPr>
              <w:lastRenderedPageBreak/>
              <w:t xml:space="preserve">Alternative option 2: Introducing an optional resolution step </w:t>
            </w:r>
            <w:r w:rsidRPr="004C15AC">
              <w:rPr>
                <w:b/>
                <w:bCs/>
                <w:u w:val="single"/>
              </w:rPr>
              <w:t>before</w:t>
            </w:r>
            <w:r w:rsidRPr="004C15AC">
              <w:rPr>
                <w:u w:val="single"/>
              </w:rPr>
              <w:t xml:space="preserve"> HTA committee consideration, with additional post committee resolution:</w:t>
            </w:r>
          </w:p>
          <w:p w14:paraId="57C9EDA9" w14:textId="77777777" w:rsidR="00BE14CE" w:rsidRPr="004C15AC" w:rsidRDefault="00BE14CE" w:rsidP="008505D7">
            <w:pPr>
              <w:numPr>
                <w:ilvl w:val="0"/>
                <w:numId w:val="154"/>
              </w:numPr>
              <w:spacing w:after="120" w:line="259" w:lineRule="auto"/>
              <w:ind w:left="357" w:hanging="357"/>
              <w:contextualSpacing/>
            </w:pPr>
            <w:r w:rsidRPr="004C15AC">
              <w:t>As above in Alternative option 1, for points 1 - 4</w:t>
            </w:r>
          </w:p>
          <w:p w14:paraId="78AF5D9C" w14:textId="77777777" w:rsidR="00BE14CE" w:rsidRPr="004C15AC" w:rsidRDefault="00BE14CE" w:rsidP="008505D7">
            <w:pPr>
              <w:numPr>
                <w:ilvl w:val="0"/>
                <w:numId w:val="154"/>
              </w:numPr>
              <w:spacing w:after="120" w:line="259" w:lineRule="auto"/>
              <w:ind w:left="357" w:hanging="357"/>
              <w:contextualSpacing/>
            </w:pPr>
            <w:r w:rsidRPr="004C15AC">
              <w:t>Point 5 above in Alternative option 1 would change to include, where an application is not recommended, the sponsor and the Department will meet to determine future opportunities for resolution and criteria for future submissions.</w:t>
            </w:r>
          </w:p>
          <w:p w14:paraId="7AA7151E" w14:textId="77777777" w:rsidR="00BE14CE" w:rsidRPr="004C15AC" w:rsidRDefault="00BE14CE" w:rsidP="00DD29A1">
            <w:pPr>
              <w:spacing w:after="120" w:line="259" w:lineRule="auto"/>
              <w:contextualSpacing/>
              <w:jc w:val="center"/>
              <w:rPr>
                <w:b/>
                <w:u w:val="single"/>
              </w:rPr>
            </w:pPr>
            <w:r w:rsidRPr="004C15AC">
              <w:rPr>
                <w:b/>
                <w:u w:val="single"/>
              </w:rPr>
              <w:t>OR</w:t>
            </w:r>
          </w:p>
          <w:p w14:paraId="76E20C04" w14:textId="77777777" w:rsidR="00BE14CE" w:rsidRPr="004C15AC" w:rsidRDefault="00BE14CE" w:rsidP="00DD29A1">
            <w:pPr>
              <w:spacing w:after="120" w:line="259" w:lineRule="auto"/>
              <w:contextualSpacing/>
              <w:rPr>
                <w:u w:val="single"/>
              </w:rPr>
            </w:pPr>
            <w:r w:rsidRPr="004C15AC">
              <w:rPr>
                <w:u w:val="single"/>
              </w:rPr>
              <w:t>Alternative option 3: Early Price negotiation</w:t>
            </w:r>
          </w:p>
          <w:p w14:paraId="58F3F9DA" w14:textId="5383F34D" w:rsidR="00BE14CE" w:rsidRPr="004C15AC" w:rsidRDefault="39AA71B7" w:rsidP="00DD29A1">
            <w:pPr>
              <w:spacing w:after="160" w:line="259" w:lineRule="auto"/>
              <w:contextualSpacing/>
            </w:pPr>
            <w:r>
              <w:t xml:space="preserve">1. </w:t>
            </w:r>
            <w:r w:rsidR="6285D26A">
              <w:t>As</w:t>
            </w:r>
            <w:r w:rsidR="00BE14CE" w:rsidRPr="004C15AC">
              <w:t xml:space="preserve"> above in Alternative Option 1</w:t>
            </w:r>
            <w:r w:rsidR="00BE14CE" w:rsidRPr="004C15AC">
              <w:rPr>
                <w:u w:val="single"/>
              </w:rPr>
              <w:t>,</w:t>
            </w:r>
            <w:r w:rsidR="00BE14CE" w:rsidRPr="004C15AC">
              <w:t xml:space="preserve"> however pricing negotiation</w:t>
            </w:r>
            <w:r w:rsidR="00BE14CE" w:rsidRPr="004C15AC">
              <w:fldChar w:fldCharType="begin"/>
            </w:r>
            <w:r w:rsidR="00BE14CE" w:rsidRPr="004C15AC">
              <w:instrText xml:space="preserve"> XE "price </w:instrText>
            </w:r>
            <w:proofErr w:type="spellStart"/>
            <w:r w:rsidR="00BE14CE" w:rsidRPr="004C15AC">
              <w:instrText>negotiation:pricing</w:instrText>
            </w:r>
            <w:proofErr w:type="spellEnd"/>
            <w:r w:rsidR="00BE14CE" w:rsidRPr="004C15AC">
              <w:instrText xml:space="preserve"> negotiation" \b </w:instrText>
            </w:r>
            <w:r w:rsidR="00BE14CE" w:rsidRPr="004C15AC">
              <w:fldChar w:fldCharType="end"/>
            </w:r>
            <w:r w:rsidR="00BE14CE" w:rsidRPr="004C15AC">
              <w:t xml:space="preserve"> would (optionally) occur after the provision of early PBAC ESC advice, prior to HTA Committee consideration.</w:t>
            </w:r>
          </w:p>
          <w:p w14:paraId="22C4F88A" w14:textId="77777777" w:rsidR="00BE14CE" w:rsidRPr="004C15AC" w:rsidRDefault="00BE14CE" w:rsidP="00DD29A1">
            <w:pPr>
              <w:spacing w:after="120" w:line="259" w:lineRule="auto"/>
              <w:contextualSpacing/>
            </w:pPr>
            <w:proofErr w:type="gramStart"/>
            <w:r w:rsidRPr="004C15AC">
              <w:t>In order to</w:t>
            </w:r>
            <w:proofErr w:type="gramEnd"/>
            <w:r w:rsidRPr="004C15AC">
              <w:t xml:space="preserve"> provide greater certainty to PBAC and provide the ability to recommend/not recommend at the negotiated price, price negotiation</w:t>
            </w:r>
            <w:r w:rsidRPr="004C15AC">
              <w:fldChar w:fldCharType="begin"/>
            </w:r>
            <w:r w:rsidRPr="004C15AC">
              <w:instrText xml:space="preserve"> XE "price negotiation" \b </w:instrText>
            </w:r>
            <w:r w:rsidRPr="004C15AC">
              <w:fldChar w:fldCharType="end"/>
            </w:r>
            <w:r w:rsidRPr="004C15AC">
              <w:t xml:space="preserve"> could be included earlier in the evaluation cycle. Advice from the ESC would more actively indicate to sponsors and the Department that the product is unlikely to be considered cost-effective at the proposed price; this would serve as a trigger for price negotiations to be conducted concurrently. Additionally, as the negotiated price would be included in the economic model at the time of consideration PBAC can have greater certainty in its decision-making. </w:t>
            </w:r>
          </w:p>
          <w:p w14:paraId="797F7F86" w14:textId="77777777" w:rsidR="00BE14CE" w:rsidRPr="004C15AC" w:rsidRDefault="00BE14CE" w:rsidP="00DD29A1">
            <w:pPr>
              <w:spacing w:after="120" w:line="259" w:lineRule="auto"/>
              <w:contextualSpacing/>
              <w:jc w:val="center"/>
              <w:rPr>
                <w:b/>
                <w:u w:val="single"/>
              </w:rPr>
            </w:pPr>
            <w:r w:rsidRPr="004C15AC">
              <w:rPr>
                <w:b/>
                <w:u w:val="single"/>
              </w:rPr>
              <w:t>OR</w:t>
            </w:r>
          </w:p>
          <w:p w14:paraId="2B4C3D21" w14:textId="77777777" w:rsidR="00BE14CE" w:rsidRPr="004C15AC" w:rsidRDefault="00BE14CE" w:rsidP="00DD29A1">
            <w:pPr>
              <w:spacing w:after="120" w:line="259" w:lineRule="auto"/>
              <w:contextualSpacing/>
              <w:rPr>
                <w:b/>
                <w:u w:val="single"/>
              </w:rPr>
            </w:pPr>
          </w:p>
          <w:p w14:paraId="26D1E1CC" w14:textId="2228EB7A" w:rsidR="00BE14CE" w:rsidRPr="004C15AC" w:rsidRDefault="00BE14CE" w:rsidP="00DD29A1">
            <w:pPr>
              <w:spacing w:after="120" w:line="259" w:lineRule="auto"/>
              <w:contextualSpacing/>
              <w:rPr>
                <w:u w:val="single"/>
              </w:rPr>
            </w:pPr>
            <w:r w:rsidRPr="004C15AC">
              <w:rPr>
                <w:u w:val="single"/>
              </w:rPr>
              <w:t xml:space="preserve">Alternative option 4: Introducing an optional resolution step </w:t>
            </w:r>
            <w:r w:rsidRPr="004C15AC">
              <w:rPr>
                <w:b/>
                <w:u w:val="single"/>
              </w:rPr>
              <w:t>after</w:t>
            </w:r>
            <w:r w:rsidRPr="004C15AC">
              <w:rPr>
                <w:u w:val="single"/>
              </w:rPr>
              <w:t xml:space="preserve"> HTA committee consideration but </w:t>
            </w:r>
            <w:r w:rsidRPr="004C15AC">
              <w:rPr>
                <w:b/>
                <w:u w:val="single"/>
              </w:rPr>
              <w:t>before</w:t>
            </w:r>
            <w:r w:rsidRPr="004C15AC">
              <w:rPr>
                <w:u w:val="single"/>
              </w:rPr>
              <w:t xml:space="preserve"> advice is finalised</w:t>
            </w:r>
            <w:r w:rsidR="000304C8" w:rsidRPr="004C15AC">
              <w:rPr>
                <w:u w:val="single"/>
              </w:rPr>
              <w:t>.</w:t>
            </w:r>
          </w:p>
          <w:p w14:paraId="5CD01B89" w14:textId="77777777" w:rsidR="00BE14CE" w:rsidRPr="004C15AC" w:rsidRDefault="00BE14CE" w:rsidP="008505D7">
            <w:pPr>
              <w:numPr>
                <w:ilvl w:val="0"/>
                <w:numId w:val="155"/>
              </w:numPr>
              <w:spacing w:after="120" w:line="259" w:lineRule="auto"/>
              <w:ind w:left="357" w:hanging="357"/>
              <w:contextualSpacing/>
            </w:pPr>
            <w:r w:rsidRPr="004C15AC">
              <w:t>After the HTA committee has considered the submission, the sponsor is provided information on a provisional negative recommendation by the HTA committee and the option to either:</w:t>
            </w:r>
          </w:p>
          <w:p w14:paraId="36BD3B19" w14:textId="77777777" w:rsidR="00BE14CE" w:rsidRPr="004C15AC" w:rsidRDefault="00BE14CE" w:rsidP="008505D7">
            <w:pPr>
              <w:numPr>
                <w:ilvl w:val="0"/>
                <w:numId w:val="153"/>
              </w:numPr>
              <w:spacing w:after="120" w:line="259" w:lineRule="auto"/>
              <w:contextualSpacing/>
            </w:pPr>
            <w:r w:rsidRPr="004C15AC">
              <w:t>undertake a resolution process to address identified deficiencies/technical concerns under a set/time-limited period (</w:t>
            </w:r>
            <w:proofErr w:type="gramStart"/>
            <w:r w:rsidRPr="004C15AC">
              <w:t>e.g.</w:t>
            </w:r>
            <w:proofErr w:type="gramEnd"/>
            <w:r w:rsidRPr="004C15AC">
              <w:t xml:space="preserve"> up to maximum of one HTA cycle length of ~17 weeks), before progressing to the HTA Committee for a second consideration, or </w:t>
            </w:r>
          </w:p>
          <w:p w14:paraId="1491103E" w14:textId="77777777" w:rsidR="00BE14CE" w:rsidRPr="004C15AC" w:rsidRDefault="00BE14CE" w:rsidP="008505D7">
            <w:pPr>
              <w:numPr>
                <w:ilvl w:val="0"/>
                <w:numId w:val="153"/>
              </w:numPr>
              <w:spacing w:after="120" w:line="259" w:lineRule="auto"/>
              <w:contextualSpacing/>
            </w:pPr>
            <w:r w:rsidRPr="004C15AC">
              <w:t>agree to ratify the negative recommendation and exit the HTA cycle.</w:t>
            </w:r>
          </w:p>
          <w:p w14:paraId="1C28CC0E" w14:textId="77777777" w:rsidR="00BE14CE" w:rsidRPr="004C15AC" w:rsidRDefault="00BE14CE" w:rsidP="008505D7">
            <w:pPr>
              <w:numPr>
                <w:ilvl w:val="0"/>
                <w:numId w:val="155"/>
              </w:numPr>
              <w:spacing w:after="120" w:line="259" w:lineRule="auto"/>
              <w:ind w:left="357" w:hanging="357"/>
              <w:contextualSpacing/>
            </w:pPr>
            <w:r w:rsidRPr="004C15AC">
              <w:t xml:space="preserve">With this approach, the relevant advisory committee members, evaluators, Departmental </w:t>
            </w:r>
            <w:proofErr w:type="gramStart"/>
            <w:r w:rsidRPr="004C15AC">
              <w:t>staff</w:t>
            </w:r>
            <w:proofErr w:type="gramEnd"/>
            <w:r w:rsidRPr="004C15AC">
              <w:t xml:space="preserve"> and the sponsor would meet and work towards addressing deficiencies / technical concerns. </w:t>
            </w:r>
          </w:p>
          <w:p w14:paraId="6428EB08" w14:textId="77777777" w:rsidR="00BE14CE" w:rsidRPr="004C15AC" w:rsidRDefault="00BE14CE" w:rsidP="008505D7">
            <w:pPr>
              <w:numPr>
                <w:ilvl w:val="0"/>
                <w:numId w:val="155"/>
              </w:numPr>
              <w:spacing w:after="120" w:line="259" w:lineRule="auto"/>
              <w:ind w:left="357" w:hanging="357"/>
              <w:contextualSpacing/>
            </w:pPr>
            <w:r w:rsidRPr="004C15AC">
              <w:t xml:space="preserve">Following the resolution process, the submission would go to the HTA committee where a recommendation to the Minister would be made regarding the listing. </w:t>
            </w:r>
          </w:p>
          <w:p w14:paraId="10CD89B8" w14:textId="77777777" w:rsidR="00BE14CE" w:rsidRPr="004C15AC" w:rsidRDefault="00BE14CE" w:rsidP="008505D7">
            <w:pPr>
              <w:numPr>
                <w:ilvl w:val="0"/>
                <w:numId w:val="155"/>
              </w:numPr>
              <w:spacing w:after="120" w:line="259" w:lineRule="auto"/>
              <w:ind w:left="357" w:hanging="357"/>
              <w:contextualSpacing/>
            </w:pPr>
            <w:r w:rsidRPr="004C15AC">
              <w:t>This would be a time limited process running contemporaneously with the TGA assessment, resulting in expedited access.</w:t>
            </w:r>
          </w:p>
          <w:p w14:paraId="52506656" w14:textId="42E7CDB3" w:rsidR="00BE14CE" w:rsidRPr="002F7EBE" w:rsidRDefault="2842E27D" w:rsidP="008C10BB">
            <w:pPr>
              <w:spacing w:after="120" w:line="259" w:lineRule="auto"/>
              <w:rPr>
                <w:rFonts w:eastAsia="Times New Roman" w:cs="Segoe UI"/>
                <w:b/>
                <w:bCs/>
                <w:color w:val="222A35"/>
                <w:kern w:val="24"/>
                <w:lang w:eastAsia="en-AU"/>
              </w:rPr>
            </w:pPr>
            <w:r>
              <w:t xml:space="preserve">5.  </w:t>
            </w:r>
            <w:r w:rsidR="6285D26A">
              <w:t>If</w:t>
            </w:r>
            <w:r w:rsidR="00BE14CE" w:rsidRPr="004C15AC">
              <w:t xml:space="preserve"> the application is not recommended the second time it is considered by the HTA committee, there will be no immediate opportunities to submit revisions and the </w:t>
            </w:r>
            <w:r w:rsidR="00BE14CE" w:rsidRPr="004C15AC">
              <w:lastRenderedPageBreak/>
              <w:t>sponsor and the Department will meet to determine future opportunities for independent arbitration, and criteria for future submissions.</w:t>
            </w:r>
          </w:p>
        </w:tc>
      </w:tr>
    </w:tbl>
    <w:p w14:paraId="2B0C8DCF" w14:textId="50C5AE1F" w:rsidR="37B0406F" w:rsidRDefault="37B0406F" w:rsidP="00BA1110"/>
    <w:tbl>
      <w:tblPr>
        <w:tblStyle w:val="TableGrid"/>
        <w:tblW w:w="9356" w:type="dxa"/>
        <w:tblLook w:val="04A0" w:firstRow="1" w:lastRow="0" w:firstColumn="1" w:lastColumn="0" w:noHBand="0" w:noVBand="1"/>
      </w:tblPr>
      <w:tblGrid>
        <w:gridCol w:w="9356"/>
      </w:tblGrid>
      <w:tr w:rsidR="00A33AB8" w14:paraId="37A6744F" w14:textId="77777777" w:rsidTr="00F50BAA">
        <w:tc>
          <w:tcPr>
            <w:tcW w:w="9356" w:type="dxa"/>
            <w:tcBorders>
              <w:top w:val="single" w:sz="18" w:space="0" w:color="ACC02A" w:themeColor="accent5"/>
              <w:left w:val="nil"/>
              <w:bottom w:val="nil"/>
              <w:right w:val="nil"/>
            </w:tcBorders>
            <w:shd w:val="clear" w:color="auto" w:fill="F2F2F2" w:themeFill="background1" w:themeFillShade="F2"/>
          </w:tcPr>
          <w:p w14:paraId="3C1898BF" w14:textId="77777777" w:rsidR="00A33AB8" w:rsidRDefault="00A33AB8" w:rsidP="008C10BB">
            <w:pPr>
              <w:spacing w:line="259" w:lineRule="auto"/>
              <w:rPr>
                <w:rFonts w:eastAsia="Times New Roman" w:cs="Segoe UI"/>
                <w:b/>
                <w:bCs/>
                <w:color w:val="222A35"/>
                <w:lang w:eastAsia="en-AU"/>
              </w:rPr>
            </w:pPr>
            <w:r w:rsidRPr="084BF5CF">
              <w:rPr>
                <w:rFonts w:eastAsia="Times New Roman" w:cs="Segoe UI"/>
                <w:b/>
                <w:bCs/>
                <w:color w:val="222A35"/>
                <w:lang w:eastAsia="en-AU"/>
              </w:rPr>
              <w:t>Expanding resolution step to all relevant cost effectiveness submissions</w:t>
            </w:r>
          </w:p>
          <w:p w14:paraId="61348A31" w14:textId="0C3B76C7" w:rsidR="00A33AB8" w:rsidRPr="00F411EB" w:rsidRDefault="00A33AB8" w:rsidP="008C10BB">
            <w:pPr>
              <w:spacing w:after="120" w:line="259" w:lineRule="auto"/>
              <w:rPr>
                <w:rFonts w:cs="Segoe UI"/>
                <w:b/>
                <w:bCs/>
              </w:rPr>
            </w:pPr>
            <w:r w:rsidRPr="084BF5CF">
              <w:rPr>
                <w:rFonts w:eastAsia="Times New Roman" w:cs="Segoe UI"/>
                <w:color w:val="222A35"/>
                <w:lang w:eastAsia="en-AU"/>
              </w:rPr>
              <w:t>After piloting with therapies with HATV in areas of HUCN</w:t>
            </w:r>
            <w:r w:rsidR="00D027D9">
              <w:rPr>
                <w:rFonts w:eastAsia="Times New Roman" w:cs="Segoe UI"/>
                <w:color w:val="222A35"/>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color w:val="222A35"/>
                <w:lang w:eastAsia="en-AU"/>
              </w:rPr>
              <w:fldChar w:fldCharType="end"/>
            </w:r>
            <w:r w:rsidRPr="084BF5CF">
              <w:rPr>
                <w:rFonts w:eastAsia="Times New Roman" w:cs="Segoe UI"/>
                <w:color w:val="222A35"/>
                <w:lang w:eastAsia="en-AU"/>
              </w:rPr>
              <w:t xml:space="preserve"> the early resolution</w:t>
            </w:r>
            <w:r w:rsidR="00336A3C">
              <w:rPr>
                <w:rFonts w:eastAsia="Times New Roman" w:cs="Segoe UI"/>
                <w:color w:val="222A35"/>
                <w:lang w:eastAsia="en-AU"/>
              </w:rPr>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rPr>
                <w:rFonts w:eastAsia="Times New Roman" w:cs="Segoe UI"/>
                <w:color w:val="222A35"/>
                <w:lang w:eastAsia="en-AU"/>
              </w:rPr>
              <w:fldChar w:fldCharType="end"/>
            </w:r>
            <w:r w:rsidRPr="084BF5CF">
              <w:rPr>
                <w:rFonts w:eastAsia="Times New Roman" w:cs="Segoe UI"/>
                <w:color w:val="222A35"/>
                <w:lang w:eastAsia="en-AU"/>
              </w:rPr>
              <w:t xml:space="preserve"> step could be expanded to other relevant cost effectiveness submissions.  </w:t>
            </w:r>
          </w:p>
        </w:tc>
      </w:tr>
    </w:tbl>
    <w:p w14:paraId="2439EB9B" w14:textId="77777777" w:rsidR="00A33AB8" w:rsidRDefault="00A33AB8" w:rsidP="00BA1110"/>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325D8E" w14:paraId="71CFFF76" w14:textId="77777777" w:rsidTr="00D965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8354698" w14:textId="46DDF264" w:rsidR="00325D8E" w:rsidRDefault="00325D8E" w:rsidP="008C10BB">
            <w:pPr>
              <w:spacing w:after="120" w:line="259" w:lineRule="auto"/>
              <w:rPr>
                <w:b/>
                <w:bCs/>
                <w:lang w:eastAsia="en-AU"/>
              </w:rPr>
            </w:pPr>
            <w:r w:rsidRPr="00325D8E">
              <w:rPr>
                <w:b/>
                <w:bCs/>
                <w:lang w:eastAsia="en-AU"/>
              </w:rPr>
              <w:t>Development of a disease specific common model (reference case) for disease areas with high active product development</w:t>
            </w:r>
            <w:r w:rsidRPr="00075A05">
              <w:rPr>
                <w:b/>
                <w:bCs/>
                <w:lang w:eastAsia="en-AU"/>
              </w:rPr>
              <w:t xml:space="preserve"> </w:t>
            </w:r>
          </w:p>
          <w:p w14:paraId="30C3A666" w14:textId="5E017EAD" w:rsidR="00325D8E" w:rsidRPr="00075A05" w:rsidRDefault="39B9502C" w:rsidP="008C10BB">
            <w:pPr>
              <w:spacing w:line="259" w:lineRule="auto"/>
            </w:pPr>
            <w:r w:rsidRPr="307F5DD1">
              <w:rPr>
                <w:rFonts w:eastAsia="Times New Roman" w:cs="Segoe UI"/>
                <w:lang w:eastAsia="en-AU"/>
              </w:rPr>
              <w:t>Develop and adopt a consistent model structure for specified disease areas where there are many potential therapies / technologies under development (as identified through horizon scanning</w:t>
            </w:r>
            <w:r w:rsidR="00953783">
              <w:rPr>
                <w:rFonts w:eastAsia="Times New Roman" w:cs="Segoe UI"/>
                <w:lang w:eastAsia="en-AU"/>
              </w:rPr>
              <w:fldChar w:fldCharType="begin"/>
            </w:r>
            <w:r w:rsidR="00953783">
              <w:instrText xml:space="preserve"> XE "</w:instrText>
            </w:r>
            <w:r w:rsidR="00953783" w:rsidRPr="00E51D8C">
              <w:instrText>horizon scanning</w:instrText>
            </w:r>
            <w:r w:rsidR="00953783">
              <w:instrText xml:space="preserve">" </w:instrText>
            </w:r>
            <w:r w:rsidR="00953783">
              <w:rPr>
                <w:rFonts w:eastAsia="Times New Roman" w:cs="Segoe UI"/>
                <w:lang w:eastAsia="en-AU"/>
              </w:rPr>
              <w:fldChar w:fldCharType="end"/>
            </w:r>
            <w:r w:rsidRPr="307F5DD1">
              <w:rPr>
                <w:rFonts w:eastAsia="Times New Roman" w:cs="Segoe UI"/>
                <w:lang w:eastAsia="en-AU"/>
              </w:rPr>
              <w:t xml:space="preserve">). This should include input from a wide range of stakeholders to ensure a comprehensive representation of the disease area. Disease specific models would include outlining the analytic methods, the model structure, and some parameters. This would enhance consistency in decision-making through increased comparability of models across different technologies for the same disease/condition. As the development of disease-specific models would require significant investment to develop, they would only be used for disease areas where many subsequent submissions would utilise the model. </w:t>
            </w:r>
          </w:p>
          <w:p w14:paraId="437F543A" w14:textId="10097764" w:rsidR="00325D8E" w:rsidRPr="00075A05" w:rsidRDefault="39B9502C" w:rsidP="008C10BB">
            <w:pPr>
              <w:spacing w:line="259" w:lineRule="auto"/>
            </w:pPr>
            <w:r w:rsidRPr="307F5DD1">
              <w:rPr>
                <w:rFonts w:eastAsia="Times New Roman" w:cs="Segoe UI"/>
                <w:lang w:eastAsia="en-AU"/>
              </w:rPr>
              <w:t xml:space="preserve"> </w:t>
            </w:r>
          </w:p>
          <w:p w14:paraId="66F28E92" w14:textId="392C3058" w:rsidR="00325D8E" w:rsidRPr="00075A05" w:rsidRDefault="39B9502C" w:rsidP="008C10BB">
            <w:pPr>
              <w:spacing w:line="259" w:lineRule="auto"/>
            </w:pPr>
            <w:r w:rsidRPr="307F5DD1">
              <w:rPr>
                <w:rFonts w:eastAsia="Times New Roman" w:cs="Segoe UI"/>
                <w:lang w:eastAsia="en-AU"/>
              </w:rPr>
              <w:t xml:space="preserve">Additionally, further investment will be required to maintain the models over time to ensure they are current and relevant for the treatments and disease pathways for which they are intended. These models will also enable re-assessment of health technologies (post market review) after PBS listing. </w:t>
            </w:r>
          </w:p>
          <w:p w14:paraId="6EE211C1" w14:textId="2A12279A" w:rsidR="00325D8E" w:rsidRPr="00075A05" w:rsidRDefault="00BF2B9F" w:rsidP="008C10BB">
            <w:pPr>
              <w:spacing w:line="259" w:lineRule="auto"/>
            </w:pPr>
            <w:r w:rsidRPr="00325D8E">
              <w:rPr>
                <w:rFonts w:eastAsia="Times New Roman" w:cs="Segoe UI"/>
                <w:lang w:eastAsia="en-AU"/>
              </w:rPr>
              <w:t>Australia should investigate international collaboration</w:t>
            </w:r>
            <w:r w:rsidR="00306661">
              <w:rPr>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lang w:eastAsia="en-AU"/>
              </w:rPr>
              <w:fldChar w:fldCharType="end"/>
            </w:r>
            <w:r w:rsidRPr="00325D8E">
              <w:rPr>
                <w:rFonts w:eastAsia="Times New Roman" w:cs="Segoe UI"/>
                <w:lang w:eastAsia="en-AU"/>
              </w:rPr>
              <w:t xml:space="preserve"> on the development of </w:t>
            </w:r>
            <w:r w:rsidR="39B9502C" w:rsidRPr="307F5DD1">
              <w:rPr>
                <w:rFonts w:eastAsia="Times New Roman" w:cs="Segoe UI"/>
                <w:lang w:eastAsia="en-AU"/>
              </w:rPr>
              <w:t xml:space="preserve">disease-specific </w:t>
            </w:r>
            <w:r w:rsidRPr="00325D8E">
              <w:rPr>
                <w:rFonts w:eastAsia="Times New Roman" w:cs="Segoe UI"/>
                <w:lang w:eastAsia="en-AU"/>
              </w:rPr>
              <w:t>common models.</w:t>
            </w:r>
            <w:r w:rsidR="00325D8E" w:rsidRPr="00862DFF">
              <w:rPr>
                <w:rFonts w:eastAsia="Times New Roman" w:cs="Segoe UI"/>
                <w:lang w:eastAsia="en-AU"/>
              </w:rPr>
              <w:t xml:space="preserve"> </w:t>
            </w:r>
          </w:p>
        </w:tc>
      </w:tr>
    </w:tbl>
    <w:p w14:paraId="3F03F8D6" w14:textId="4EB6F251" w:rsidR="5FED73A9" w:rsidRDefault="5FED73A9" w:rsidP="00FD1F87">
      <w:pPr>
        <w:spacing w:after="0"/>
      </w:pPr>
    </w:p>
    <w:tbl>
      <w:tblPr>
        <w:tblStyle w:val="TableGrid"/>
        <w:tblW w:w="9128" w:type="dxa"/>
        <w:tblCellMar>
          <w:top w:w="113" w:type="dxa"/>
          <w:bottom w:w="113" w:type="dxa"/>
        </w:tblCellMar>
        <w:tblLook w:val="04A0" w:firstRow="1" w:lastRow="0" w:firstColumn="1" w:lastColumn="0" w:noHBand="0" w:noVBand="1"/>
      </w:tblPr>
      <w:tblGrid>
        <w:gridCol w:w="9128"/>
      </w:tblGrid>
      <w:tr w:rsidR="00614AB5" w14:paraId="577C7911" w14:textId="77777777" w:rsidTr="00D965C5">
        <w:trPr>
          <w:trHeight w:val="938"/>
        </w:trPr>
        <w:tc>
          <w:tcPr>
            <w:tcW w:w="9128" w:type="dxa"/>
            <w:tcBorders>
              <w:top w:val="single" w:sz="18" w:space="0" w:color="ACC02A" w:themeColor="accent5"/>
              <w:left w:val="nil"/>
              <w:bottom w:val="nil"/>
              <w:right w:val="nil"/>
            </w:tcBorders>
            <w:shd w:val="clear" w:color="auto" w:fill="F2F2F2" w:themeFill="background1" w:themeFillShade="F2"/>
          </w:tcPr>
          <w:p w14:paraId="34D5EFE2" w14:textId="05CA2ACB" w:rsidR="00614AB5" w:rsidRDefault="00A458C3" w:rsidP="008C10BB">
            <w:pPr>
              <w:spacing w:line="259" w:lineRule="auto"/>
              <w:rPr>
                <w:rFonts w:eastAsia="Times New Roman" w:cs="Segoe UI"/>
                <w:b/>
                <w:bCs/>
                <w:color w:val="222A35"/>
                <w:kern w:val="24"/>
                <w:lang w:eastAsia="en-AU"/>
              </w:rPr>
            </w:pPr>
            <w:r w:rsidRPr="00A458C3">
              <w:rPr>
                <w:rFonts w:eastAsia="Times New Roman" w:cs="Segoe UI"/>
                <w:b/>
                <w:bCs/>
                <w:color w:val="222A35"/>
                <w:kern w:val="24"/>
                <w:lang w:eastAsia="en-AU"/>
              </w:rPr>
              <w:t xml:space="preserve">Decouple the TGA </w:t>
            </w:r>
            <w:r w:rsidR="0041490B">
              <w:rPr>
                <w:rFonts w:eastAsia="Times New Roman" w:cs="Segoe UI"/>
                <w:b/>
                <w:bCs/>
                <w:color w:val="222A35"/>
                <w:kern w:val="24"/>
                <w:lang w:eastAsia="en-AU"/>
              </w:rPr>
              <w:t>d</w:t>
            </w:r>
            <w:r w:rsidRPr="00A458C3">
              <w:rPr>
                <w:rFonts w:eastAsia="Times New Roman" w:cs="Segoe UI"/>
                <w:b/>
                <w:bCs/>
                <w:color w:val="222A35"/>
                <w:kern w:val="24"/>
                <w:lang w:eastAsia="en-AU"/>
              </w:rPr>
              <w:t xml:space="preserve">elegate’s overview from the PBAC </w:t>
            </w:r>
            <w:proofErr w:type="gramStart"/>
            <w:r w:rsidRPr="00A458C3">
              <w:rPr>
                <w:rFonts w:eastAsia="Times New Roman" w:cs="Segoe UI"/>
                <w:b/>
                <w:bCs/>
                <w:color w:val="222A35"/>
                <w:kern w:val="24"/>
                <w:lang w:eastAsia="en-AU"/>
              </w:rPr>
              <w:t>meeting</w:t>
            </w:r>
            <w:proofErr w:type="gramEnd"/>
          </w:p>
          <w:p w14:paraId="27252801" w14:textId="17ABEE4C" w:rsidR="00A458C3" w:rsidRPr="00A458C3" w:rsidRDefault="001F5D4E" w:rsidP="008C10BB">
            <w:pPr>
              <w:spacing w:line="259" w:lineRule="auto"/>
              <w:rPr>
                <w:rFonts w:cs="Segoe UI"/>
                <w:b/>
                <w:bCs/>
              </w:rPr>
            </w:pPr>
            <w:r w:rsidRPr="001F5D4E">
              <w:rPr>
                <w:rFonts w:eastAsia="Times New Roman" w:cs="Segoe UI"/>
                <w:color w:val="222A35"/>
                <w:kern w:val="24"/>
                <w:lang w:eastAsia="en-AU"/>
              </w:rPr>
              <w:t xml:space="preserve">Enable full parallel processing of TGA and PBAC submissions by enabling the PBAC to communicate its likely advice to sponsors prior to receiving the TGA delegate’s overview. The PBAC’s final advice to Government, and resulting funding arrangements, would still be required to be consistent with the TGA delegate’s overview and ARTG listing. </w:t>
            </w:r>
          </w:p>
        </w:tc>
      </w:tr>
    </w:tbl>
    <w:p w14:paraId="03A30763" w14:textId="37EBD569" w:rsidR="4E9C9705" w:rsidRDefault="4E9C9705" w:rsidP="004C55E7"/>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DF04B3" w14:paraId="5785CAA4" w14:textId="77777777" w:rsidTr="00D965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B0FDE7F" w14:textId="77777777" w:rsidR="00DF04B3" w:rsidRDefault="00DF04B3" w:rsidP="008C10BB">
            <w:pPr>
              <w:spacing w:after="120" w:line="259" w:lineRule="auto"/>
              <w:rPr>
                <w:b/>
                <w:bCs/>
                <w:lang w:eastAsia="en-AU"/>
              </w:rPr>
            </w:pPr>
            <w:r w:rsidRPr="006D342D">
              <w:rPr>
                <w:b/>
                <w:bCs/>
                <w:lang w:eastAsia="en-AU"/>
              </w:rPr>
              <w:lastRenderedPageBreak/>
              <w:t>Case manager</w:t>
            </w:r>
          </w:p>
          <w:p w14:paraId="1AD77A91" w14:textId="76F233A7" w:rsidR="00DF04B3" w:rsidRPr="00075A05" w:rsidRDefault="224EAC94" w:rsidP="008C10BB">
            <w:pPr>
              <w:spacing w:line="259" w:lineRule="auto"/>
            </w:pPr>
            <w:r w:rsidRPr="5CE7AAA5">
              <w:rPr>
                <w:rFonts w:eastAsia="Times New Roman" w:cs="Segoe UI"/>
                <w:lang w:eastAsia="en-AU"/>
              </w:rPr>
              <w:t>Resourcing to support allocation of</w:t>
            </w:r>
            <w:r w:rsidR="00DF04B3" w:rsidRPr="006D342D">
              <w:rPr>
                <w:rFonts w:eastAsia="Times New Roman" w:cs="Segoe UI"/>
                <w:lang w:eastAsia="en-AU"/>
              </w:rPr>
              <w:t xml:space="preserve"> a case manager to facilitate communication and information sharing between the </w:t>
            </w:r>
            <w:r w:rsidR="003A389E">
              <w:rPr>
                <w:rFonts w:eastAsia="Times New Roman" w:cs="Segoe UI"/>
                <w:lang w:eastAsia="en-AU"/>
              </w:rPr>
              <w:t>D</w:t>
            </w:r>
            <w:r w:rsidR="00DF04B3" w:rsidRPr="006D342D">
              <w:rPr>
                <w:rFonts w:eastAsia="Times New Roman" w:cs="Segoe UI"/>
                <w:lang w:eastAsia="en-AU"/>
              </w:rPr>
              <w:t xml:space="preserve">epartment and applicant for </w:t>
            </w:r>
            <w:r w:rsidRPr="5CE7AAA5">
              <w:rPr>
                <w:rFonts w:eastAsia="Times New Roman" w:cs="Segoe UI"/>
                <w:lang w:eastAsia="en-AU"/>
              </w:rPr>
              <w:t>cost-utility analysis</w:t>
            </w:r>
            <w:r w:rsidR="00E54B6A">
              <w:rPr>
                <w:rFonts w:eastAsia="Times New Roman" w:cs="Segoe UI"/>
                <w:lang w:eastAsia="en-AU"/>
              </w:rPr>
              <w:fldChar w:fldCharType="begin"/>
            </w:r>
            <w:r w:rsidR="00E54B6A">
              <w:instrText xml:space="preserve"> XE "</w:instrText>
            </w:r>
            <w:r w:rsidR="00E54B6A" w:rsidRPr="00E57812">
              <w:rPr>
                <w:rFonts w:eastAsia="Times New Roman" w:cs="Segoe UI"/>
                <w:lang w:eastAsia="en-AU"/>
              </w:rPr>
              <w:instrText>cost-utility analysis</w:instrText>
            </w:r>
            <w:r w:rsidR="00E54B6A">
              <w:instrText xml:space="preserve">" </w:instrText>
            </w:r>
            <w:r w:rsidR="00E54B6A">
              <w:rPr>
                <w:rFonts w:eastAsia="Times New Roman" w:cs="Segoe UI"/>
                <w:lang w:eastAsia="en-AU"/>
              </w:rPr>
              <w:fldChar w:fldCharType="end"/>
            </w:r>
            <w:r w:rsidRPr="5CE7AAA5">
              <w:rPr>
                <w:rFonts w:eastAsia="Times New Roman" w:cs="Segoe UI"/>
                <w:lang w:eastAsia="en-AU"/>
              </w:rPr>
              <w:t xml:space="preserve"> (</w:t>
            </w:r>
            <w:r w:rsidR="00DF04B3" w:rsidRPr="006D342D">
              <w:rPr>
                <w:rFonts w:eastAsia="Times New Roman" w:cs="Segoe UI"/>
                <w:lang w:eastAsia="en-AU"/>
              </w:rPr>
              <w:t>CUA</w:t>
            </w:r>
            <w:r w:rsidR="00F80646">
              <w:rPr>
                <w:rFonts w:eastAsia="Times New Roman" w:cs="Segoe UI"/>
                <w:lang w:eastAsia="en-AU"/>
              </w:rPr>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r w:rsidR="00F80646">
              <w:instrText xml:space="preserve">" </w:instrText>
            </w:r>
            <w:r w:rsidR="00F80646">
              <w:rPr>
                <w:rFonts w:eastAsia="Times New Roman" w:cs="Segoe UI"/>
                <w:lang w:eastAsia="en-AU"/>
              </w:rPr>
              <w:fldChar w:fldCharType="end"/>
            </w:r>
            <w:r w:rsidRPr="5CE7AAA5">
              <w:rPr>
                <w:rFonts w:eastAsia="Times New Roman" w:cs="Segoe UI"/>
                <w:lang w:eastAsia="en-AU"/>
              </w:rPr>
              <w:t>)/ cost effectiveness analysis (</w:t>
            </w:r>
            <w:r w:rsidR="00DF04B3" w:rsidRPr="006D342D">
              <w:rPr>
                <w:rFonts w:eastAsia="Times New Roman" w:cs="Segoe UI"/>
                <w:lang w:eastAsia="en-AU"/>
              </w:rPr>
              <w:t>CEA</w:t>
            </w:r>
            <w:r w:rsidR="00E54B6A">
              <w:rPr>
                <w:rFonts w:eastAsia="Times New Roman" w:cs="Segoe UI"/>
                <w:lang w:eastAsia="en-AU"/>
              </w:rPr>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rPr>
                <w:rFonts w:eastAsia="Times New Roman" w:cs="Segoe UI"/>
                <w:lang w:eastAsia="en-AU"/>
              </w:rPr>
              <w:fldChar w:fldCharType="end"/>
            </w:r>
            <w:r w:rsidRPr="5CE7AAA5">
              <w:rPr>
                <w:rFonts w:eastAsia="Times New Roman" w:cs="Segoe UI"/>
                <w:lang w:eastAsia="en-AU"/>
              </w:rPr>
              <w:t>)</w:t>
            </w:r>
            <w:r w:rsidR="00DF04B3" w:rsidRPr="006D342D">
              <w:rPr>
                <w:rFonts w:eastAsia="Times New Roman" w:cs="Segoe UI"/>
                <w:lang w:eastAsia="en-AU"/>
              </w:rPr>
              <w:t xml:space="preserve"> applications. This is to be modelled off the current case management approach used </w:t>
            </w:r>
            <w:r w:rsidR="007B09C1">
              <w:rPr>
                <w:rFonts w:eastAsia="Times New Roman" w:cs="Segoe UI"/>
                <w:lang w:eastAsia="en-AU"/>
              </w:rPr>
              <w:t>for</w:t>
            </w:r>
            <w:r w:rsidR="00DF04B3" w:rsidRPr="5CE7AAA5">
              <w:rPr>
                <w:rFonts w:eastAsia="Times New Roman" w:cs="Segoe UI"/>
                <w:lang w:eastAsia="en-AU"/>
              </w:rPr>
              <w:t xml:space="preserve"> </w:t>
            </w:r>
            <w:r w:rsidR="0060614B" w:rsidRPr="0060614B">
              <w:rPr>
                <w:rFonts w:eastAsia="Times New Roman" w:cs="Segoe UI"/>
                <w:lang w:eastAsia="en-AU"/>
              </w:rPr>
              <w:t>positive PBAC recommendation</w:t>
            </w:r>
            <w:r w:rsidR="0060614B">
              <w:rPr>
                <w:rFonts w:eastAsia="Times New Roman" w:cs="Segoe UI"/>
                <w:lang w:eastAsia="en-AU"/>
              </w:rPr>
              <w:t>s that progress through</w:t>
            </w:r>
            <w:r w:rsidR="00DF04B3" w:rsidRPr="006D342D">
              <w:rPr>
                <w:rFonts w:eastAsia="Times New Roman" w:cs="Segoe UI"/>
                <w:lang w:eastAsia="en-AU"/>
              </w:rPr>
              <w:t xml:space="preserve"> pricing pathway A. Submissions would be assigned a case manager from their notice of intent to make a submission. </w:t>
            </w:r>
            <w:r w:rsidRPr="5CE7AAA5">
              <w:rPr>
                <w:rFonts w:eastAsia="Times New Roman" w:cs="Segoe UI"/>
                <w:lang w:eastAsia="en-AU"/>
              </w:rPr>
              <w:t xml:space="preserve"> </w:t>
            </w:r>
          </w:p>
        </w:tc>
      </w:tr>
    </w:tbl>
    <w:p w14:paraId="0ECAE706" w14:textId="77777777" w:rsidR="006B0DB3" w:rsidRDefault="006B0DB3" w:rsidP="008C10BB">
      <w:pPr>
        <w:rPr>
          <w:color w:val="11427A"/>
        </w:rPr>
        <w:sectPr w:rsidR="006B0DB3" w:rsidSect="00566319">
          <w:headerReference w:type="default" r:id="rId151"/>
          <w:pgSz w:w="11906" w:h="16838"/>
          <w:pgMar w:top="709" w:right="1440" w:bottom="1440" w:left="1440" w:header="284" w:footer="708" w:gutter="0"/>
          <w:cols w:space="708"/>
          <w:docGrid w:linePitch="360"/>
        </w:sectPr>
      </w:pPr>
    </w:p>
    <w:bookmarkStart w:id="140" w:name="_Methods_for_HTA"/>
    <w:bookmarkStart w:id="141" w:name="_Ref156466681"/>
    <w:bookmarkStart w:id="142" w:name="_Toc157029078"/>
    <w:bookmarkStart w:id="143" w:name="_Toc157029490"/>
    <w:bookmarkStart w:id="144" w:name="_Toc157030182"/>
    <w:bookmarkEnd w:id="140"/>
    <w:p w14:paraId="668D2054" w14:textId="320ED48A" w:rsidR="000E1DBD" w:rsidRDefault="005D50A0" w:rsidP="008C10BB">
      <w:pPr>
        <w:pStyle w:val="Heading1"/>
        <w:spacing w:line="259" w:lineRule="auto"/>
        <w:ind w:left="709"/>
      </w:pPr>
      <w:r>
        <w:rPr>
          <w:noProof/>
        </w:rPr>
        <w:lastRenderedPageBreak/>
        <mc:AlternateContent>
          <mc:Choice Requires="wps">
            <w:drawing>
              <wp:anchor distT="0" distB="0" distL="114300" distR="114300" simplePos="0" relativeHeight="251632128" behindDoc="0" locked="0" layoutInCell="1" allowOverlap="1" wp14:anchorId="4ECA0A69" wp14:editId="7E335FE2">
                <wp:simplePos x="0" y="0"/>
                <wp:positionH relativeFrom="column">
                  <wp:posOffset>15447010</wp:posOffset>
                </wp:positionH>
                <wp:positionV relativeFrom="paragraph">
                  <wp:posOffset>-41217759</wp:posOffset>
                </wp:positionV>
                <wp:extent cx="0" cy="1349375"/>
                <wp:effectExtent l="19050" t="0" r="19050" b="22225"/>
                <wp:wrapNone/>
                <wp:docPr id="62" name="Straight Connector 62"/>
                <wp:cNvGraphicFramePr/>
                <a:graphic xmlns:a="http://schemas.openxmlformats.org/drawingml/2006/main">
                  <a:graphicData uri="http://schemas.microsoft.com/office/word/2010/wordprocessingShape">
                    <wps:wsp>
                      <wps:cNvCnPr/>
                      <wps:spPr>
                        <a:xfrm>
                          <a:off x="0" y="0"/>
                          <a:ext cx="0" cy="1349375"/>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CFC50" id="Straight Connector 6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3pt,-3245.5pt" to="1216.3pt,-3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" strokecolor="#1d437f [3204]" strokeweight="2.25pt">
                <v:stroke joinstyle="miter"/>
              </v:line>
            </w:pict>
          </mc:Fallback>
        </mc:AlternateContent>
      </w:r>
      <w:r w:rsidR="00A204D5" w:rsidRPr="001C5DDA">
        <w:t xml:space="preserve">Methods for </w:t>
      </w:r>
      <w:r w:rsidR="7B13E8B1" w:rsidRPr="49C6A15D">
        <w:t xml:space="preserve">HTA </w:t>
      </w:r>
      <w:r w:rsidR="000E1DBD" w:rsidRPr="001C5DDA">
        <w:t xml:space="preserve">for Australian </w:t>
      </w:r>
      <w:r w:rsidR="1579EE7C" w:rsidRPr="49C6A15D">
        <w:t>G</w:t>
      </w:r>
      <w:r w:rsidR="000E1DBD" w:rsidRPr="49C6A15D">
        <w:t xml:space="preserve">overnment </w:t>
      </w:r>
      <w:r w:rsidR="209D3EDA" w:rsidRPr="49C6A15D">
        <w:t>S</w:t>
      </w:r>
      <w:r w:rsidR="000E1DBD" w:rsidRPr="001C5DDA">
        <w:t>ubsidy</w:t>
      </w:r>
      <w:bookmarkEnd w:id="126"/>
      <w:r w:rsidR="000E1DBD" w:rsidRPr="001C5DDA">
        <w:t xml:space="preserve"> (technical methods)</w:t>
      </w:r>
      <w:bookmarkEnd w:id="141"/>
      <w:bookmarkEnd w:id="142"/>
      <w:bookmarkEnd w:id="143"/>
      <w:bookmarkEnd w:id="144"/>
    </w:p>
    <w:p w14:paraId="5D7046EF" w14:textId="6520B00D" w:rsidR="00A204D5" w:rsidRDefault="00A204D5" w:rsidP="008C10BB">
      <w:pPr>
        <w:pStyle w:val="Heading2"/>
        <w:spacing w:line="259" w:lineRule="auto"/>
        <w:ind w:left="709"/>
      </w:pPr>
      <w:bookmarkStart w:id="145" w:name="_Ref156418377"/>
      <w:bookmarkStart w:id="146" w:name="_Toc157029079"/>
      <w:bookmarkStart w:id="147" w:name="_Toc157029491"/>
      <w:bookmarkStart w:id="148" w:name="_Toc157030183"/>
      <w:bookmarkStart w:id="149" w:name="_Ref154076366"/>
      <w:r w:rsidRPr="00A204D5">
        <w:t>Determination of PICO</w:t>
      </w:r>
      <w:r w:rsidR="0068258A">
        <w:fldChar w:fldCharType="begin"/>
      </w:r>
      <w:r w:rsidR="0068258A">
        <w:instrText xml:space="preserve"> XE "</w:instrText>
      </w:r>
      <w:r w:rsidR="0068258A" w:rsidRPr="00F75973">
        <w:rPr>
          <w:color w:val="222A35"/>
          <w:kern w:val="24"/>
          <w:sz w:val="20"/>
          <w:szCs w:val="20"/>
          <w:lang w:eastAsia="en-AU"/>
        </w:rPr>
        <w:instrText>PICO</w:instrText>
      </w:r>
      <w:r w:rsidR="0068258A">
        <w:instrText xml:space="preserve">" \b </w:instrText>
      </w:r>
      <w:r w:rsidR="0068258A">
        <w:fldChar w:fldCharType="end"/>
      </w:r>
      <w:r w:rsidRPr="00A204D5">
        <w:t>: pre-assessment processes for selection of comparator</w:t>
      </w:r>
      <w:r w:rsidR="0091571D">
        <w:fldChar w:fldCharType="begin"/>
      </w:r>
      <w:r w:rsidR="0091571D">
        <w:instrText xml:space="preserve"> XE "</w:instrText>
      </w:r>
      <w:r w:rsidR="0091571D" w:rsidRPr="00325E5E">
        <w:rPr>
          <w:sz w:val="20"/>
          <w:szCs w:val="20"/>
          <w:lang w:eastAsia="en-AU"/>
        </w:rPr>
        <w:instrText>selection of comparator</w:instrText>
      </w:r>
      <w:r w:rsidR="0091571D">
        <w:instrText xml:space="preserve">" \b </w:instrText>
      </w:r>
      <w:r w:rsidR="0091571D">
        <w:fldChar w:fldCharType="end"/>
      </w:r>
      <w:r w:rsidRPr="00A204D5">
        <w:t>(s), and identifying the treatment population and outcomes of interest</w:t>
      </w:r>
      <w:bookmarkEnd w:id="145"/>
      <w:bookmarkEnd w:id="146"/>
      <w:bookmarkEnd w:id="147"/>
      <w:bookmarkEnd w:id="148"/>
    </w:p>
    <w:p w14:paraId="2237D894" w14:textId="45D4DA67" w:rsidR="00294F6D" w:rsidRPr="00117D66" w:rsidRDefault="00825D6E" w:rsidP="00117D66">
      <w:pPr>
        <w:ind w:left="284"/>
        <w:rPr>
          <w:rStyle w:val="Hyperlink"/>
          <w:iCs/>
        </w:rPr>
      </w:pPr>
      <w:r>
        <w:rPr>
          <w:iCs/>
          <w:noProof/>
        </w:rPr>
        <mc:AlternateContent>
          <mc:Choice Requires="wps">
            <w:drawing>
              <wp:anchor distT="0" distB="0" distL="114300" distR="114300" simplePos="0" relativeHeight="251697664" behindDoc="0" locked="0" layoutInCell="1" allowOverlap="1" wp14:anchorId="11CB6D8C" wp14:editId="3EB7E0D7">
                <wp:simplePos x="0" y="0"/>
                <wp:positionH relativeFrom="column">
                  <wp:posOffset>21771</wp:posOffset>
                </wp:positionH>
                <wp:positionV relativeFrom="paragraph">
                  <wp:posOffset>30025</wp:posOffset>
                </wp:positionV>
                <wp:extent cx="0" cy="1208315"/>
                <wp:effectExtent l="19050" t="0" r="19050" b="30480"/>
                <wp:wrapNone/>
                <wp:docPr id="1423232232" name="Straight Connector 1423232232"/>
                <wp:cNvGraphicFramePr/>
                <a:graphic xmlns:a="http://schemas.openxmlformats.org/drawingml/2006/main">
                  <a:graphicData uri="http://schemas.microsoft.com/office/word/2010/wordprocessingShape">
                    <wps:wsp>
                      <wps:cNvCnPr/>
                      <wps:spPr>
                        <a:xfrm>
                          <a:off x="0" y="0"/>
                          <a:ext cx="0" cy="1208315"/>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0977FDB" id="Straight Connector 1423232232"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7pt,2.35pt" to="1.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" strokecolor="#1d437f [3204]" strokeweight="2.25pt">
                <v:stroke joinstyle="miter"/>
              </v:line>
            </w:pict>
          </mc:Fallback>
        </mc:AlternateContent>
      </w:r>
      <w:r w:rsidR="005D32B1">
        <w:rPr>
          <w:iCs/>
        </w:rPr>
        <w:t>T</w:t>
      </w:r>
      <w:r w:rsidR="00C27933" w:rsidRPr="005D32B1">
        <w:rPr>
          <w:iCs/>
        </w:rPr>
        <w:t xml:space="preserve">his section should be read in conjunction with </w:t>
      </w:r>
      <w:r w:rsidR="005D32B1">
        <w:fldChar w:fldCharType="begin"/>
      </w:r>
      <w:r w:rsidR="005D32B1">
        <w:instrText xml:space="preserve"> HYPERLINK "https://www.health.gov.au/sites/default/files/2023-10/hta-policy-and-methods-review-draft-paper-determination-of-the-population-intervention-comparator-and-outcome-pico.pdf" </w:instrText>
      </w:r>
      <w:r w:rsidR="005D32B1">
        <w:fldChar w:fldCharType="separate"/>
      </w:r>
      <w:r w:rsidR="003B5B0A" w:rsidRPr="00117D66">
        <w:rPr>
          <w:rStyle w:val="Hyperlink"/>
        </w:rPr>
        <w:t>HTA Methods:</w:t>
      </w:r>
      <w:r w:rsidR="00294F6D" w:rsidRPr="00117D66">
        <w:rPr>
          <w:rStyle w:val="Hyperlink"/>
        </w:rPr>
        <w:t xml:space="preserve"> </w:t>
      </w:r>
      <w:r w:rsidR="003B5B0A" w:rsidRPr="00117D66">
        <w:rPr>
          <w:rStyle w:val="Hyperlink"/>
        </w:rPr>
        <w:t>Determination of the</w:t>
      </w:r>
      <w:r w:rsidR="00294F6D" w:rsidRPr="00117D66">
        <w:rPr>
          <w:rStyle w:val="Hyperlink"/>
        </w:rPr>
        <w:t xml:space="preserve"> </w:t>
      </w:r>
      <w:r w:rsidR="003B5B0A" w:rsidRPr="00117D66">
        <w:rPr>
          <w:rStyle w:val="Hyperlink"/>
        </w:rPr>
        <w:t>Population, Intervention</w:t>
      </w:r>
      <w:r w:rsidR="00294F6D" w:rsidRPr="00117D66">
        <w:rPr>
          <w:rStyle w:val="Hyperlink"/>
        </w:rPr>
        <w:t xml:space="preserve"> </w:t>
      </w:r>
      <w:r w:rsidR="003B5B0A" w:rsidRPr="00117D66">
        <w:rPr>
          <w:rStyle w:val="Hyperlink"/>
        </w:rPr>
        <w:t>Comparator, and</w:t>
      </w:r>
      <w:r w:rsidR="00294F6D" w:rsidRPr="00117D66">
        <w:rPr>
          <w:rStyle w:val="Hyperlink"/>
        </w:rPr>
        <w:t xml:space="preserve"> </w:t>
      </w:r>
      <w:r w:rsidR="003B5B0A" w:rsidRPr="00117D66">
        <w:rPr>
          <w:rStyle w:val="Hyperlink"/>
        </w:rPr>
        <w:t>Outcome (PICO</w:t>
      </w:r>
      <w:r w:rsidR="0068258A" w:rsidRPr="00117D66">
        <w:rPr>
          <w:rStyle w:val="Hyperlink"/>
        </w:rPr>
        <w:fldChar w:fldCharType="begin"/>
      </w:r>
      <w:r w:rsidR="0068258A" w:rsidRPr="005D32B1">
        <w:rPr>
          <w:rStyle w:val="Hyperlink"/>
          <w:iCs/>
        </w:rPr>
        <w:instrText xml:space="preserve"> XE "</w:instrText>
      </w:r>
      <w:r w:rsidR="0068258A" w:rsidRPr="00117D66">
        <w:rPr>
          <w:rStyle w:val="Hyperlink"/>
          <w:iCs/>
        </w:rPr>
        <w:instrText>PICO</w:instrText>
      </w:r>
      <w:r w:rsidR="0068258A" w:rsidRPr="005D32B1">
        <w:rPr>
          <w:rStyle w:val="Hyperlink"/>
          <w:iCs/>
        </w:rPr>
        <w:instrText xml:space="preserve">" \b </w:instrText>
      </w:r>
      <w:r w:rsidR="0068258A" w:rsidRPr="00117D66">
        <w:rPr>
          <w:rStyle w:val="Hyperlink"/>
        </w:rPr>
        <w:fldChar w:fldCharType="end"/>
      </w:r>
      <w:r w:rsidR="00294F6D" w:rsidRPr="00117D66">
        <w:rPr>
          <w:rStyle w:val="Hyperlink"/>
        </w:rPr>
        <w:t>)</w:t>
      </w:r>
      <w:r w:rsidR="00FC46CC" w:rsidRPr="00117D66">
        <w:rPr>
          <w:rStyle w:val="Hyperlink"/>
        </w:rPr>
        <w:t xml:space="preserve"> (Paper 3)</w:t>
      </w:r>
      <w:r w:rsidR="00294F6D" w:rsidRPr="00117D66">
        <w:rPr>
          <w:rStyle w:val="Hyperlink"/>
        </w:rPr>
        <w:t>.</w:t>
      </w:r>
      <w:bookmarkStart w:id="150" w:name="_Hlt157011585"/>
      <w:bookmarkEnd w:id="150"/>
    </w:p>
    <w:p w14:paraId="0694359C" w14:textId="7091DD5E" w:rsidR="00390E0D" w:rsidRPr="009D14F6" w:rsidRDefault="005D32B1" w:rsidP="00117D66">
      <w:pPr>
        <w:ind w:left="284"/>
        <w:rPr>
          <w:i/>
          <w:iCs/>
        </w:rPr>
      </w:pPr>
      <w:r>
        <w:fldChar w:fldCharType="end"/>
      </w:r>
      <w:r w:rsidR="00FA5871">
        <w:t xml:space="preserve">Note: </w:t>
      </w:r>
      <w:r w:rsidR="00390E0D" w:rsidRPr="00117D66">
        <w:t>This section relate</w:t>
      </w:r>
      <w:r w:rsidR="003A6323" w:rsidRPr="00117D66">
        <w:t>s</w:t>
      </w:r>
      <w:r w:rsidR="00390E0D" w:rsidRPr="00117D66">
        <w:t xml:space="preserve"> to the HTA Method of determining the PICO</w:t>
      </w:r>
      <w:r w:rsidR="0068258A" w:rsidRPr="00117D66">
        <w:fldChar w:fldCharType="begin"/>
      </w:r>
      <w:r w:rsidR="0068258A">
        <w:instrText xml:space="preserve"> XE "</w:instrText>
      </w:r>
      <w:r w:rsidR="0068258A" w:rsidRPr="00117D66">
        <w:instrText>PICO</w:instrText>
      </w:r>
      <w:r w:rsidR="0068258A">
        <w:instrText xml:space="preserve">" \b </w:instrText>
      </w:r>
      <w:r w:rsidR="0068258A" w:rsidRPr="00117D66">
        <w:fldChar w:fldCharType="end"/>
      </w:r>
      <w:r w:rsidR="00390E0D" w:rsidRPr="00117D66">
        <w:t xml:space="preserve">, for </w:t>
      </w:r>
      <w:r w:rsidR="00C31477" w:rsidRPr="00117D66">
        <w:t xml:space="preserve">additional content on the selection of the comparator see </w:t>
      </w:r>
      <w:hyperlink w:anchor="_Economic_evaluation_1" w:history="1">
        <w:r w:rsidR="00F6534C" w:rsidRPr="00697C63">
          <w:rPr>
            <w:rStyle w:val="Hyperlink"/>
            <w:color w:val="0A5073" w:themeColor="hyperlink" w:themeShade="BF"/>
          </w:rPr>
          <w:t>section on Economic Evalu</w:t>
        </w:r>
        <w:r w:rsidR="00697C63" w:rsidRPr="00697C63">
          <w:rPr>
            <w:rStyle w:val="Hyperlink"/>
            <w:color w:val="0A5073" w:themeColor="hyperlink" w:themeShade="BF"/>
          </w:rPr>
          <w:t>ation</w:t>
        </w:r>
      </w:hyperlink>
      <w:r w:rsidR="001C2235">
        <w:rPr>
          <w:color w:val="0E6B9A" w:themeColor="accent4" w:themeShade="BF"/>
          <w:u w:val="single"/>
        </w:rPr>
        <w:t xml:space="preserve"> </w:t>
      </w:r>
    </w:p>
    <w:p w14:paraId="650C46CD" w14:textId="740A500D" w:rsidR="004E65F6" w:rsidRDefault="00012E85" w:rsidP="00DF557A">
      <w:pPr>
        <w:pStyle w:val="Heading3"/>
      </w:pPr>
      <w:bookmarkStart w:id="151" w:name="_Toc157029080"/>
      <w:r>
        <w:t>C</w:t>
      </w:r>
      <w:r w:rsidR="004E65F6">
        <w:t>urrent state</w:t>
      </w:r>
      <w:bookmarkEnd w:id="151"/>
    </w:p>
    <w:p w14:paraId="552E1A59" w14:textId="27D51E75" w:rsidR="004E2FC2" w:rsidRPr="004E2FC2" w:rsidRDefault="004E2FC2" w:rsidP="00012E85">
      <w:pPr>
        <w:pStyle w:val="paragraph"/>
        <w:spacing w:before="0" w:beforeAutospacing="0" w:after="160" w:afterAutospacing="0" w:line="259" w:lineRule="auto"/>
        <w:textAlignment w:val="baseline"/>
        <w:rPr>
          <w:rFonts w:ascii="Segoe UI" w:hAnsi="Segoe UI" w:cs="Segoe UI"/>
        </w:rPr>
      </w:pPr>
      <w:r w:rsidRPr="004E2FC2">
        <w:rPr>
          <w:rStyle w:val="normaltextrun"/>
          <w:rFonts w:ascii="Segoe UI" w:hAnsi="Segoe UI" w:cs="Segoe UI"/>
        </w:rPr>
        <w:t>The starting point for an assessment of a healthcare technology is the formulation of a defined research question that should be answered by the assessment. While there are many different frameworks used in healthcare to define research questions, one of the most common frameworks used in the HTA context is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framework. While the PICO framework had its origins in evidence-based medicine and assisting health practitioners to frame and answer clinical questions it has gained prominence in a range of research settings as a standardised approach to define any given research question.</w:t>
      </w:r>
      <w:r w:rsidR="007A1B3A">
        <w:rPr>
          <w:rStyle w:val="normaltextrun"/>
          <w:rFonts w:ascii="Segoe UI" w:hAnsi="Segoe UI" w:cs="Segoe UI"/>
        </w:rPr>
        <w:t xml:space="preserve"> </w:t>
      </w:r>
      <w:r w:rsidRPr="004E2FC2">
        <w:rPr>
          <w:rStyle w:val="eop"/>
          <w:rFonts w:ascii="Segoe UI" w:hAnsi="Segoe UI" w:cs="Segoe UI"/>
        </w:rPr>
        <w:t> </w:t>
      </w:r>
    </w:p>
    <w:p w14:paraId="64B5B919" w14:textId="77440879" w:rsidR="004E2FC2" w:rsidRPr="004E2FC2" w:rsidRDefault="004E2FC2" w:rsidP="00012E85">
      <w:pPr>
        <w:pStyle w:val="paragraph"/>
        <w:spacing w:before="0" w:beforeAutospacing="0" w:after="160" w:afterAutospacing="0" w:line="259" w:lineRule="auto"/>
        <w:textAlignment w:val="baseline"/>
        <w:rPr>
          <w:rFonts w:ascii="Segoe UI" w:hAnsi="Segoe UI" w:cs="Segoe UI"/>
        </w:rPr>
      </w:pPr>
      <w:r w:rsidRPr="004E2FC2">
        <w:rPr>
          <w:rStyle w:val="normaltextrun"/>
          <w:rFonts w:ascii="Segoe UI" w:hAnsi="Segoe UI" w:cs="Segoe UI"/>
        </w:rPr>
        <w:t>When used in a HTA context,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framework divides each research question into </w:t>
      </w:r>
      <w:r w:rsidR="005A3010">
        <w:rPr>
          <w:rStyle w:val="normaltextrun"/>
          <w:rFonts w:ascii="Segoe UI" w:hAnsi="Segoe UI" w:cs="Segoe UI"/>
        </w:rPr>
        <w:t>four</w:t>
      </w:r>
      <w:r w:rsidR="005A3010" w:rsidRPr="004E2FC2">
        <w:rPr>
          <w:rStyle w:val="normaltextrun"/>
          <w:rFonts w:ascii="Segoe UI" w:hAnsi="Segoe UI" w:cs="Segoe UI"/>
        </w:rPr>
        <w:t xml:space="preserve"> </w:t>
      </w:r>
      <w:r w:rsidRPr="004E2FC2">
        <w:rPr>
          <w:rStyle w:val="normaltextrun"/>
          <w:rFonts w:ascii="Segoe UI" w:hAnsi="Segoe UI" w:cs="Segoe UI"/>
        </w:rPr>
        <w:t>components: the population (the population being studied); the interventions (what is being done); the comparators (other main treatment options); and the outcomes (measures of how effective the interventions have been)</w:t>
      </w:r>
      <w:r w:rsidRPr="004E2FC2">
        <w:rPr>
          <w:rStyle w:val="superscript"/>
          <w:rFonts w:ascii="Segoe UI" w:hAnsi="Segoe UI" w:cs="Segoe UI"/>
          <w:vertAlign w:val="superscript"/>
        </w:rPr>
        <w:t>2</w:t>
      </w:r>
      <w:r w:rsidRPr="004E2FC2">
        <w:rPr>
          <w:rStyle w:val="normaltextrun"/>
          <w:rFonts w:ascii="Segoe UI" w:hAnsi="Segoe UI" w:cs="Segoe UI"/>
        </w:rPr>
        <w:t>.</w:t>
      </w:r>
      <w:r w:rsidR="007A1B3A">
        <w:rPr>
          <w:rStyle w:val="normaltextrun"/>
          <w:rFonts w:ascii="Segoe UI" w:hAnsi="Segoe UI" w:cs="Segoe UI"/>
        </w:rPr>
        <w:t xml:space="preserve"> </w:t>
      </w:r>
      <w:r w:rsidRPr="004E2FC2">
        <w:rPr>
          <w:rStyle w:val="eop"/>
          <w:rFonts w:ascii="Segoe UI" w:hAnsi="Segoe UI" w:cs="Segoe UI"/>
        </w:rPr>
        <w:t> </w:t>
      </w:r>
    </w:p>
    <w:p w14:paraId="2A8ADC16" w14:textId="54010259" w:rsidR="004E2FC2" w:rsidRPr="004E2FC2" w:rsidRDefault="004E2FC2" w:rsidP="00012E85">
      <w:pPr>
        <w:pStyle w:val="paragraph"/>
        <w:spacing w:before="0" w:beforeAutospacing="0" w:after="160" w:afterAutospacing="0" w:line="259" w:lineRule="auto"/>
        <w:textAlignment w:val="baseline"/>
        <w:rPr>
          <w:rFonts w:ascii="Segoe UI" w:hAnsi="Segoe UI" w:cs="Segoe UI"/>
        </w:rPr>
      </w:pPr>
      <w:r w:rsidRPr="004E2FC2">
        <w:rPr>
          <w:rStyle w:val="normaltextrun"/>
          <w:rFonts w:ascii="Segoe UI" w:hAnsi="Segoe UI" w:cs="Segoe UI"/>
        </w:rPr>
        <w:t>A properly defined set of research questions (using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framework</w:t>
      </w:r>
      <w:r w:rsidRPr="004E2FC2">
        <w:rPr>
          <w:rStyle w:val="superscript"/>
          <w:rFonts w:ascii="Segoe UI" w:hAnsi="Segoe UI" w:cs="Segoe UI"/>
          <w:vertAlign w:val="superscript"/>
        </w:rPr>
        <w:t>3</w:t>
      </w:r>
      <w:r w:rsidRPr="004E2FC2">
        <w:rPr>
          <w:rStyle w:val="normaltextrun"/>
          <w:rFonts w:ascii="Segoe UI" w:hAnsi="Segoe UI" w:cs="Segoe UI"/>
        </w:rPr>
        <w:t>) is important because the research question components assist in:</w:t>
      </w:r>
      <w:r w:rsidRPr="004E2FC2">
        <w:rPr>
          <w:rStyle w:val="eop"/>
          <w:rFonts w:ascii="Segoe UI" w:hAnsi="Segoe UI" w:cs="Segoe UI"/>
        </w:rPr>
        <w:t> </w:t>
      </w:r>
    </w:p>
    <w:p w14:paraId="2C29EFF7" w14:textId="6AE0374B" w:rsidR="004E2FC2" w:rsidRPr="004E2FC2" w:rsidRDefault="004E2FC2" w:rsidP="008D2A3F">
      <w:pPr>
        <w:pStyle w:val="paragraph"/>
        <w:numPr>
          <w:ilvl w:val="0"/>
          <w:numId w:val="16"/>
        </w:numPr>
        <w:spacing w:before="0" w:beforeAutospacing="0" w:after="0" w:afterAutospacing="0" w:line="259" w:lineRule="auto"/>
        <w:textAlignment w:val="baseline"/>
        <w:rPr>
          <w:rFonts w:ascii="Segoe UI" w:hAnsi="Segoe UI" w:cs="Segoe UI"/>
        </w:rPr>
      </w:pPr>
      <w:r w:rsidRPr="004E2FC2">
        <w:rPr>
          <w:rStyle w:val="normaltextrun"/>
          <w:rFonts w:ascii="Segoe UI" w:hAnsi="Segoe UI" w:cs="Segoe UI"/>
        </w:rPr>
        <w:t xml:space="preserve">specifying the evidence that is relevant and eligible to be considered and evaluated in the HTA </w:t>
      </w:r>
      <w:proofErr w:type="gramStart"/>
      <w:r w:rsidRPr="004E2FC2">
        <w:rPr>
          <w:rStyle w:val="normaltextrun"/>
          <w:rFonts w:ascii="Segoe UI" w:hAnsi="Segoe UI" w:cs="Segoe UI"/>
        </w:rPr>
        <w:t>process</w:t>
      </w:r>
      <w:proofErr w:type="gramEnd"/>
      <w:r w:rsidR="007A1B3A">
        <w:rPr>
          <w:rStyle w:val="normaltextrun"/>
          <w:rFonts w:ascii="Segoe UI" w:hAnsi="Segoe UI" w:cs="Segoe UI"/>
        </w:rPr>
        <w:t xml:space="preserve"> </w:t>
      </w:r>
    </w:p>
    <w:p w14:paraId="5FE7A481" w14:textId="7362C7F7" w:rsidR="004E2FC2" w:rsidRPr="004E2FC2" w:rsidRDefault="004E2FC2" w:rsidP="008D2A3F">
      <w:pPr>
        <w:pStyle w:val="paragraph"/>
        <w:numPr>
          <w:ilvl w:val="0"/>
          <w:numId w:val="16"/>
        </w:numPr>
        <w:spacing w:before="0" w:beforeAutospacing="0" w:after="0" w:afterAutospacing="0" w:line="259" w:lineRule="auto"/>
        <w:textAlignment w:val="baseline"/>
        <w:rPr>
          <w:rFonts w:ascii="Segoe UI" w:hAnsi="Segoe UI" w:cs="Segoe UI"/>
        </w:rPr>
      </w:pPr>
      <w:r w:rsidRPr="004E2FC2">
        <w:rPr>
          <w:rStyle w:val="normaltextrun"/>
          <w:rFonts w:ascii="Segoe UI" w:hAnsi="Segoe UI" w:cs="Segoe UI"/>
        </w:rPr>
        <w:t>framing the scope of the HTA evaluation process</w:t>
      </w:r>
      <w:r w:rsidR="000304C8">
        <w:rPr>
          <w:rStyle w:val="normaltextrun"/>
          <w:rFonts w:ascii="Segoe UI" w:hAnsi="Segoe UI" w:cs="Segoe UI"/>
        </w:rPr>
        <w:t>, and</w:t>
      </w:r>
    </w:p>
    <w:p w14:paraId="549ED788" w14:textId="02DABC91" w:rsidR="004E2FC2" w:rsidRPr="004E2FC2" w:rsidRDefault="004E2FC2" w:rsidP="008D2A3F">
      <w:pPr>
        <w:pStyle w:val="paragraph"/>
        <w:numPr>
          <w:ilvl w:val="0"/>
          <w:numId w:val="16"/>
        </w:numPr>
        <w:spacing w:before="0" w:beforeAutospacing="0" w:after="160" w:afterAutospacing="0" w:line="259" w:lineRule="auto"/>
        <w:ind w:left="1077" w:hanging="357"/>
        <w:textAlignment w:val="baseline"/>
        <w:rPr>
          <w:rFonts w:ascii="Segoe UI" w:hAnsi="Segoe UI" w:cs="Segoe UI"/>
        </w:rPr>
      </w:pPr>
      <w:r w:rsidRPr="004E2FC2">
        <w:rPr>
          <w:rStyle w:val="normaltextrun"/>
          <w:rFonts w:ascii="Segoe UI" w:hAnsi="Segoe UI" w:cs="Segoe UI"/>
        </w:rPr>
        <w:t xml:space="preserve">guiding the collation, </w:t>
      </w:r>
      <w:proofErr w:type="gramStart"/>
      <w:r w:rsidRPr="004E2FC2">
        <w:rPr>
          <w:rStyle w:val="normaltextrun"/>
          <w:rFonts w:ascii="Segoe UI" w:hAnsi="Segoe UI" w:cs="Segoe UI"/>
        </w:rPr>
        <w:t>assessment</w:t>
      </w:r>
      <w:proofErr w:type="gramEnd"/>
      <w:r w:rsidRPr="004E2FC2">
        <w:rPr>
          <w:rStyle w:val="normaltextrun"/>
          <w:rFonts w:ascii="Segoe UI" w:hAnsi="Segoe UI" w:cs="Segoe UI"/>
        </w:rPr>
        <w:t xml:space="preserve"> and presentation of the evidence (and resulting answers) that addresses the defined research questions.</w:t>
      </w:r>
      <w:r w:rsidR="007A1B3A">
        <w:rPr>
          <w:rStyle w:val="normaltextrun"/>
          <w:rFonts w:ascii="Segoe UI" w:hAnsi="Segoe UI" w:cs="Segoe UI"/>
        </w:rPr>
        <w:t xml:space="preserve"> </w:t>
      </w:r>
    </w:p>
    <w:p w14:paraId="04FD4DCF" w14:textId="117ADB75" w:rsidR="004E2FC2" w:rsidRPr="004E2FC2" w:rsidRDefault="004E2FC2" w:rsidP="00012E85">
      <w:pPr>
        <w:pStyle w:val="paragraph"/>
        <w:spacing w:before="0" w:beforeAutospacing="0" w:after="160" w:afterAutospacing="0" w:line="259" w:lineRule="auto"/>
        <w:textAlignment w:val="baseline"/>
        <w:rPr>
          <w:rFonts w:ascii="Segoe UI" w:hAnsi="Segoe UI" w:cs="Segoe UI"/>
        </w:rPr>
      </w:pPr>
      <w:r w:rsidRPr="004E2FC2">
        <w:rPr>
          <w:rStyle w:val="normaltextrun"/>
          <w:rFonts w:ascii="Segoe UI" w:hAnsi="Segoe UI" w:cs="Segoe UI"/>
        </w:rPr>
        <w:lastRenderedPageBreak/>
        <w:t>In Australia, core elements of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framework are part of the HTA processes as conducted by the PBAC and MSAC. Articulating the PICO components is part of defining the clinical issue and setting the context as to why a health technology should be funded for patient </w:t>
      </w:r>
      <w:r w:rsidR="005322A7" w:rsidRPr="49C6A15D">
        <w:rPr>
          <w:rStyle w:val="normaltextrun"/>
          <w:rFonts w:ascii="Segoe UI" w:hAnsi="Segoe UI" w:cs="Segoe UI"/>
        </w:rPr>
        <w:t xml:space="preserve">use </w:t>
      </w:r>
      <w:r w:rsidRPr="004E2FC2">
        <w:rPr>
          <w:rStyle w:val="normaltextrun"/>
          <w:rFonts w:ascii="Segoe UI" w:hAnsi="Segoe UI" w:cs="Segoe UI"/>
        </w:rPr>
        <w:t>by the Government.</w:t>
      </w:r>
      <w:r w:rsidR="007A1B3A">
        <w:rPr>
          <w:rStyle w:val="normaltextrun"/>
          <w:rFonts w:ascii="Segoe UI" w:hAnsi="Segoe UI" w:cs="Segoe UI"/>
        </w:rPr>
        <w:t xml:space="preserve"> </w:t>
      </w:r>
    </w:p>
    <w:p w14:paraId="4FC3C8DF" w14:textId="459BBF44" w:rsidR="0096731D" w:rsidRPr="004E2FC2" w:rsidRDefault="004E2FC2" w:rsidP="00012E85">
      <w:pPr>
        <w:pStyle w:val="paragraph"/>
        <w:spacing w:before="0" w:beforeAutospacing="0" w:after="160" w:afterAutospacing="0" w:line="259" w:lineRule="auto"/>
        <w:textAlignment w:val="baseline"/>
        <w:rPr>
          <w:rFonts w:ascii="Segoe UI" w:hAnsi="Segoe UI" w:cs="Segoe UI"/>
        </w:rPr>
      </w:pPr>
      <w:r w:rsidRPr="004E2FC2">
        <w:rPr>
          <w:rStyle w:val="normaltextrun"/>
          <w:rFonts w:ascii="Segoe UI" w:hAnsi="Segoe UI" w:cs="Segoe UI"/>
        </w:rPr>
        <w:t>Articulating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4E2FC2">
        <w:rPr>
          <w:rStyle w:val="normaltextrun"/>
          <w:rFonts w:ascii="Segoe UI" w:hAnsi="Segoe UI" w:cs="Segoe UI"/>
        </w:rPr>
        <w:t xml:space="preserve"> components as part of a HTA submission is generally the responsibility of the applicant in Australia</w:t>
      </w:r>
      <w:r w:rsidR="00B6762A">
        <w:rPr>
          <w:rStyle w:val="normaltextrun"/>
          <w:rFonts w:ascii="Segoe UI" w:hAnsi="Segoe UI" w:cs="Segoe UI"/>
        </w:rPr>
        <w:t xml:space="preserve">. However, </w:t>
      </w:r>
      <w:r w:rsidRPr="004E2FC2">
        <w:rPr>
          <w:rStyle w:val="normaltextrun"/>
          <w:rFonts w:ascii="Segoe UI" w:hAnsi="Segoe UI" w:cs="Segoe UI"/>
        </w:rPr>
        <w:t>in the MSAC and ATAGI contexts, some PICO criteria development is done by the Commonwealth as part of a “scoping phase”, where input from stakeholders is incorporated to ensure the research question is relevant to the needs of decision</w:t>
      </w:r>
      <w:r w:rsidR="004354FD">
        <w:rPr>
          <w:rStyle w:val="normaltextrun"/>
          <w:rFonts w:ascii="Segoe UI" w:hAnsi="Segoe UI" w:cs="Segoe UI"/>
        </w:rPr>
        <w:t>-</w:t>
      </w:r>
      <w:r w:rsidRPr="004E2FC2">
        <w:rPr>
          <w:rStyle w:val="normaltextrun"/>
          <w:rFonts w:ascii="Segoe UI" w:hAnsi="Segoe UI" w:cs="Segoe UI"/>
        </w:rPr>
        <w:t>makers and reflect</w:t>
      </w:r>
      <w:r w:rsidR="00230928">
        <w:rPr>
          <w:rStyle w:val="normaltextrun"/>
          <w:rFonts w:ascii="Segoe UI" w:hAnsi="Segoe UI" w:cs="Segoe UI"/>
        </w:rPr>
        <w:t>s</w:t>
      </w:r>
      <w:r w:rsidRPr="004E2FC2">
        <w:rPr>
          <w:rStyle w:val="normaltextrun"/>
          <w:rFonts w:ascii="Segoe UI" w:hAnsi="Segoe UI" w:cs="Segoe UI"/>
        </w:rPr>
        <w:t xml:space="preserve"> what is important to other stakeholders (particularly patients and clinicians).</w:t>
      </w:r>
      <w:r w:rsidR="007A1B3A">
        <w:rPr>
          <w:rStyle w:val="normaltextrun"/>
          <w:rFonts w:ascii="Segoe UI" w:hAnsi="Segoe UI" w:cs="Segoe UI"/>
        </w:rPr>
        <w:t xml:space="preserve"> </w:t>
      </w:r>
    </w:p>
    <w:p w14:paraId="129646FA" w14:textId="7E36538B" w:rsidR="004E65F6" w:rsidRPr="006647C5" w:rsidRDefault="004E65F6" w:rsidP="00DF557A">
      <w:pPr>
        <w:pStyle w:val="Heading3"/>
      </w:pPr>
      <w:bookmarkStart w:id="152" w:name="_Toc157029081"/>
      <w:r w:rsidRPr="006647C5">
        <w:t>What we heard from stakeholders</w:t>
      </w:r>
      <w:bookmarkEnd w:id="152"/>
    </w:p>
    <w:p w14:paraId="59B63FA9" w14:textId="7A25ED02" w:rsidR="001C3C16" w:rsidRPr="00012E85" w:rsidRDefault="001C3C16" w:rsidP="00461CBE">
      <w:pPr>
        <w:pStyle w:val="paragraph"/>
        <w:spacing w:before="0" w:beforeAutospacing="0" w:after="160" w:afterAutospacing="0" w:line="259" w:lineRule="auto"/>
        <w:textAlignment w:val="baseline"/>
        <w:rPr>
          <w:rStyle w:val="normaltextrun"/>
          <w:rFonts w:ascii="Segoe UI" w:hAnsi="Segoe UI" w:cs="Segoe UI"/>
        </w:rPr>
      </w:pPr>
      <w:proofErr w:type="gramStart"/>
      <w:r w:rsidRPr="001C3C16">
        <w:rPr>
          <w:rStyle w:val="normaltextrun"/>
          <w:rFonts w:ascii="Segoe UI" w:hAnsi="Segoe UI" w:cs="Segoe UI"/>
        </w:rPr>
        <w:t>A number of</w:t>
      </w:r>
      <w:proofErr w:type="gramEnd"/>
      <w:r w:rsidRPr="001C3C16">
        <w:rPr>
          <w:rStyle w:val="normaltextrun"/>
          <w:rFonts w:ascii="Segoe UI" w:hAnsi="Segoe UI" w:cs="Segoe UI"/>
        </w:rPr>
        <w:t xml:space="preserve"> stakeholders (principally </w:t>
      </w:r>
      <w:r w:rsidR="00DB15A2">
        <w:rPr>
          <w:rStyle w:val="normaltextrun"/>
          <w:rFonts w:ascii="Segoe UI" w:hAnsi="Segoe UI" w:cs="Segoe UI"/>
        </w:rPr>
        <w:t xml:space="preserve">from the </w:t>
      </w:r>
      <w:r w:rsidRPr="001C3C16">
        <w:rPr>
          <w:rStyle w:val="normaltextrun"/>
          <w:rFonts w:ascii="Segoe UI" w:hAnsi="Segoe UI" w:cs="Segoe UI"/>
        </w:rPr>
        <w:t xml:space="preserve">industry </w:t>
      </w:r>
      <w:r w:rsidR="00DB15A2">
        <w:rPr>
          <w:rStyle w:val="normaltextrun"/>
          <w:rFonts w:ascii="Segoe UI" w:hAnsi="Segoe UI" w:cs="Segoe UI"/>
        </w:rPr>
        <w:t>sector</w:t>
      </w:r>
      <w:r w:rsidRPr="001C3C16">
        <w:rPr>
          <w:rStyle w:val="normaltextrun"/>
          <w:rFonts w:ascii="Segoe UI" w:hAnsi="Segoe UI" w:cs="Segoe UI"/>
        </w:rPr>
        <w:t>) observed there is often disagreement between the sponsor and the PBAC on key elements of the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1C3C16">
        <w:rPr>
          <w:rStyle w:val="normaltextrun"/>
          <w:rFonts w:ascii="Segoe UI" w:hAnsi="Segoe UI" w:cs="Segoe UI"/>
        </w:rPr>
        <w:t xml:space="preserve">, which contributes to the rate of </w:t>
      </w:r>
      <w:r w:rsidR="00AD76C4">
        <w:rPr>
          <w:rStyle w:val="normaltextrun"/>
          <w:rFonts w:ascii="Segoe UI" w:hAnsi="Segoe UI" w:cs="Segoe UI"/>
        </w:rPr>
        <w:t>“</w:t>
      </w:r>
      <w:r w:rsidR="00747CDE">
        <w:rPr>
          <w:rStyle w:val="normaltextrun"/>
          <w:rFonts w:ascii="Segoe UI" w:hAnsi="Segoe UI" w:cs="Segoe UI"/>
        </w:rPr>
        <w:t>not recommended</w:t>
      </w:r>
      <w:r w:rsidR="00AD76C4">
        <w:rPr>
          <w:rStyle w:val="normaltextrun"/>
          <w:rFonts w:ascii="Segoe UI" w:hAnsi="Segoe UI" w:cs="Segoe UI"/>
        </w:rPr>
        <w:t>”</w:t>
      </w:r>
      <w:r w:rsidR="00747CDE">
        <w:rPr>
          <w:rStyle w:val="normaltextrun"/>
          <w:rFonts w:ascii="Segoe UI" w:hAnsi="Segoe UI" w:cs="Segoe UI"/>
        </w:rPr>
        <w:t xml:space="preserve"> decisions</w:t>
      </w:r>
      <w:r w:rsidRPr="001C3C16">
        <w:rPr>
          <w:rStyle w:val="normaltextrun"/>
          <w:rFonts w:ascii="Segoe UI" w:hAnsi="Segoe UI" w:cs="Segoe UI"/>
        </w:rPr>
        <w:t xml:space="preserve"> and resubmission churn in the HTA process. </w:t>
      </w:r>
    </w:p>
    <w:p w14:paraId="3FB50EA9" w14:textId="0475E615" w:rsidR="001C3C16" w:rsidRPr="001C3C16" w:rsidRDefault="001C3C16" w:rsidP="00461CBE">
      <w:pPr>
        <w:pStyle w:val="paragraph"/>
        <w:spacing w:before="0" w:beforeAutospacing="0" w:after="160" w:afterAutospacing="0" w:line="259" w:lineRule="auto"/>
        <w:textAlignment w:val="baseline"/>
        <w:rPr>
          <w:rStyle w:val="normaltextrun"/>
        </w:rPr>
      </w:pPr>
      <w:proofErr w:type="gramStart"/>
      <w:r w:rsidRPr="001C3C16">
        <w:rPr>
          <w:rStyle w:val="normaltextrun"/>
          <w:rFonts w:ascii="Segoe UI" w:hAnsi="Segoe UI" w:cs="Segoe UI"/>
        </w:rPr>
        <w:t>In particular, stakeholders</w:t>
      </w:r>
      <w:proofErr w:type="gramEnd"/>
      <w:r w:rsidRPr="001C3C16">
        <w:rPr>
          <w:rStyle w:val="normaltextrun"/>
          <w:rFonts w:ascii="Segoe UI" w:hAnsi="Segoe UI" w:cs="Segoe UI"/>
        </w:rPr>
        <w:t xml:space="preserve"> expressed concerns about choice of comparator, and the different pricing-related implications and consequences that </w:t>
      </w:r>
      <w:r w:rsidR="00084EA8" w:rsidRPr="49C6A15D">
        <w:rPr>
          <w:rStyle w:val="normaltextrun"/>
          <w:rFonts w:ascii="Segoe UI" w:hAnsi="Segoe UI" w:cs="Segoe UI"/>
        </w:rPr>
        <w:t>feed</w:t>
      </w:r>
      <w:r w:rsidRPr="001C3C16">
        <w:rPr>
          <w:rStyle w:val="normaltextrun"/>
          <w:rFonts w:ascii="Segoe UI" w:hAnsi="Segoe UI" w:cs="Segoe UI"/>
        </w:rPr>
        <w:t xml:space="preserve"> into the PBAC’s HTA recommendation to the Government (and whether patient access to subsidised health technologies is achieved). This is </w:t>
      </w:r>
      <w:r w:rsidR="003D5B6E" w:rsidRPr="49C6A15D">
        <w:rPr>
          <w:rStyle w:val="normaltextrun"/>
          <w:rFonts w:ascii="Segoe UI" w:hAnsi="Segoe UI" w:cs="Segoe UI"/>
        </w:rPr>
        <w:t>because</w:t>
      </w:r>
      <w:r w:rsidRPr="001C3C16">
        <w:rPr>
          <w:rStyle w:val="normaltextrun"/>
          <w:rFonts w:ascii="Segoe UI" w:hAnsi="Segoe UI" w:cs="Segoe UI"/>
        </w:rPr>
        <w:t xml:space="preserve"> different </w:t>
      </w:r>
      <w:r w:rsidRPr="49C6A15D">
        <w:rPr>
          <w:rStyle w:val="normaltextrun"/>
          <w:rFonts w:ascii="Segoe UI" w:hAnsi="Segoe UI" w:cs="Segoe UI"/>
        </w:rPr>
        <w:t>comparator</w:t>
      </w:r>
      <w:r w:rsidR="00176520" w:rsidRPr="49C6A15D">
        <w:rPr>
          <w:rStyle w:val="normaltextrun"/>
          <w:rFonts w:ascii="Segoe UI" w:hAnsi="Segoe UI" w:cs="Segoe UI"/>
        </w:rPr>
        <w:t>s</w:t>
      </w:r>
      <w:r w:rsidRPr="49C6A15D">
        <w:rPr>
          <w:rStyle w:val="normaltextrun"/>
          <w:rFonts w:ascii="Segoe UI" w:hAnsi="Segoe UI" w:cs="Segoe UI"/>
        </w:rPr>
        <w:t xml:space="preserve"> (</w:t>
      </w:r>
      <w:proofErr w:type="gramStart"/>
      <w:r w:rsidR="00031FAB">
        <w:rPr>
          <w:rStyle w:val="normaltextrun"/>
          <w:rFonts w:ascii="Segoe UI" w:hAnsi="Segoe UI" w:cs="Segoe UI"/>
        </w:rPr>
        <w:t>e.g.</w:t>
      </w:r>
      <w:proofErr w:type="gramEnd"/>
      <w:r w:rsidR="00031FAB">
        <w:rPr>
          <w:rStyle w:val="normaltextrun"/>
          <w:rFonts w:ascii="Segoe UI" w:hAnsi="Segoe UI" w:cs="Segoe UI"/>
        </w:rPr>
        <w:t xml:space="preserve"> </w:t>
      </w:r>
      <w:r w:rsidRPr="001C3C16">
        <w:rPr>
          <w:rStyle w:val="normaltextrun"/>
          <w:rFonts w:ascii="Segoe UI" w:hAnsi="Segoe UI" w:cs="Segoe UI"/>
        </w:rPr>
        <w:t>lowest cost</w:t>
      </w:r>
      <w:r w:rsidR="006A6109" w:rsidRPr="49C6A15D">
        <w:rPr>
          <w:rStyle w:val="normaltextrun"/>
          <w:rFonts w:ascii="Segoe UI" w:hAnsi="Segoe UI" w:cs="Segoe UI"/>
        </w:rPr>
        <w:t xml:space="preserve">, </w:t>
      </w:r>
      <w:r w:rsidRPr="001C3C16">
        <w:rPr>
          <w:rStyle w:val="normaltextrun"/>
          <w:rFonts w:ascii="Segoe UI" w:hAnsi="Segoe UI" w:cs="Segoe UI"/>
        </w:rPr>
        <w:t>best standard of care</w:t>
      </w:r>
      <w:r w:rsidR="00C259C7">
        <w:rPr>
          <w:rStyle w:val="normaltextrun"/>
          <w:rFonts w:ascii="Segoe UI" w:hAnsi="Segoe UI" w:cs="Segoe UI"/>
        </w:rPr>
        <w:t xml:space="preserve"> (SOC)</w:t>
      </w:r>
      <w:r w:rsidR="006A6109" w:rsidRPr="49C6A15D">
        <w:rPr>
          <w:rStyle w:val="normaltextrun"/>
          <w:rFonts w:ascii="Segoe UI" w:hAnsi="Segoe UI" w:cs="Segoe UI"/>
        </w:rPr>
        <w:t xml:space="preserve">, </w:t>
      </w:r>
      <w:r w:rsidR="00DC1FB5" w:rsidRPr="49C6A15D">
        <w:rPr>
          <w:rStyle w:val="normaltextrun"/>
          <w:rFonts w:ascii="Segoe UI" w:hAnsi="Segoe UI" w:cs="Segoe UI"/>
        </w:rPr>
        <w:t xml:space="preserve">and </w:t>
      </w:r>
      <w:r w:rsidRPr="001C3C16">
        <w:rPr>
          <w:rStyle w:val="normaltextrun"/>
          <w:rFonts w:ascii="Segoe UI" w:hAnsi="Segoe UI" w:cs="Segoe UI"/>
        </w:rPr>
        <w:t xml:space="preserve">health technology likely to be displaced in Australian healthcare) can lead to different conclusions in respect of </w:t>
      </w:r>
      <w:r w:rsidR="00FA057F" w:rsidRPr="49C6A15D">
        <w:rPr>
          <w:rStyle w:val="normaltextrun"/>
          <w:rFonts w:ascii="Segoe UI" w:hAnsi="Segoe UI" w:cs="Segoe UI"/>
        </w:rPr>
        <w:t xml:space="preserve">the </w:t>
      </w:r>
      <w:r w:rsidRPr="001C3C16">
        <w:rPr>
          <w:rStyle w:val="normaltextrun"/>
          <w:rFonts w:ascii="Segoe UI" w:hAnsi="Segoe UI" w:cs="Segoe UI"/>
        </w:rPr>
        <w:t>cost-effectiveness of a health technology in the Australian healthcare context.</w:t>
      </w:r>
      <w:r w:rsidR="007A1B3A">
        <w:rPr>
          <w:rStyle w:val="normaltextrun"/>
          <w:rFonts w:ascii="Segoe UI" w:hAnsi="Segoe UI" w:cs="Segoe UI"/>
        </w:rPr>
        <w:t xml:space="preserve"> </w:t>
      </w:r>
    </w:p>
    <w:p w14:paraId="20004230" w14:textId="7042D5A5" w:rsidR="001C3C16" w:rsidRDefault="001C3C16" w:rsidP="00461CBE">
      <w:pPr>
        <w:pStyle w:val="paragraph"/>
        <w:spacing w:before="0" w:beforeAutospacing="0" w:after="160" w:afterAutospacing="0" w:line="259" w:lineRule="auto"/>
        <w:textAlignment w:val="baseline"/>
        <w:rPr>
          <w:rStyle w:val="normaltextrun"/>
          <w:rFonts w:ascii="Segoe UI" w:hAnsi="Segoe UI" w:cs="Segoe UI"/>
        </w:rPr>
      </w:pPr>
      <w:r w:rsidRPr="001C3C16">
        <w:rPr>
          <w:rStyle w:val="normaltextrun"/>
          <w:rFonts w:ascii="Segoe UI" w:hAnsi="Segoe UI" w:cs="Segoe UI"/>
        </w:rPr>
        <w:t xml:space="preserve">Some </w:t>
      </w:r>
      <w:r w:rsidR="009A5753">
        <w:rPr>
          <w:rStyle w:val="normaltextrun"/>
          <w:rFonts w:ascii="Segoe UI" w:hAnsi="Segoe UI" w:cs="Segoe UI"/>
        </w:rPr>
        <w:t>stakeholders from the</w:t>
      </w:r>
      <w:r w:rsidRPr="001C3C16">
        <w:rPr>
          <w:rStyle w:val="normaltextrun"/>
          <w:rFonts w:ascii="Segoe UI" w:hAnsi="Segoe UI" w:cs="Segoe UI"/>
        </w:rPr>
        <w:t xml:space="preserve"> research and industry </w:t>
      </w:r>
      <w:r w:rsidR="009A5753">
        <w:rPr>
          <w:rStyle w:val="normaltextrun"/>
          <w:rFonts w:ascii="Segoe UI" w:hAnsi="Segoe UI" w:cs="Segoe UI"/>
        </w:rPr>
        <w:t>sectors</w:t>
      </w:r>
      <w:r w:rsidR="009A5753" w:rsidRPr="001C3C16">
        <w:rPr>
          <w:rStyle w:val="normaltextrun"/>
          <w:rFonts w:ascii="Segoe UI" w:hAnsi="Segoe UI" w:cs="Segoe UI"/>
        </w:rPr>
        <w:t xml:space="preserve"> </w:t>
      </w:r>
      <w:r w:rsidRPr="001C3C16">
        <w:rPr>
          <w:rStyle w:val="normaltextrun"/>
          <w:rFonts w:ascii="Segoe UI" w:hAnsi="Segoe UI" w:cs="Segoe UI"/>
        </w:rPr>
        <w:t>have also noted the lack of a defined 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Pr="001C3C16">
        <w:rPr>
          <w:rStyle w:val="normaltextrun"/>
          <w:rFonts w:ascii="Segoe UI" w:hAnsi="Segoe UI" w:cs="Segoe UI"/>
        </w:rPr>
        <w:t xml:space="preserve"> confirmation or ratification process for medicine submissions that go through the PBAC process, in contrast to the PICO confirmation step available for submissions that go through the MSAC process and the PICO steps that are part of the ATAGI clinical recommendations process.</w:t>
      </w:r>
      <w:r w:rsidR="007A1B3A">
        <w:rPr>
          <w:rStyle w:val="normaltextrun"/>
          <w:rFonts w:ascii="Segoe UI" w:hAnsi="Segoe UI" w:cs="Segoe UI"/>
        </w:rPr>
        <w:t xml:space="preserve"> </w:t>
      </w:r>
    </w:p>
    <w:p w14:paraId="65F8C120" w14:textId="312B3738" w:rsidR="0017311D" w:rsidRDefault="00045617" w:rsidP="00461CBE">
      <w:pPr>
        <w:pStyle w:val="paragraph"/>
        <w:spacing w:before="0" w:beforeAutospacing="0" w:after="160" w:afterAutospacing="0" w:line="259" w:lineRule="auto"/>
        <w:textAlignment w:val="baseline"/>
        <w:rPr>
          <w:rStyle w:val="normaltextrun"/>
          <w:rFonts w:ascii="Segoe UI" w:hAnsi="Segoe UI" w:cs="Segoe UI"/>
        </w:rPr>
      </w:pPr>
      <w:r>
        <w:rPr>
          <w:rStyle w:val="normaltextrun"/>
          <w:rFonts w:ascii="Segoe UI" w:hAnsi="Segoe UI" w:cs="Segoe UI"/>
        </w:rPr>
        <w:t xml:space="preserve">Many consumer </w:t>
      </w:r>
      <w:r w:rsidR="000F3408">
        <w:rPr>
          <w:rStyle w:val="normaltextrun"/>
          <w:rFonts w:ascii="Segoe UI" w:hAnsi="Segoe UI" w:cs="Segoe UI"/>
        </w:rPr>
        <w:t xml:space="preserve">and clinician </w:t>
      </w:r>
      <w:r>
        <w:rPr>
          <w:rStyle w:val="normaltextrun"/>
          <w:rFonts w:ascii="Segoe UI" w:hAnsi="Segoe UI" w:cs="Segoe UI"/>
        </w:rPr>
        <w:t xml:space="preserve">organisations </w:t>
      </w:r>
      <w:r w:rsidR="00042A76">
        <w:rPr>
          <w:rStyle w:val="normaltextrun"/>
          <w:rFonts w:ascii="Segoe UI" w:hAnsi="Segoe UI" w:cs="Segoe UI"/>
        </w:rPr>
        <w:t xml:space="preserve">raised that </w:t>
      </w:r>
      <w:r w:rsidR="00E2475A">
        <w:rPr>
          <w:rStyle w:val="normaltextrun"/>
          <w:rFonts w:ascii="Segoe UI" w:hAnsi="Segoe UI" w:cs="Segoe UI"/>
        </w:rPr>
        <w:t xml:space="preserve">the lack of </w:t>
      </w:r>
      <w:r w:rsidR="00A24E72">
        <w:rPr>
          <w:rStyle w:val="normaltextrun"/>
          <w:rFonts w:ascii="Segoe UI" w:hAnsi="Segoe UI" w:cs="Segoe UI"/>
        </w:rPr>
        <w:t xml:space="preserve">broad stakeholder input into the </w:t>
      </w:r>
      <w:r w:rsidR="00AF7CF8">
        <w:rPr>
          <w:rStyle w:val="normaltextrun"/>
          <w:rFonts w:ascii="Segoe UI" w:hAnsi="Segoe UI" w:cs="Segoe UI"/>
        </w:rPr>
        <w:t>PICO</w:t>
      </w:r>
      <w:r w:rsidR="0068258A">
        <w:rPr>
          <w:rStyle w:val="normaltextrun"/>
          <w:rFonts w:ascii="Segoe UI" w:hAnsi="Segoe UI" w:cs="Segoe UI"/>
        </w:rPr>
        <w:fldChar w:fldCharType="begin"/>
      </w:r>
      <w:r w:rsidR="0068258A">
        <w:instrText xml:space="preserve"> XE "</w:instrText>
      </w:r>
      <w:r w:rsidR="0068258A" w:rsidRPr="00F75973">
        <w:rPr>
          <w:rFonts w:cs="Segoe UI"/>
          <w:color w:val="222A35"/>
          <w:kern w:val="24"/>
          <w:sz w:val="20"/>
          <w:szCs w:val="20"/>
          <w:lang w:eastAsia="en-AU"/>
        </w:rPr>
        <w:instrText>PICO</w:instrText>
      </w:r>
      <w:r w:rsidR="0068258A">
        <w:instrText xml:space="preserve">" \b </w:instrText>
      </w:r>
      <w:r w:rsidR="0068258A">
        <w:rPr>
          <w:rStyle w:val="normaltextrun"/>
          <w:rFonts w:ascii="Segoe UI" w:hAnsi="Segoe UI" w:cs="Segoe UI"/>
        </w:rPr>
        <w:fldChar w:fldCharType="end"/>
      </w:r>
      <w:r w:rsidR="00AF7CF8">
        <w:rPr>
          <w:rStyle w:val="normaltextrun"/>
          <w:rFonts w:ascii="Segoe UI" w:hAnsi="Segoe UI" w:cs="Segoe UI"/>
        </w:rPr>
        <w:t xml:space="preserve"> stage meant that </w:t>
      </w:r>
      <w:r w:rsidR="0044121F">
        <w:rPr>
          <w:rStyle w:val="normaltextrun"/>
          <w:rFonts w:ascii="Segoe UI" w:hAnsi="Segoe UI" w:cs="Segoe UI"/>
        </w:rPr>
        <w:t xml:space="preserve">potentially important populations who would benefit from treatment were not identified, </w:t>
      </w:r>
      <w:r w:rsidR="00340CF7">
        <w:rPr>
          <w:rStyle w:val="normaltextrun"/>
          <w:rFonts w:ascii="Segoe UI" w:hAnsi="Segoe UI" w:cs="Segoe UI"/>
        </w:rPr>
        <w:t xml:space="preserve">as well as </w:t>
      </w:r>
      <w:r w:rsidR="008E1614">
        <w:rPr>
          <w:rStyle w:val="normaltextrun"/>
          <w:rFonts w:ascii="Segoe UI" w:hAnsi="Segoe UI" w:cs="Segoe UI"/>
        </w:rPr>
        <w:t>a lack of understanding of patient relevant outcomes</w:t>
      </w:r>
      <w:r w:rsidR="009918A7">
        <w:rPr>
          <w:rStyle w:val="normaltextrun"/>
          <w:rFonts w:ascii="Segoe UI" w:hAnsi="Segoe UI" w:cs="Segoe UI"/>
        </w:rPr>
        <w:t xml:space="preserve"> being considered. </w:t>
      </w:r>
      <w:r w:rsidR="0017311D" w:rsidRPr="009D14F6">
        <w:rPr>
          <w:rStyle w:val="normaltextrun"/>
          <w:rFonts w:ascii="Segoe UI" w:hAnsi="Segoe UI" w:cs="Segoe UI"/>
        </w:rPr>
        <w:t>While there is a desire for a PICO scoping phase and the inclusion of stakeholder engagement, there was also general acceptance that this should not impact time.</w:t>
      </w:r>
    </w:p>
    <w:p w14:paraId="40DF487C" w14:textId="2B934467" w:rsidR="00AB75BF" w:rsidRPr="009D14F6" w:rsidRDefault="006D0915" w:rsidP="00461CBE">
      <w:pPr>
        <w:pStyle w:val="paragraph"/>
        <w:spacing w:before="0" w:beforeAutospacing="0" w:after="160" w:afterAutospacing="0" w:line="259" w:lineRule="auto"/>
        <w:textAlignment w:val="baseline"/>
        <w:rPr>
          <w:rStyle w:val="normaltextrun"/>
          <w:rFonts w:ascii="Segoe UI" w:hAnsi="Segoe UI" w:cs="Segoe UI"/>
        </w:rPr>
      </w:pPr>
      <w:r>
        <w:rPr>
          <w:rStyle w:val="normaltextrun"/>
          <w:rFonts w:ascii="Segoe UI" w:hAnsi="Segoe UI" w:cs="Segoe UI"/>
        </w:rPr>
        <w:t xml:space="preserve">Stakeholders raised that </w:t>
      </w:r>
      <w:r w:rsidR="00806E8B">
        <w:rPr>
          <w:rStyle w:val="normaltextrun"/>
          <w:rFonts w:ascii="Segoe UI" w:hAnsi="Segoe UI" w:cs="Segoe UI"/>
        </w:rPr>
        <w:t xml:space="preserve">the </w:t>
      </w:r>
      <w:r w:rsidR="00443249">
        <w:rPr>
          <w:rStyle w:val="normaltextrun"/>
          <w:rFonts w:ascii="Segoe UI" w:hAnsi="Segoe UI" w:cs="Segoe UI"/>
        </w:rPr>
        <w:t xml:space="preserve">lack of </w:t>
      </w:r>
      <w:r w:rsidR="00A6331F">
        <w:rPr>
          <w:rStyle w:val="normaltextrun"/>
          <w:rFonts w:ascii="Segoe UI" w:hAnsi="Segoe UI" w:cs="Segoe UI"/>
        </w:rPr>
        <w:t xml:space="preserve">a mechanism to compel sponsors to </w:t>
      </w:r>
      <w:r w:rsidR="00320992">
        <w:rPr>
          <w:rStyle w:val="normaltextrun"/>
          <w:rFonts w:ascii="Segoe UI" w:hAnsi="Segoe UI" w:cs="Segoe UI"/>
        </w:rPr>
        <w:t xml:space="preserve">identify the health needs </w:t>
      </w:r>
      <w:r w:rsidR="00DF01B3">
        <w:rPr>
          <w:rStyle w:val="normaltextrun"/>
          <w:rFonts w:ascii="Segoe UI" w:hAnsi="Segoe UI" w:cs="Segoe UI"/>
        </w:rPr>
        <w:t>of</w:t>
      </w:r>
      <w:r w:rsidR="00320992">
        <w:rPr>
          <w:rStyle w:val="normaltextrun"/>
          <w:rFonts w:ascii="Segoe UI" w:hAnsi="Segoe UI" w:cs="Segoe UI"/>
        </w:rPr>
        <w:t xml:space="preserve"> sub-populations (such as First Nation</w:t>
      </w:r>
      <w:r w:rsidR="003F1975">
        <w:rPr>
          <w:rStyle w:val="normaltextrun"/>
          <w:rFonts w:ascii="Segoe UI" w:hAnsi="Segoe UI" w:cs="Segoe UI"/>
        </w:rPr>
        <w:t>s</w:t>
      </w:r>
      <w:r w:rsidR="00320992">
        <w:rPr>
          <w:rStyle w:val="normaltextrun"/>
          <w:rFonts w:ascii="Segoe UI" w:hAnsi="Segoe UI" w:cs="Segoe UI"/>
        </w:rPr>
        <w:t xml:space="preserve"> people</w:t>
      </w:r>
      <w:r w:rsidR="003F1975">
        <w:rPr>
          <w:rStyle w:val="normaltextrun"/>
          <w:rFonts w:ascii="Segoe UI" w:hAnsi="Segoe UI" w:cs="Segoe UI"/>
        </w:rPr>
        <w:t>s</w:t>
      </w:r>
      <w:r w:rsidR="009950D4">
        <w:rPr>
          <w:rStyle w:val="normaltextrun"/>
          <w:rFonts w:ascii="Segoe UI" w:hAnsi="Segoe UI" w:cs="Segoe UI"/>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Style w:val="normaltextrun"/>
          <w:rFonts w:ascii="Segoe UI" w:hAnsi="Segoe UI" w:cs="Segoe UI"/>
        </w:rPr>
        <w:fldChar w:fldCharType="end"/>
      </w:r>
      <w:r w:rsidR="00320992">
        <w:rPr>
          <w:rStyle w:val="normaltextrun"/>
          <w:rFonts w:ascii="Segoe UI" w:hAnsi="Segoe UI" w:cs="Segoe UI"/>
        </w:rPr>
        <w:t xml:space="preserve">) </w:t>
      </w:r>
      <w:r w:rsidR="000B51AD">
        <w:rPr>
          <w:rStyle w:val="normaltextrun"/>
          <w:rFonts w:ascii="Segoe UI" w:hAnsi="Segoe UI" w:cs="Segoe UI"/>
        </w:rPr>
        <w:t xml:space="preserve">create </w:t>
      </w:r>
      <w:r w:rsidR="00540BD3">
        <w:rPr>
          <w:rStyle w:val="normaltextrun"/>
          <w:rFonts w:ascii="Segoe UI" w:hAnsi="Segoe UI" w:cs="Segoe UI"/>
        </w:rPr>
        <w:t xml:space="preserve">is </w:t>
      </w:r>
      <w:r>
        <w:rPr>
          <w:rStyle w:val="normaltextrun"/>
          <w:rFonts w:ascii="Segoe UI" w:hAnsi="Segoe UI" w:cs="Segoe UI"/>
        </w:rPr>
        <w:t>a barrier to equitable access</w:t>
      </w:r>
      <w:r w:rsidR="00F355CA">
        <w:rPr>
          <w:rStyle w:val="normaltextrun"/>
          <w:rFonts w:ascii="Segoe UI" w:hAnsi="Segoe UI" w:cs="Segoe UI"/>
        </w:rPr>
        <w:t xml:space="preserve">. </w:t>
      </w:r>
    </w:p>
    <w:p w14:paraId="66B6C0F3" w14:textId="737441C8" w:rsidR="00AE51BB" w:rsidRDefault="00A22409" w:rsidP="00CF7FAB">
      <w:pPr>
        <w:rPr>
          <w:rStyle w:val="eop"/>
          <w:rFonts w:cs="Segoe UI"/>
        </w:rPr>
      </w:pPr>
      <w:r w:rsidRPr="002049A1">
        <w:rPr>
          <w:rStyle w:val="normaltextrun"/>
          <w:rFonts w:cs="Segoe UI"/>
        </w:rPr>
        <w:t>PICO</w:t>
      </w:r>
      <w:r w:rsidR="0068258A">
        <w:rPr>
          <w:rStyle w:val="normaltextrun"/>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normaltextrun"/>
          <w:rFonts w:cs="Segoe UI"/>
        </w:rPr>
        <w:fldChar w:fldCharType="end"/>
      </w:r>
      <w:r w:rsidRPr="002049A1">
        <w:rPr>
          <w:rStyle w:val="normaltextrun"/>
          <w:rFonts w:cs="Segoe UI"/>
        </w:rPr>
        <w:t xml:space="preserve"> criteria (including comparator selection) used to frame HTA submissions remains a point of contention across stakeholder groups, including </w:t>
      </w:r>
      <w:r w:rsidRPr="002049A1">
        <w:rPr>
          <w:rStyle w:val="normaltextrun"/>
          <w:rFonts w:cs="Segoe UI"/>
        </w:rPr>
        <w:lastRenderedPageBreak/>
        <w:t xml:space="preserve">current legislative interpretation of the </w:t>
      </w:r>
      <w:r w:rsidRPr="002049A1">
        <w:rPr>
          <w:rStyle w:val="normaltextrun"/>
          <w:rFonts w:cs="Segoe UI"/>
          <w:i/>
        </w:rPr>
        <w:t>National Health Act 1953</w:t>
      </w:r>
      <w:r w:rsidRPr="002049A1">
        <w:rPr>
          <w:rStyle w:val="normaltextrun"/>
          <w:rFonts w:cs="Segoe UI"/>
        </w:rPr>
        <w:t xml:space="preserve"> in respect of PBAC’s recommendations to the Government in respect of cost-effectiveness of health technologies for patient populations.</w:t>
      </w:r>
      <w:r w:rsidR="007A1B3A">
        <w:rPr>
          <w:rStyle w:val="normaltextrun"/>
          <w:rFonts w:cs="Segoe UI"/>
        </w:rPr>
        <w:t xml:space="preserve"> </w:t>
      </w:r>
    </w:p>
    <w:p w14:paraId="51D8F735" w14:textId="45CC1570" w:rsidR="0087172F" w:rsidRDefault="0039390A" w:rsidP="00CF7FAB">
      <w:pPr>
        <w:rPr>
          <w:rStyle w:val="eop"/>
          <w:rFonts w:cs="Segoe UI"/>
        </w:rPr>
      </w:pPr>
      <w:r>
        <w:rPr>
          <w:rStyle w:val="eop"/>
          <w:rFonts w:cs="Segoe UI"/>
        </w:rPr>
        <w:t xml:space="preserve">Consumer and clinician organisation raised that </w:t>
      </w:r>
      <w:r w:rsidR="0090246B">
        <w:rPr>
          <w:rStyle w:val="eop"/>
          <w:rFonts w:cs="Segoe UI"/>
        </w:rPr>
        <w:t>the lack of available</w:t>
      </w:r>
      <w:r w:rsidR="00E151CA">
        <w:rPr>
          <w:rStyle w:val="eop"/>
          <w:rFonts w:cs="Segoe UI"/>
        </w:rPr>
        <w:t>, accessible (plain language)</w:t>
      </w:r>
      <w:r w:rsidR="0090246B">
        <w:rPr>
          <w:rStyle w:val="eop"/>
          <w:rFonts w:cs="Segoe UI"/>
        </w:rPr>
        <w:t xml:space="preserve"> information </w:t>
      </w:r>
      <w:r w:rsidR="00E151CA">
        <w:rPr>
          <w:rStyle w:val="eop"/>
          <w:rFonts w:cs="Segoe UI"/>
        </w:rPr>
        <w:t>regarding the PICO</w:t>
      </w:r>
      <w:r w:rsidR="0068258A">
        <w:rPr>
          <w:rStyle w:val="eop"/>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eop"/>
          <w:rFonts w:cs="Segoe UI"/>
        </w:rPr>
        <w:fldChar w:fldCharType="end"/>
      </w:r>
      <w:r w:rsidR="00E151CA">
        <w:rPr>
          <w:rStyle w:val="eop"/>
          <w:rFonts w:cs="Segoe UI"/>
        </w:rPr>
        <w:t xml:space="preserve"> meant that there was often misunderstanding about the intended treatment population</w:t>
      </w:r>
      <w:r w:rsidR="00712B05">
        <w:rPr>
          <w:rStyle w:val="eop"/>
          <w:rFonts w:cs="Segoe UI"/>
        </w:rPr>
        <w:t xml:space="preserve"> and the expected benefit. This resulted in </w:t>
      </w:r>
      <w:r w:rsidR="00BE33F5">
        <w:rPr>
          <w:rStyle w:val="eop"/>
          <w:rFonts w:cs="Segoe UI"/>
        </w:rPr>
        <w:t xml:space="preserve">waisted resources providing input, as well as negative health outcomes if patients </w:t>
      </w:r>
      <w:r w:rsidR="00795BF0">
        <w:rPr>
          <w:rStyle w:val="eop"/>
          <w:rFonts w:cs="Segoe UI"/>
        </w:rPr>
        <w:t xml:space="preserve">are waiting for </w:t>
      </w:r>
      <w:r w:rsidR="0084797D">
        <w:rPr>
          <w:rStyle w:val="eop"/>
          <w:rFonts w:cs="Segoe UI"/>
        </w:rPr>
        <w:t xml:space="preserve">treatments that they </w:t>
      </w:r>
      <w:r w:rsidR="00BE087B">
        <w:rPr>
          <w:rStyle w:val="eop"/>
          <w:rFonts w:cs="Segoe UI"/>
        </w:rPr>
        <w:t xml:space="preserve">may not be </w:t>
      </w:r>
      <w:r w:rsidR="008802AF">
        <w:rPr>
          <w:rStyle w:val="eop"/>
          <w:rFonts w:cs="Segoe UI"/>
        </w:rPr>
        <w:t xml:space="preserve">eligible for or that may not benefit them. </w:t>
      </w:r>
      <w:r w:rsidR="00BC4705">
        <w:rPr>
          <w:rStyle w:val="eop"/>
          <w:rFonts w:cs="Segoe UI"/>
        </w:rPr>
        <w:t>This asymmetric information</w:t>
      </w:r>
      <w:r w:rsidR="008802AF">
        <w:rPr>
          <w:rStyle w:val="eop"/>
          <w:rFonts w:cs="Segoe UI"/>
        </w:rPr>
        <w:t xml:space="preserve"> impacted the</w:t>
      </w:r>
      <w:r w:rsidR="00FC0601">
        <w:rPr>
          <w:rStyle w:val="eop"/>
          <w:rFonts w:cs="Segoe UI"/>
        </w:rPr>
        <w:t xml:space="preserve"> ability for consumers to be able to plan</w:t>
      </w:r>
      <w:r w:rsidR="00E16B66">
        <w:rPr>
          <w:rStyle w:val="eop"/>
          <w:rFonts w:cs="Segoe UI"/>
        </w:rPr>
        <w:t xml:space="preserve"> </w:t>
      </w:r>
      <w:r w:rsidR="00BC4705">
        <w:rPr>
          <w:rStyle w:val="eop"/>
          <w:rFonts w:cs="Segoe UI"/>
        </w:rPr>
        <w:t>for their future</w:t>
      </w:r>
      <w:r w:rsidR="00996667">
        <w:rPr>
          <w:rStyle w:val="eop"/>
          <w:rFonts w:cs="Segoe UI"/>
        </w:rPr>
        <w:t xml:space="preserve"> in an informed manner.</w:t>
      </w:r>
    </w:p>
    <w:p w14:paraId="7D4A3076" w14:textId="5AEAC518" w:rsidR="00CF7FAB" w:rsidRDefault="0087172F" w:rsidP="00CF7FAB">
      <w:pPr>
        <w:rPr>
          <w:rStyle w:val="eop"/>
          <w:rFonts w:cs="Segoe UI"/>
        </w:rPr>
      </w:pPr>
      <w:r>
        <w:rPr>
          <w:rStyle w:val="eop"/>
          <w:rFonts w:cs="Segoe UI"/>
        </w:rPr>
        <w:t>Industry raised that</w:t>
      </w:r>
      <w:r w:rsidR="003F19D3">
        <w:rPr>
          <w:rStyle w:val="eop"/>
          <w:rFonts w:cs="Segoe UI"/>
        </w:rPr>
        <w:t>, for cost-minimisation</w:t>
      </w:r>
      <w:r w:rsidR="007A17DF">
        <w:rPr>
          <w:rStyle w:val="eop"/>
          <w:rFonts w:cs="Segoe UI"/>
        </w:rPr>
        <w:fldChar w:fldCharType="begin"/>
      </w:r>
      <w:r w:rsidR="007A17DF">
        <w:instrText xml:space="preserve"> XE "</w:instrText>
      </w:r>
      <w:r w:rsidR="007A17DF" w:rsidRPr="006229B8">
        <w:rPr>
          <w:lang w:eastAsia="en-AU"/>
        </w:rPr>
        <w:instrText>cost-minimisation</w:instrText>
      </w:r>
      <w:r w:rsidR="007A17DF">
        <w:instrText xml:space="preserve">" \b </w:instrText>
      </w:r>
      <w:r w:rsidR="007A17DF">
        <w:rPr>
          <w:rStyle w:val="eop"/>
          <w:rFonts w:cs="Segoe UI"/>
        </w:rPr>
        <w:fldChar w:fldCharType="end"/>
      </w:r>
      <w:r w:rsidR="003F19D3">
        <w:rPr>
          <w:rStyle w:val="eop"/>
          <w:rFonts w:cs="Segoe UI"/>
        </w:rPr>
        <w:t xml:space="preserve"> submissions, </w:t>
      </w:r>
      <w:r w:rsidR="006D1EE9">
        <w:rPr>
          <w:rStyle w:val="eop"/>
          <w:rFonts w:cs="Segoe UI"/>
        </w:rPr>
        <w:t xml:space="preserve">they </w:t>
      </w:r>
      <w:r w:rsidR="7AAE139F" w:rsidRPr="21A3E956">
        <w:rPr>
          <w:rStyle w:val="eop"/>
          <w:rFonts w:cs="Segoe UI"/>
        </w:rPr>
        <w:t>are not</w:t>
      </w:r>
      <w:r w:rsidR="00AB64C9">
        <w:rPr>
          <w:rStyle w:val="eop"/>
          <w:rFonts w:cs="Segoe UI"/>
        </w:rPr>
        <w:t xml:space="preserve"> made aware of the </w:t>
      </w:r>
      <w:r w:rsidR="008C0E8D">
        <w:rPr>
          <w:rStyle w:val="eop"/>
          <w:rFonts w:cs="Segoe UI"/>
        </w:rPr>
        <w:t>price of the</w:t>
      </w:r>
      <w:r w:rsidR="0003724E">
        <w:rPr>
          <w:rStyle w:val="eop"/>
          <w:rFonts w:cs="Segoe UI"/>
        </w:rPr>
        <w:t xml:space="preserve"> </w:t>
      </w:r>
      <w:r w:rsidR="008C0E8D">
        <w:rPr>
          <w:rStyle w:val="eop"/>
          <w:rFonts w:cs="Segoe UI"/>
        </w:rPr>
        <w:t xml:space="preserve">comparator </w:t>
      </w:r>
      <w:r w:rsidR="00961BCD">
        <w:rPr>
          <w:rStyle w:val="eop"/>
          <w:rFonts w:cs="Segoe UI"/>
        </w:rPr>
        <w:t xml:space="preserve">chosen in their submission </w:t>
      </w:r>
      <w:r w:rsidR="00AB64C9">
        <w:rPr>
          <w:rStyle w:val="eop"/>
          <w:rFonts w:cs="Segoe UI"/>
        </w:rPr>
        <w:t xml:space="preserve">until </w:t>
      </w:r>
      <w:r w:rsidR="000D5A4C">
        <w:rPr>
          <w:rStyle w:val="eop"/>
          <w:rFonts w:cs="Segoe UI"/>
        </w:rPr>
        <w:t xml:space="preserve">late in the HTA process </w:t>
      </w:r>
      <w:r w:rsidR="00D0226D">
        <w:rPr>
          <w:rStyle w:val="eop"/>
          <w:rFonts w:cs="Segoe UI"/>
        </w:rPr>
        <w:t xml:space="preserve">which often causes resubmissions </w:t>
      </w:r>
      <w:r w:rsidR="00E26D20">
        <w:rPr>
          <w:rStyle w:val="eop"/>
          <w:rFonts w:cs="Segoe UI"/>
        </w:rPr>
        <w:t xml:space="preserve">if it </w:t>
      </w:r>
      <w:r w:rsidR="005C60DF" w:rsidRPr="181A6C29">
        <w:rPr>
          <w:rStyle w:val="eop"/>
          <w:rFonts w:cs="Segoe UI"/>
        </w:rPr>
        <w:t>is</w:t>
      </w:r>
      <w:r w:rsidR="1804F39B" w:rsidRPr="181A6C29">
        <w:rPr>
          <w:rStyle w:val="eop"/>
          <w:rFonts w:cs="Segoe UI"/>
        </w:rPr>
        <w:t xml:space="preserve"> not</w:t>
      </w:r>
      <w:r w:rsidR="005C60DF">
        <w:rPr>
          <w:rStyle w:val="eop"/>
          <w:rFonts w:cs="Segoe UI"/>
        </w:rPr>
        <w:t xml:space="preserve"> economically viable </w:t>
      </w:r>
      <w:r w:rsidR="00BF2EB8">
        <w:rPr>
          <w:rStyle w:val="eop"/>
          <w:rFonts w:cs="Segoe UI"/>
        </w:rPr>
        <w:t xml:space="preserve">at that price. </w:t>
      </w:r>
    </w:p>
    <w:p w14:paraId="7F997FD8" w14:textId="5E9455F6" w:rsidR="00CF7FAB" w:rsidRDefault="00CF7FAB" w:rsidP="00CF7FAB">
      <w:pPr>
        <w:pStyle w:val="Heading3"/>
        <w:rPr>
          <w:rStyle w:val="eop"/>
        </w:rPr>
      </w:pPr>
      <w:bookmarkStart w:id="153" w:name="_Toc157029082"/>
      <w:r>
        <w:rPr>
          <w:rStyle w:val="eop"/>
        </w:rPr>
        <w:t>Issues</w:t>
      </w:r>
      <w:bookmarkEnd w:id="153"/>
    </w:p>
    <w:p w14:paraId="7AB2F330" w14:textId="1AF6C13F" w:rsidR="00743215" w:rsidRDefault="00EA3D0D" w:rsidP="00CF7FAB">
      <w:pPr>
        <w:rPr>
          <w:rStyle w:val="normaltextrun"/>
          <w:rFonts w:cs="Segoe UI"/>
        </w:rPr>
      </w:pPr>
      <w:r>
        <w:rPr>
          <w:rStyle w:val="normaltextrun"/>
          <w:rFonts w:cs="Segoe UI"/>
        </w:rPr>
        <w:t xml:space="preserve">A lack of </w:t>
      </w:r>
      <w:r w:rsidR="00CA00B0">
        <w:rPr>
          <w:rStyle w:val="normaltextrun"/>
          <w:rFonts w:cs="Segoe UI"/>
        </w:rPr>
        <w:t>timely stakeholder input into the PICO</w:t>
      </w:r>
      <w:r w:rsidR="0068258A">
        <w:rPr>
          <w:rStyle w:val="normaltextrun"/>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normaltextrun"/>
          <w:rFonts w:cs="Segoe UI"/>
        </w:rPr>
        <w:fldChar w:fldCharType="end"/>
      </w:r>
      <w:r w:rsidR="00CA00B0">
        <w:rPr>
          <w:rStyle w:val="normaltextrun"/>
          <w:rFonts w:cs="Segoe UI"/>
        </w:rPr>
        <w:t xml:space="preserve"> </w:t>
      </w:r>
      <w:r w:rsidR="00966875">
        <w:rPr>
          <w:rStyle w:val="normaltextrun"/>
          <w:rFonts w:cs="Segoe UI"/>
        </w:rPr>
        <w:t xml:space="preserve">is negatively impacting the performance of the HTA system </w:t>
      </w:r>
      <w:r w:rsidR="00350C3D">
        <w:rPr>
          <w:rStyle w:val="normaltextrun"/>
          <w:rFonts w:cs="Segoe UI"/>
        </w:rPr>
        <w:t xml:space="preserve">including increasing the number of resubmissions, important sub-populations not being identified, and a lack of </w:t>
      </w:r>
      <w:r w:rsidR="001B566B">
        <w:rPr>
          <w:rStyle w:val="normaltextrun"/>
          <w:rFonts w:cs="Segoe UI"/>
        </w:rPr>
        <w:t xml:space="preserve">HTA Committee understanding of </w:t>
      </w:r>
      <w:r w:rsidR="00CF66C3">
        <w:rPr>
          <w:rStyle w:val="normaltextrun"/>
          <w:rFonts w:cs="Segoe UI"/>
        </w:rPr>
        <w:t xml:space="preserve">patient relevant outcomes. </w:t>
      </w:r>
    </w:p>
    <w:p w14:paraId="174F17EB" w14:textId="2C61726A" w:rsidR="007645D8" w:rsidRDefault="00F3017F" w:rsidP="00CF7FAB">
      <w:pPr>
        <w:rPr>
          <w:rFonts w:cs="Segoe UI"/>
        </w:rPr>
      </w:pPr>
      <w:r w:rsidRPr="00F3017F">
        <w:rPr>
          <w:rFonts w:cs="Segoe UI"/>
        </w:rPr>
        <w:t>There is a disparity of interests between the sponsor, the Government and patient and clinician communities that impacts the patient population that is included in the PICO</w:t>
      </w:r>
      <w:r w:rsidR="0068258A">
        <w:rPr>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cs="Segoe UI"/>
        </w:rPr>
        <w:fldChar w:fldCharType="end"/>
      </w:r>
      <w:r w:rsidRPr="00F3017F">
        <w:rPr>
          <w:rFonts w:cs="Segoe UI"/>
        </w:rPr>
        <w:t xml:space="preserve">, with both Government and </w:t>
      </w:r>
      <w:r w:rsidR="00EB0406">
        <w:rPr>
          <w:rFonts w:cs="Segoe UI"/>
        </w:rPr>
        <w:t>s</w:t>
      </w:r>
      <w:r w:rsidRPr="00F3017F">
        <w:rPr>
          <w:rFonts w:cs="Segoe UI"/>
        </w:rPr>
        <w:t xml:space="preserve">ponsors often having an interest in having a </w:t>
      </w:r>
      <w:r w:rsidR="00271762" w:rsidRPr="00F3017F">
        <w:rPr>
          <w:rFonts w:cs="Segoe UI"/>
        </w:rPr>
        <w:t>narrower</w:t>
      </w:r>
      <w:r w:rsidRPr="00F3017F">
        <w:rPr>
          <w:rFonts w:cs="Segoe UI"/>
        </w:rPr>
        <w:t xml:space="preserve"> patient population. This is problematic when patient populations who would stand to benefit greatly from the additional new treatment are not included in the application for listing. This issue is primary derived from the fact that patient and clinicians are not included in the early discussions about which populations will be included</w:t>
      </w:r>
      <w:r w:rsidR="00966E39">
        <w:rPr>
          <w:rFonts w:cs="Segoe UI"/>
        </w:rPr>
        <w:t xml:space="preserve"> in the submission</w:t>
      </w:r>
      <w:r w:rsidRPr="00F3017F">
        <w:rPr>
          <w:rFonts w:cs="Segoe UI"/>
        </w:rPr>
        <w:t xml:space="preserve">. </w:t>
      </w:r>
    </w:p>
    <w:p w14:paraId="4A31B71A" w14:textId="5162A753" w:rsidR="00F3017F" w:rsidRDefault="007645D8" w:rsidP="00CF7FAB">
      <w:pPr>
        <w:rPr>
          <w:rFonts w:cs="Segoe UI"/>
        </w:rPr>
      </w:pPr>
      <w:r>
        <w:rPr>
          <w:rFonts w:cs="Segoe UI"/>
        </w:rPr>
        <w:t xml:space="preserve">Further, </w:t>
      </w:r>
      <w:r>
        <w:rPr>
          <w:rStyle w:val="normaltextrun"/>
          <w:rFonts w:cs="Segoe UI"/>
        </w:rPr>
        <w:t>t</w:t>
      </w:r>
      <w:r w:rsidRPr="002049A1">
        <w:rPr>
          <w:rStyle w:val="normaltextrun"/>
          <w:rFonts w:cs="Segoe UI"/>
        </w:rPr>
        <w:t>here is a general lack of opportunity for patient perspectives to be incorporated into the PICO</w:t>
      </w:r>
      <w:r w:rsidR="0068258A">
        <w:rPr>
          <w:rStyle w:val="normaltextrun"/>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normaltextrun"/>
          <w:rFonts w:cs="Segoe UI"/>
        </w:rPr>
        <w:fldChar w:fldCharType="end"/>
      </w:r>
      <w:r w:rsidRPr="002049A1">
        <w:rPr>
          <w:rStyle w:val="normaltextrun"/>
          <w:rFonts w:cs="Segoe UI"/>
        </w:rPr>
        <w:t>, or for participatory dialogue that informs the shaping of PICO criteria to include patient input.</w:t>
      </w:r>
      <w:r w:rsidR="007A1B3A">
        <w:rPr>
          <w:rStyle w:val="normaltextrun"/>
          <w:rFonts w:cs="Segoe UI"/>
        </w:rPr>
        <w:t xml:space="preserve"> </w:t>
      </w:r>
      <w:r w:rsidRPr="002049A1">
        <w:rPr>
          <w:rStyle w:val="normaltextrun"/>
          <w:rFonts w:cs="Segoe UI"/>
        </w:rPr>
        <w:t>There is a lack of transparency</w:t>
      </w:r>
      <w:r w:rsidR="002A0D74">
        <w:rPr>
          <w:rStyle w:val="normaltextrun"/>
          <w:rFonts w:cs="Segoe UI"/>
        </w:rPr>
        <w:fldChar w:fldCharType="begin"/>
      </w:r>
      <w:r w:rsidR="002A0D74">
        <w:instrText xml:space="preserve"> XE "</w:instrText>
      </w:r>
      <w:r w:rsidR="002A0D74" w:rsidRPr="005B2802">
        <w:instrText>transparency</w:instrText>
      </w:r>
      <w:r w:rsidR="002A0D74">
        <w:instrText xml:space="preserve">" </w:instrText>
      </w:r>
      <w:r w:rsidR="002A0D74">
        <w:rPr>
          <w:rStyle w:val="normaltextrun"/>
          <w:rFonts w:cs="Segoe UI"/>
        </w:rPr>
        <w:fldChar w:fldCharType="end"/>
      </w:r>
      <w:r w:rsidRPr="002049A1">
        <w:rPr>
          <w:rStyle w:val="normaltextrun"/>
          <w:rFonts w:cs="Segoe UI"/>
        </w:rPr>
        <w:t xml:space="preserve"> relating to the PICO prior to PBAC consideration (such as plain language submission summaries) which impacts patients, </w:t>
      </w:r>
      <w:proofErr w:type="gramStart"/>
      <w:r w:rsidRPr="002049A1">
        <w:rPr>
          <w:rStyle w:val="normaltextrun"/>
          <w:rFonts w:cs="Segoe UI"/>
        </w:rPr>
        <w:t>clinicians</w:t>
      </w:r>
      <w:proofErr w:type="gramEnd"/>
      <w:r w:rsidRPr="002049A1">
        <w:rPr>
          <w:rStyle w:val="normaltextrun"/>
          <w:rFonts w:cs="Segoe UI"/>
        </w:rPr>
        <w:t xml:space="preserve"> and carers as there is often confusion regarding the intended treatment population, and the benefit of the treatment for different populations/sub-groups. </w:t>
      </w:r>
    </w:p>
    <w:p w14:paraId="42CDE57C" w14:textId="097F9FDF" w:rsidR="009D4F67" w:rsidRDefault="002049A1" w:rsidP="00CF7FAB">
      <w:pPr>
        <w:rPr>
          <w:rStyle w:val="normaltextrun"/>
          <w:rFonts w:cs="Segoe UI"/>
        </w:rPr>
      </w:pPr>
      <w:r w:rsidRPr="002049A1">
        <w:rPr>
          <w:rStyle w:val="normaltextrun"/>
          <w:rFonts w:cs="Segoe UI"/>
        </w:rPr>
        <w:t>Divergence on the acceptability and relevance of PICO</w:t>
      </w:r>
      <w:r w:rsidR="0068258A">
        <w:rPr>
          <w:rStyle w:val="normaltextrun"/>
          <w:rFonts w:cs="Segoe UI"/>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Style w:val="normaltextrun"/>
          <w:rFonts w:cs="Segoe UI"/>
        </w:rPr>
        <w:fldChar w:fldCharType="end"/>
      </w:r>
      <w:r w:rsidRPr="002049A1">
        <w:rPr>
          <w:rStyle w:val="normaltextrun"/>
          <w:rFonts w:cs="Segoe UI"/>
        </w:rPr>
        <w:t xml:space="preserve"> criteria in the context of HTA evaluation can lead to different recommendations, and may result in increased practical costs, and/or delayed access to certain health technologies for patients.</w:t>
      </w:r>
      <w:r w:rsidR="007A1B3A">
        <w:rPr>
          <w:rStyle w:val="normaltextrun"/>
          <w:rFonts w:cs="Segoe UI"/>
        </w:rPr>
        <w:t xml:space="preserve"> </w:t>
      </w:r>
    </w:p>
    <w:p w14:paraId="30D07CCC" w14:textId="6804A4FF" w:rsidR="002049A1" w:rsidRPr="001C3C16" w:rsidRDefault="002049A1" w:rsidP="00CF7FAB">
      <w:pPr>
        <w:rPr>
          <w:rStyle w:val="normaltextrun"/>
        </w:rPr>
      </w:pPr>
      <w:r w:rsidRPr="002049A1">
        <w:rPr>
          <w:rStyle w:val="normaltextrun"/>
          <w:rFonts w:cs="Segoe UI"/>
        </w:rPr>
        <w:lastRenderedPageBreak/>
        <w:t>Currently, the assessment of how new medicines affect health equity</w:t>
      </w:r>
      <w:r w:rsidR="00A67FBB">
        <w:rPr>
          <w:rStyle w:val="normaltextrun"/>
          <w:rFonts w:cs="Segoe UI"/>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rStyle w:val="normaltextrun"/>
          <w:rFonts w:cs="Segoe UI"/>
        </w:rPr>
        <w:fldChar w:fldCharType="end"/>
      </w:r>
      <w:r w:rsidRPr="002049A1">
        <w:rPr>
          <w:rStyle w:val="normaltextrun"/>
          <w:rFonts w:cs="Segoe UI"/>
        </w:rPr>
        <w:t xml:space="preserve"> is open for sponsors to include </w:t>
      </w:r>
      <w:r w:rsidR="00097ECF">
        <w:rPr>
          <w:rStyle w:val="normaltextrun"/>
          <w:rFonts w:cs="Segoe UI"/>
        </w:rPr>
        <w:t xml:space="preserve">at their discretion. </w:t>
      </w:r>
      <w:r w:rsidRPr="002049A1">
        <w:rPr>
          <w:rStyle w:val="normaltextrun"/>
          <w:rFonts w:cs="Segoe UI"/>
        </w:rPr>
        <w:t xml:space="preserve">Similarly, there is no mechanism to require the consideration of specific priority populations in </w:t>
      </w:r>
      <w:r w:rsidRPr="002175D3">
        <w:rPr>
          <w:rStyle w:val="normaltextrun"/>
          <w:rFonts w:cs="Segoe UI"/>
        </w:rPr>
        <w:t>a</w:t>
      </w:r>
      <w:r w:rsidRPr="002049A1">
        <w:rPr>
          <w:rStyle w:val="normaltextrun"/>
          <w:rFonts w:cs="Segoe UI"/>
        </w:rPr>
        <w:t xml:space="preserve"> HTA submission.</w:t>
      </w:r>
      <w:r w:rsidRPr="009D14F6">
        <w:rPr>
          <w:rStyle w:val="normaltextrun"/>
        </w:rPr>
        <w:t> </w:t>
      </w:r>
      <w:r w:rsidR="005C17D5" w:rsidRPr="00CF7FAB">
        <w:t xml:space="preserve">This </w:t>
      </w:r>
      <w:r w:rsidR="005D4117" w:rsidRPr="00CF7FAB">
        <w:t xml:space="preserve">often means that the impacts on health equity </w:t>
      </w:r>
      <w:r w:rsidR="00452FA6" w:rsidRPr="00CF7FAB">
        <w:t xml:space="preserve">of a submission are only included if </w:t>
      </w:r>
      <w:r w:rsidR="00AB3305" w:rsidRPr="00CF7FAB">
        <w:t>it is beneficial to the sponsors submission.</w:t>
      </w:r>
      <w:r w:rsidR="004579EA" w:rsidRPr="00E700AB">
        <w:t xml:space="preserve"> </w:t>
      </w:r>
    </w:p>
    <w:p w14:paraId="2A2DAD21" w14:textId="57B050EE" w:rsidR="004E65F6" w:rsidRPr="006647C5" w:rsidRDefault="004E65F6" w:rsidP="00DF557A">
      <w:pPr>
        <w:pStyle w:val="Heading3"/>
      </w:pPr>
      <w:bookmarkStart w:id="154" w:name="_Toc157029083"/>
      <w:r w:rsidRPr="006647C5">
        <w:t>Options</w:t>
      </w:r>
      <w:bookmarkEnd w:id="154"/>
    </w:p>
    <w:p w14:paraId="3C615E54" w14:textId="5FF6886E" w:rsidR="00B86AFB" w:rsidRDefault="00B86AFB" w:rsidP="00B86AFB">
      <w:pPr>
        <w:spacing w:before="40"/>
        <w:rPr>
          <w:rFonts w:eastAsia="Arial" w:cs="Arial"/>
        </w:rPr>
      </w:pPr>
      <w:r>
        <w:t xml:space="preserve">We </w:t>
      </w:r>
      <w:r w:rsidRPr="39F46EAD">
        <w:rPr>
          <w:rFonts w:eastAsia="Arial" w:cs="Arial"/>
        </w:rPr>
        <w:t>note the general positive support from stakeholders in respect of the necessity and need for clarity in respect of PICO</w:t>
      </w:r>
      <w:r w:rsidR="0068258A">
        <w:rPr>
          <w:rFonts w:eastAsia="Arial" w:cs="Arial"/>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Arial" w:cs="Arial"/>
        </w:rPr>
        <w:fldChar w:fldCharType="end"/>
      </w:r>
      <w:r w:rsidRPr="39F46EAD">
        <w:rPr>
          <w:rFonts w:eastAsia="Arial" w:cs="Arial"/>
        </w:rPr>
        <w:t xml:space="preserve"> criteria, as part of supporting high quality HTA submissions and resulting evaluation advice and recommendations to the Government. </w:t>
      </w:r>
    </w:p>
    <w:p w14:paraId="7E6C7DC6" w14:textId="21922E18" w:rsidR="00B86AFB" w:rsidRDefault="00B86AFB" w:rsidP="00B86AFB">
      <w:pPr>
        <w:spacing w:before="40"/>
        <w:rPr>
          <w:rFonts w:eastAsia="Arial" w:cs="Arial"/>
          <w:szCs w:val="22"/>
        </w:rPr>
      </w:pPr>
      <w:r>
        <w:rPr>
          <w:rFonts w:eastAsia="Arial" w:cs="Arial"/>
          <w:szCs w:val="22"/>
        </w:rPr>
        <w:t>We consider reforms that would enable earlier consensus on the PICO</w:t>
      </w:r>
      <w:r w:rsidR="0068258A">
        <w:rPr>
          <w:rFonts w:eastAsia="Arial" w:cs="Arial"/>
          <w:szCs w:val="22"/>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Arial" w:cs="Arial"/>
          <w:szCs w:val="22"/>
        </w:rPr>
        <w:fldChar w:fldCharType="end"/>
      </w:r>
      <w:r>
        <w:rPr>
          <w:rFonts w:eastAsia="Arial" w:cs="Arial"/>
          <w:szCs w:val="22"/>
        </w:rPr>
        <w:t xml:space="preserve"> </w:t>
      </w:r>
      <w:r w:rsidR="00270131">
        <w:rPr>
          <w:rFonts w:eastAsia="Arial" w:cs="Arial"/>
          <w:szCs w:val="22"/>
        </w:rPr>
        <w:t xml:space="preserve">to </w:t>
      </w:r>
      <w:r>
        <w:rPr>
          <w:rFonts w:eastAsia="Arial" w:cs="Arial"/>
          <w:szCs w:val="22"/>
        </w:rPr>
        <w:t xml:space="preserve">ensure that insights are drawn from a diverse range of stakeholders could improve acceptability of submissions and address concern about stakeholder engagement. </w:t>
      </w:r>
    </w:p>
    <w:p w14:paraId="23221D27" w14:textId="7C7798B8" w:rsidR="00B86AFB" w:rsidRDefault="00B86AFB" w:rsidP="00B86AFB">
      <w:pPr>
        <w:spacing w:before="40"/>
        <w:rPr>
          <w:rFonts w:eastAsia="Arial" w:cs="Arial"/>
          <w:szCs w:val="22"/>
        </w:rPr>
      </w:pPr>
      <w:r>
        <w:rPr>
          <w:rFonts w:eastAsia="Arial" w:cs="Arial"/>
          <w:szCs w:val="22"/>
        </w:rPr>
        <w:t>We appreciate that there is particular interest in selection of the comparator for the PICO</w:t>
      </w:r>
      <w:r w:rsidR="0068258A">
        <w:rPr>
          <w:rFonts w:eastAsia="Arial" w:cs="Arial"/>
          <w:szCs w:val="22"/>
        </w:rPr>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rPr>
          <w:rFonts w:eastAsia="Arial" w:cs="Arial"/>
          <w:szCs w:val="22"/>
        </w:rPr>
        <w:fldChar w:fldCharType="end"/>
      </w:r>
      <w:r>
        <w:rPr>
          <w:rFonts w:eastAsia="Arial" w:cs="Arial"/>
          <w:szCs w:val="22"/>
        </w:rPr>
        <w:t xml:space="preserve">. </w:t>
      </w:r>
      <w:r w:rsidRPr="003956B9">
        <w:rPr>
          <w:rFonts w:eastAsia="Arial" w:cs="Arial"/>
          <w:szCs w:val="22"/>
        </w:rPr>
        <w:t xml:space="preserve">This is discussed further in the </w:t>
      </w:r>
      <w:r w:rsidR="0006501A" w:rsidRPr="003956B9">
        <w:rPr>
          <w:rFonts w:eastAsia="Arial" w:cs="Arial"/>
          <w:szCs w:val="22"/>
        </w:rPr>
        <w:fldChar w:fldCharType="begin"/>
      </w:r>
      <w:r w:rsidR="0006501A" w:rsidRPr="003956B9">
        <w:rPr>
          <w:rFonts w:eastAsia="Arial" w:cs="Arial"/>
          <w:szCs w:val="22"/>
        </w:rPr>
        <w:instrText xml:space="preserve"> REF _Ref156896822 \h </w:instrText>
      </w:r>
      <w:r w:rsidR="00C978B3">
        <w:rPr>
          <w:rFonts w:eastAsia="Arial" w:cs="Arial"/>
          <w:szCs w:val="22"/>
        </w:rPr>
        <w:instrText xml:space="preserve"> \* MERGEFORMAT</w:instrText>
      </w:r>
      <w:r w:rsidR="00C978B3" w:rsidRPr="00F81AF3">
        <w:rPr>
          <w:rFonts w:eastAsia="Arial" w:cs="Arial"/>
          <w:szCs w:val="22"/>
        </w:rPr>
        <w:instrText xml:space="preserve"> </w:instrText>
      </w:r>
      <w:r w:rsidR="0006501A" w:rsidRPr="003956B9">
        <w:rPr>
          <w:rFonts w:eastAsia="Arial" w:cs="Arial"/>
          <w:szCs w:val="22"/>
        </w:rPr>
      </w:r>
      <w:r w:rsidR="0006501A" w:rsidRPr="003956B9">
        <w:rPr>
          <w:rFonts w:eastAsia="Arial" w:cs="Arial"/>
          <w:szCs w:val="22"/>
        </w:rPr>
        <w:fldChar w:fldCharType="separate"/>
      </w:r>
      <w:r w:rsidR="00474ED6" w:rsidRPr="006647C5">
        <w:t>Economic evaluation</w:t>
      </w:r>
      <w:r w:rsidR="0006501A" w:rsidRPr="003956B9">
        <w:rPr>
          <w:rFonts w:eastAsia="Arial" w:cs="Arial"/>
          <w:szCs w:val="22"/>
        </w:rPr>
        <w:fldChar w:fldCharType="end"/>
      </w:r>
      <w:r w:rsidR="00C978B3" w:rsidRPr="003956B9">
        <w:rPr>
          <w:rFonts w:eastAsia="Arial" w:cs="Arial"/>
          <w:szCs w:val="22"/>
        </w:rPr>
        <w:t xml:space="preserve"> section</w:t>
      </w:r>
      <w:r w:rsidRPr="003956B9">
        <w:rPr>
          <w:rFonts w:eastAsia="Arial" w:cs="Arial"/>
          <w:szCs w:val="22"/>
        </w:rPr>
        <w:t>.</w:t>
      </w:r>
      <w:r>
        <w:rPr>
          <w:rFonts w:eastAsia="Arial" w:cs="Arial"/>
          <w:szCs w:val="22"/>
        </w:rPr>
        <w:t xml:space="preserve"> </w:t>
      </w:r>
    </w:p>
    <w:tbl>
      <w:tblPr>
        <w:tblStyle w:val="TableGrid"/>
        <w:tblpPr w:leftFromText="181" w:rightFromText="181" w:bottomFromText="142" w:vertAnchor="text" w:tblpY="1"/>
        <w:tblOverlap w:val="never"/>
        <w:tblW w:w="9214" w:type="dxa"/>
        <w:tblCellMar>
          <w:top w:w="113" w:type="dxa"/>
          <w:bottom w:w="113" w:type="dxa"/>
        </w:tblCellMar>
        <w:tblLook w:val="04A0" w:firstRow="1" w:lastRow="0" w:firstColumn="1" w:lastColumn="0" w:noHBand="0" w:noVBand="1"/>
      </w:tblPr>
      <w:tblGrid>
        <w:gridCol w:w="9214"/>
      </w:tblGrid>
      <w:tr w:rsidR="00912D07" w14:paraId="132ABDA0" w14:textId="77777777" w:rsidTr="004C6C5F">
        <w:trPr>
          <w:trHeight w:val="1449"/>
        </w:trPr>
        <w:tc>
          <w:tcPr>
            <w:tcW w:w="9214" w:type="dxa"/>
            <w:tcBorders>
              <w:top w:val="single" w:sz="18" w:space="0" w:color="ACC02A" w:themeColor="accent5"/>
              <w:left w:val="nil"/>
              <w:bottom w:val="nil"/>
              <w:right w:val="nil"/>
            </w:tcBorders>
            <w:shd w:val="clear" w:color="auto" w:fill="F2F2F2" w:themeFill="background1" w:themeFillShade="F2"/>
          </w:tcPr>
          <w:p w14:paraId="4A53FD6E" w14:textId="28B54A42" w:rsidR="00EA5EA8" w:rsidRPr="004C6C5F" w:rsidRDefault="00EA5EA8" w:rsidP="001D3151">
            <w:pPr>
              <w:spacing w:line="259" w:lineRule="auto"/>
              <w:rPr>
                <w:rFonts w:eastAsia="Times New Roman" w:cs="Segoe UI"/>
                <w:b/>
                <w:lang w:eastAsia="en-AU"/>
              </w:rPr>
            </w:pPr>
            <w:r w:rsidRPr="004C6C5F">
              <w:rPr>
                <w:rFonts w:eastAsia="Times New Roman" w:cs="Segoe UI"/>
                <w:b/>
                <w:lang w:eastAsia="en-AU"/>
              </w:rPr>
              <w:t xml:space="preserve">Increased early stakeholder </w:t>
            </w:r>
            <w:proofErr w:type="gramStart"/>
            <w:r w:rsidRPr="004C6C5F">
              <w:rPr>
                <w:rFonts w:eastAsia="Times New Roman" w:cs="Segoe UI"/>
                <w:b/>
                <w:color w:val="222A35"/>
                <w:kern w:val="24"/>
                <w:lang w:eastAsia="en-AU"/>
              </w:rPr>
              <w:t>input</w:t>
            </w:r>
            <w:proofErr w:type="gramEnd"/>
          </w:p>
          <w:p w14:paraId="67B12D7B" w14:textId="7CB6246E" w:rsidR="00912D07" w:rsidRPr="00075A05" w:rsidRDefault="00EA5EA8" w:rsidP="001D3151">
            <w:pPr>
              <w:spacing w:line="259" w:lineRule="auto"/>
            </w:pPr>
            <w:r w:rsidRPr="00EA5EA8">
              <w:rPr>
                <w:rFonts w:eastAsia="Times New Roman" w:cs="Segoe UI"/>
                <w:lang w:eastAsia="en-AU"/>
              </w:rPr>
              <w:t xml:space="preserve">Increased early input on the PICO from patient and clinician communities to ensure all relevant patient populations that could potentially benefit from the new therapy are considered in the HTA, and to identify issues that may impact implementation early to be to be addressed (for new drugs or major expanded indications claiming added therapeutic value). </w:t>
            </w:r>
          </w:p>
        </w:tc>
      </w:tr>
    </w:tbl>
    <w:p w14:paraId="3F187243" w14:textId="77777777" w:rsidR="00C31718" w:rsidRDefault="00C31718" w:rsidP="00980D35">
      <w:pPr>
        <w:spacing w:after="0"/>
      </w:pPr>
    </w:p>
    <w:tbl>
      <w:tblPr>
        <w:tblStyle w:val="TableGrid"/>
        <w:tblW w:w="9214" w:type="dxa"/>
        <w:tblLook w:val="04A0" w:firstRow="1" w:lastRow="0" w:firstColumn="1" w:lastColumn="0" w:noHBand="0" w:noVBand="1"/>
      </w:tblPr>
      <w:tblGrid>
        <w:gridCol w:w="9214"/>
      </w:tblGrid>
      <w:tr w:rsidR="00980D35" w14:paraId="4C41A1B8" w14:textId="77777777">
        <w:tc>
          <w:tcPr>
            <w:tcW w:w="9214" w:type="dxa"/>
            <w:tcBorders>
              <w:top w:val="single" w:sz="18" w:space="0" w:color="ACC02A" w:themeColor="accent5"/>
              <w:left w:val="nil"/>
              <w:bottom w:val="nil"/>
              <w:right w:val="nil"/>
            </w:tcBorders>
            <w:shd w:val="clear" w:color="auto" w:fill="F2F2F2" w:themeFill="background1" w:themeFillShade="F2"/>
          </w:tcPr>
          <w:p w14:paraId="79A7C2ED" w14:textId="77777777" w:rsidR="00980D35" w:rsidRPr="004C6C5F" w:rsidRDefault="00980D35">
            <w:pPr>
              <w:spacing w:before="120" w:after="160" w:line="259" w:lineRule="auto"/>
              <w:rPr>
                <w:rFonts w:eastAsia="Times New Roman" w:cs="Segoe UI"/>
                <w:b/>
                <w:bCs/>
                <w:lang w:eastAsia="en-AU"/>
              </w:rPr>
            </w:pPr>
            <w:r w:rsidRPr="004C6C5F">
              <w:rPr>
                <w:rFonts w:eastAsia="Times New Roman" w:cs="Segoe UI"/>
                <w:b/>
                <w:bCs/>
                <w:lang w:eastAsia="en-AU"/>
              </w:rPr>
              <w:t>Increased transparency</w:t>
            </w:r>
            <w:r w:rsidRPr="004C6C5F">
              <w:rPr>
                <w:rFonts w:eastAsia="Times New Roman" w:cs="Segoe UI"/>
                <w:b/>
                <w:bCs/>
                <w:lang w:eastAsia="en-AU"/>
              </w:rPr>
              <w:fldChar w:fldCharType="begin"/>
            </w:r>
            <w:r w:rsidRPr="004C6C5F">
              <w:rPr>
                <w:b/>
                <w:bCs/>
              </w:rPr>
              <w:instrText xml:space="preserve"> XE "transparency" </w:instrText>
            </w:r>
            <w:r w:rsidRPr="004C6C5F">
              <w:rPr>
                <w:rFonts w:eastAsia="Times New Roman" w:cs="Segoe UI"/>
                <w:b/>
                <w:bCs/>
                <w:lang w:eastAsia="en-AU"/>
              </w:rPr>
              <w:fldChar w:fldCharType="end"/>
            </w:r>
            <w:r w:rsidRPr="004C6C5F">
              <w:rPr>
                <w:rFonts w:eastAsia="Times New Roman" w:cs="Segoe UI"/>
                <w:b/>
                <w:bCs/>
                <w:lang w:eastAsia="en-AU"/>
              </w:rPr>
              <w:t xml:space="preserve"> for stakeholders</w:t>
            </w:r>
          </w:p>
          <w:p w14:paraId="33EDFE4D" w14:textId="54A69A9C" w:rsidR="00980D35" w:rsidRDefault="00980D35">
            <w:pPr>
              <w:spacing w:after="160" w:line="259" w:lineRule="auto"/>
            </w:pPr>
            <w:r w:rsidRPr="00EA5EA8">
              <w:rPr>
                <w:rFonts w:eastAsia="Times New Roman" w:cs="Segoe UI"/>
                <w:lang w:eastAsia="en-AU"/>
              </w:rPr>
              <w:t>That plain language summaries of the PICO are produced in collaboration</w:t>
            </w:r>
            <w:r w:rsidR="00306661">
              <w:rPr>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lang w:eastAsia="en-AU"/>
              </w:rPr>
              <w:fldChar w:fldCharType="end"/>
            </w:r>
            <w:r w:rsidRPr="00EA5EA8">
              <w:rPr>
                <w:rFonts w:eastAsia="Times New Roman" w:cs="Segoe UI"/>
                <w:lang w:eastAsia="en-AU"/>
              </w:rPr>
              <w:t xml:space="preserve"> between the sponsor and the </w:t>
            </w:r>
            <w:r>
              <w:rPr>
                <w:rFonts w:eastAsia="Times New Roman" w:cs="Segoe UI"/>
                <w:lang w:eastAsia="en-AU"/>
              </w:rPr>
              <w:t>D</w:t>
            </w:r>
            <w:r w:rsidRPr="00EA5EA8">
              <w:rPr>
                <w:rFonts w:eastAsia="Times New Roman" w:cs="Segoe UI"/>
                <w:lang w:eastAsia="en-AU"/>
              </w:rPr>
              <w:t xml:space="preserve">epartment to be released with the PBAC agenda to increase transparency for patient populations about the proposed treatment population and communicate the expected benefit (outcome) to assist in patients and carers in planning and managing expectations (for new drugs or major expanded indications claiming added therapeutic value). </w:t>
            </w:r>
          </w:p>
        </w:tc>
      </w:tr>
    </w:tbl>
    <w:p w14:paraId="0CE5F034" w14:textId="77777777" w:rsidR="00980D35" w:rsidRDefault="00980D35" w:rsidP="00980D35">
      <w:pPr>
        <w:spacing w:after="0"/>
      </w:pPr>
    </w:p>
    <w:tbl>
      <w:tblPr>
        <w:tblStyle w:val="TableGrid"/>
        <w:tblW w:w="9214" w:type="dxa"/>
        <w:tblLook w:val="04A0" w:firstRow="1" w:lastRow="0" w:firstColumn="1" w:lastColumn="0" w:noHBand="0" w:noVBand="1"/>
      </w:tblPr>
      <w:tblGrid>
        <w:gridCol w:w="9214"/>
      </w:tblGrid>
      <w:tr w:rsidR="00980D35" w14:paraId="5F16B0BF" w14:textId="77777777">
        <w:tc>
          <w:tcPr>
            <w:tcW w:w="9214" w:type="dxa"/>
            <w:tcBorders>
              <w:top w:val="single" w:sz="18" w:space="0" w:color="ACC02A" w:themeColor="accent5"/>
              <w:left w:val="nil"/>
              <w:bottom w:val="nil"/>
              <w:right w:val="nil"/>
            </w:tcBorders>
            <w:shd w:val="clear" w:color="auto" w:fill="F2F2F2" w:themeFill="background1" w:themeFillShade="F2"/>
          </w:tcPr>
          <w:p w14:paraId="6C3CC4FE" w14:textId="77777777" w:rsidR="00980D35" w:rsidRPr="004C6C5F" w:rsidRDefault="00980D35">
            <w:pPr>
              <w:spacing w:before="120" w:after="160" w:line="259" w:lineRule="auto"/>
              <w:rPr>
                <w:rFonts w:eastAsia="Times New Roman" w:cs="Segoe UI"/>
                <w:b/>
                <w:bCs/>
                <w:lang w:eastAsia="en-AU"/>
              </w:rPr>
            </w:pPr>
            <w:r w:rsidRPr="004C6C5F">
              <w:rPr>
                <w:rFonts w:eastAsia="Times New Roman" w:cs="Segoe UI"/>
                <w:b/>
                <w:bCs/>
                <w:lang w:eastAsia="en-AU"/>
              </w:rPr>
              <w:t xml:space="preserve">Updated </w:t>
            </w:r>
            <w:r w:rsidRPr="004C6C5F">
              <w:rPr>
                <w:rFonts w:eastAsia="Times New Roman" w:cs="Segoe UI"/>
                <w:b/>
                <w:bCs/>
                <w:color w:val="222A35"/>
                <w:kern w:val="24"/>
                <w:lang w:eastAsia="en-AU"/>
              </w:rPr>
              <w:t>guidance</w:t>
            </w:r>
          </w:p>
          <w:p w14:paraId="725E36C3" w14:textId="77777777" w:rsidR="00980D35" w:rsidRPr="00EA5EA8" w:rsidRDefault="00980D35">
            <w:pPr>
              <w:spacing w:after="160" w:line="259" w:lineRule="auto"/>
              <w:rPr>
                <w:rFonts w:eastAsia="Times New Roman" w:cs="Segoe UI"/>
                <w:lang w:eastAsia="en-AU"/>
              </w:rPr>
            </w:pPr>
            <w:r w:rsidRPr="00EA5EA8">
              <w:rPr>
                <w:rFonts w:eastAsia="Times New Roman" w:cs="Segoe UI"/>
                <w:lang w:eastAsia="en-AU"/>
              </w:rPr>
              <w:t>Updated guidance to require the explicit consideration of equity and priority populations for new treatments.</w:t>
            </w:r>
          </w:p>
          <w:p w14:paraId="2367C5A9" w14:textId="6A647C26" w:rsidR="00980D35" w:rsidRDefault="00980D35">
            <w:pPr>
              <w:spacing w:after="120"/>
            </w:pPr>
            <w:r w:rsidRPr="00EA5EA8">
              <w:rPr>
                <w:rFonts w:eastAsia="Times New Roman" w:cs="Segoe UI"/>
                <w:lang w:eastAsia="en-AU"/>
              </w:rPr>
              <w:t xml:space="preserve">Additional guidance be produced regarding </w:t>
            </w:r>
            <w:r w:rsidRPr="4A3AD04A">
              <w:rPr>
                <w:rFonts w:eastAsia="Times New Roman" w:cs="Segoe UI"/>
                <w:lang w:eastAsia="en-AU"/>
              </w:rPr>
              <w:t xml:space="preserve">when and </w:t>
            </w:r>
            <w:r w:rsidRPr="00EA5EA8">
              <w:rPr>
                <w:rFonts w:eastAsia="Times New Roman" w:cs="Segoe UI"/>
                <w:lang w:eastAsia="en-AU"/>
              </w:rPr>
              <w:t>how PICO is to be developed</w:t>
            </w:r>
            <w:r w:rsidRPr="4A3AD04A">
              <w:rPr>
                <w:rFonts w:eastAsia="Times New Roman" w:cs="Segoe UI"/>
                <w:lang w:eastAsia="en-AU"/>
              </w:rPr>
              <w:t>, to ensure criteria</w:t>
            </w:r>
            <w:r w:rsidRPr="00EA5EA8">
              <w:rPr>
                <w:rFonts w:eastAsia="Times New Roman" w:cs="Segoe UI"/>
                <w:lang w:eastAsia="en-AU"/>
              </w:rPr>
              <w:t xml:space="preserve"> of importance to patients and clinicians </w:t>
            </w:r>
            <w:r w:rsidRPr="4A3AD04A">
              <w:rPr>
                <w:rFonts w:eastAsia="Times New Roman" w:cs="Segoe UI"/>
                <w:lang w:eastAsia="en-AU"/>
              </w:rPr>
              <w:t>(</w:t>
            </w:r>
            <w:proofErr w:type="gramStart"/>
            <w:r w:rsidRPr="4A3AD04A">
              <w:rPr>
                <w:rFonts w:eastAsia="Times New Roman" w:cs="Segoe UI"/>
                <w:lang w:eastAsia="en-AU"/>
              </w:rPr>
              <w:t>e.g.</w:t>
            </w:r>
            <w:proofErr w:type="gramEnd"/>
            <w:r w:rsidRPr="4A3AD04A">
              <w:rPr>
                <w:rFonts w:eastAsia="Times New Roman" w:cs="Segoe UI"/>
                <w:lang w:eastAsia="en-AU"/>
              </w:rPr>
              <w:t xml:space="preserve"> for HATV/HUCN</w:t>
            </w:r>
            <w:r w:rsidR="00D027D9">
              <w:rPr>
                <w:rFonts w:eastAsia="Times New Roman" w:cs="Segoe UI"/>
                <w:lang w:eastAsia="en-AU"/>
              </w:rPr>
              <w:fldChar w:fldCharType="begin"/>
            </w:r>
            <w:r w:rsidR="00D027D9">
              <w:instrText xml:space="preserve"> XE </w:instrText>
            </w:r>
            <w:r w:rsidR="00D027D9">
              <w:lastRenderedPageBreak/>
              <w:instrText>"</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lang w:eastAsia="en-AU"/>
              </w:rPr>
              <w:fldChar w:fldCharType="end"/>
            </w:r>
            <w:r w:rsidRPr="4A3AD04A">
              <w:rPr>
                <w:rFonts w:eastAsia="Times New Roman" w:cs="Segoe UI"/>
                <w:lang w:eastAsia="en-AU"/>
              </w:rPr>
              <w:t xml:space="preserve"> reasons) are appropriately considered and discussed.</w:t>
            </w:r>
          </w:p>
        </w:tc>
      </w:tr>
    </w:tbl>
    <w:p w14:paraId="1655302F" w14:textId="77777777" w:rsidR="00A20C07" w:rsidRDefault="00A20C07" w:rsidP="00A20C07"/>
    <w:p w14:paraId="371F08C6" w14:textId="26B60F37" w:rsidR="000E625D" w:rsidRDefault="000E625D" w:rsidP="002B7524">
      <w:pPr>
        <w:pStyle w:val="Heading2"/>
        <w:keepLines/>
        <w:spacing w:line="259" w:lineRule="auto"/>
        <w:ind w:left="709"/>
      </w:pPr>
      <w:bookmarkStart w:id="155" w:name="_Toc157029084"/>
      <w:bookmarkStart w:id="156" w:name="_Toc157029492"/>
      <w:bookmarkStart w:id="157" w:name="_Toc157030184"/>
      <w:r w:rsidRPr="006647C5">
        <w:t>Clinical evaluation</w:t>
      </w:r>
      <w:bookmarkEnd w:id="149"/>
      <w:bookmarkEnd w:id="155"/>
      <w:bookmarkEnd w:id="156"/>
      <w:bookmarkEnd w:id="157"/>
      <w:r w:rsidRPr="006647C5">
        <w:t xml:space="preserve"> </w:t>
      </w:r>
    </w:p>
    <w:p w14:paraId="5C1FF10F" w14:textId="5B63BD01" w:rsidR="00436134" w:rsidRPr="00117D66" w:rsidRDefault="005E432A" w:rsidP="002B7524">
      <w:pPr>
        <w:keepNext/>
        <w:keepLines/>
        <w:ind w:left="284"/>
        <w:rPr>
          <w:rStyle w:val="Hyperlink"/>
          <w:iCs/>
        </w:rPr>
      </w:pPr>
      <w:r>
        <w:rPr>
          <w:noProof/>
        </w:rPr>
        <mc:AlternateContent>
          <mc:Choice Requires="wps">
            <w:drawing>
              <wp:anchor distT="0" distB="0" distL="114300" distR="114300" simplePos="0" relativeHeight="251646464" behindDoc="0" locked="0" layoutInCell="1" allowOverlap="1" wp14:anchorId="4A93F3DB" wp14:editId="4AA65B1A">
                <wp:simplePos x="0" y="0"/>
                <wp:positionH relativeFrom="column">
                  <wp:posOffset>32657</wp:posOffset>
                </wp:positionH>
                <wp:positionV relativeFrom="paragraph">
                  <wp:posOffset>16329</wp:posOffset>
                </wp:positionV>
                <wp:extent cx="0" cy="425812"/>
                <wp:effectExtent l="19050" t="0" r="19050" b="31750"/>
                <wp:wrapNone/>
                <wp:docPr id="63" name="Straight Connector 63"/>
                <wp:cNvGraphicFramePr/>
                <a:graphic xmlns:a="http://schemas.openxmlformats.org/drawingml/2006/main">
                  <a:graphicData uri="http://schemas.microsoft.com/office/word/2010/wordprocessingShape">
                    <wps:wsp>
                      <wps:cNvCnPr/>
                      <wps:spPr>
                        <a:xfrm>
                          <a:off x="0" y="0"/>
                          <a:ext cx="0" cy="425812"/>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39D94" id="Straight Connector 6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3pt" to="2.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" strokecolor="#1d437f [3204]" strokeweight="2.25pt">
                <v:stroke joinstyle="miter"/>
              </v:line>
            </w:pict>
          </mc:Fallback>
        </mc:AlternateContent>
      </w:r>
      <w:r w:rsidR="005D32B1" w:rsidRPr="005E432A">
        <w:rPr>
          <w:iCs/>
        </w:rPr>
        <w:t>T</w:t>
      </w:r>
      <w:r w:rsidR="00BF628F" w:rsidRPr="005E432A">
        <w:rPr>
          <w:iCs/>
        </w:rPr>
        <w:t xml:space="preserve">his section should be read in conjunction with </w:t>
      </w:r>
      <w:r>
        <w:fldChar w:fldCharType="begin"/>
      </w:r>
      <w:r>
        <w:instrText xml:space="preserve"> HYPERLINK "https://www.health.gov.au/sites/default/files/2023-10/hta-policy-and-methods-review-draft-paper-clinical-evaluation-methods-in-hta.pdf" </w:instrText>
      </w:r>
      <w:r>
        <w:fldChar w:fldCharType="separate"/>
      </w:r>
      <w:r w:rsidR="00BF628F" w:rsidRPr="00117D66">
        <w:rPr>
          <w:rStyle w:val="Hyperlink"/>
        </w:rPr>
        <w:t>HTA Methods: Clinical Evaluation</w:t>
      </w:r>
      <w:r w:rsidR="00954BE5" w:rsidRPr="00117D66">
        <w:rPr>
          <w:rStyle w:val="Hyperlink"/>
        </w:rPr>
        <w:t xml:space="preserve"> (Paper 4).</w:t>
      </w:r>
    </w:p>
    <w:p w14:paraId="3782A28A" w14:textId="5DB0DE06" w:rsidR="004E65F6" w:rsidRDefault="005E432A" w:rsidP="00117D66">
      <w:pPr>
        <w:pStyle w:val="Heading3"/>
        <w:keepNext/>
        <w:keepLines/>
      </w:pPr>
      <w:r>
        <w:rPr>
          <w:rFonts w:cs="Times New Roman"/>
          <w:color w:val="auto"/>
          <w:sz w:val="24"/>
          <w:szCs w:val="24"/>
        </w:rPr>
        <w:fldChar w:fldCharType="end"/>
      </w:r>
      <w:bookmarkStart w:id="158" w:name="_Toc157029085"/>
      <w:r w:rsidR="009A769D">
        <w:t>C</w:t>
      </w:r>
      <w:r w:rsidR="004E65F6">
        <w:t>urrent state</w:t>
      </w:r>
      <w:bookmarkEnd w:id="158"/>
    </w:p>
    <w:p w14:paraId="3919E97A" w14:textId="152FB8C7" w:rsidR="00E23AD0" w:rsidRDefault="001E5DF9" w:rsidP="00117D66">
      <w:pPr>
        <w:keepNext/>
        <w:keepLines/>
      </w:pPr>
      <w:r>
        <w:t xml:space="preserve">The </w:t>
      </w:r>
      <w:hyperlink r:id="rId152" w:history="1">
        <w:r w:rsidRPr="00AF55B6">
          <w:rPr>
            <w:rStyle w:val="Hyperlink"/>
          </w:rPr>
          <w:t>PBAC</w:t>
        </w:r>
        <w:r w:rsidR="00CA4B96" w:rsidRPr="00AF55B6">
          <w:rPr>
            <w:rStyle w:val="Hyperlink"/>
          </w:rPr>
          <w:t xml:space="preserve"> guidelines</w:t>
        </w:r>
      </w:hyperlink>
      <w:r>
        <w:t xml:space="preserve"> and </w:t>
      </w:r>
      <w:hyperlink r:id="rId153" w:history="1">
        <w:r w:rsidRPr="00CA4B96">
          <w:rPr>
            <w:rStyle w:val="Hyperlink"/>
          </w:rPr>
          <w:t>MSAC guidelines</w:t>
        </w:r>
      </w:hyperlink>
      <w:r>
        <w:t xml:space="preserve"> instruct applicants to present </w:t>
      </w:r>
      <w:r w:rsidR="00AA6CB8">
        <w:t xml:space="preserve">the best available clinical evidence to support the effectiveness and safety of the proposed medicine and patient indication. </w:t>
      </w:r>
      <w:r w:rsidR="00EF1735">
        <w:t xml:space="preserve">The </w:t>
      </w:r>
      <w:r w:rsidR="00FA1FD2">
        <w:t xml:space="preserve">final output of the clinical evaluation is a conclusion </w:t>
      </w:r>
      <w:r w:rsidR="00243FB9">
        <w:t>about</w:t>
      </w:r>
      <w:r w:rsidR="00FA1FD2">
        <w:t xml:space="preserve"> the effectiveness and safety of the proposed health technology relative to the comparator. </w:t>
      </w:r>
    </w:p>
    <w:p w14:paraId="365E5A18" w14:textId="6B43374F" w:rsidR="00914D33" w:rsidRDefault="00914D33" w:rsidP="00914D33">
      <w:pPr>
        <w:rPr>
          <w:rFonts w:eastAsia="Arial" w:cs="Arial"/>
          <w:color w:val="000000" w:themeColor="text1"/>
        </w:rPr>
      </w:pPr>
      <w:r w:rsidRPr="37CE1DF2">
        <w:rPr>
          <w:rFonts w:eastAsia="Arial" w:cs="Arial"/>
          <w:color w:val="000000" w:themeColor="text1"/>
        </w:rPr>
        <w:t xml:space="preserve">The MSAC </w:t>
      </w:r>
      <w:r>
        <w:rPr>
          <w:rFonts w:eastAsia="Arial" w:cs="Arial"/>
          <w:color w:val="000000" w:themeColor="text1"/>
        </w:rPr>
        <w:t>G</w:t>
      </w:r>
      <w:r w:rsidRPr="37CE1DF2">
        <w:rPr>
          <w:rFonts w:eastAsia="Arial" w:cs="Arial"/>
          <w:color w:val="000000" w:themeColor="text1"/>
        </w:rPr>
        <w:t xml:space="preserve">uidelines </w:t>
      </w:r>
      <w:r>
        <w:rPr>
          <w:rFonts w:eastAsia="Arial" w:cs="Arial"/>
          <w:color w:val="000000" w:themeColor="text1"/>
        </w:rPr>
        <w:t>were</w:t>
      </w:r>
      <w:r w:rsidRPr="37CE1DF2">
        <w:rPr>
          <w:rFonts w:eastAsia="Arial" w:cs="Arial"/>
          <w:color w:val="000000" w:themeColor="text1"/>
        </w:rPr>
        <w:t xml:space="preserve"> substantively revised in May 2021. The PBAC </w:t>
      </w:r>
      <w:r>
        <w:rPr>
          <w:rFonts w:eastAsia="Arial" w:cs="Arial"/>
          <w:color w:val="000000" w:themeColor="text1"/>
        </w:rPr>
        <w:t>G</w:t>
      </w:r>
      <w:r w:rsidRPr="37CE1DF2">
        <w:rPr>
          <w:rFonts w:eastAsia="Arial" w:cs="Arial"/>
          <w:color w:val="000000" w:themeColor="text1"/>
        </w:rPr>
        <w:t xml:space="preserve">uidelines </w:t>
      </w:r>
      <w:r>
        <w:rPr>
          <w:rFonts w:eastAsia="Arial" w:cs="Arial"/>
          <w:color w:val="000000" w:themeColor="text1"/>
        </w:rPr>
        <w:t>were last revised in</w:t>
      </w:r>
      <w:r w:rsidRPr="37CE1DF2">
        <w:rPr>
          <w:rFonts w:eastAsia="Arial" w:cs="Arial"/>
          <w:color w:val="000000" w:themeColor="text1"/>
        </w:rPr>
        <w:t xml:space="preserve"> 2016. </w:t>
      </w:r>
      <w:r>
        <w:rPr>
          <w:rFonts w:eastAsia="Arial" w:cs="Arial"/>
          <w:color w:val="000000" w:themeColor="text1"/>
        </w:rPr>
        <w:t xml:space="preserve">The </w:t>
      </w:r>
      <w:bookmarkStart w:id="159" w:name="_Hlk156771493"/>
      <w:r w:rsidR="009B3ED2">
        <w:rPr>
          <w:rFonts w:eastAsia="Arial" w:cs="Arial"/>
          <w:color w:val="000000" w:themeColor="text1"/>
        </w:rPr>
        <w:fldChar w:fldCharType="begin"/>
      </w:r>
      <w:r w:rsidR="009B3ED2">
        <w:rPr>
          <w:rFonts w:eastAsia="Arial" w:cs="Arial"/>
          <w:color w:val="000000" w:themeColor="text1"/>
        </w:rPr>
        <w:instrText xml:space="preserve"> HYPERLINK "https://www.health.gov.au/resources/publications/hta-policy-and-methods-review-draft-paper-clinical-evaluation-methods-in-hta?language=en" </w:instrText>
      </w:r>
      <w:r w:rsidR="009B3ED2">
        <w:rPr>
          <w:rFonts w:eastAsia="Arial" w:cs="Arial"/>
          <w:color w:val="000000" w:themeColor="text1"/>
        </w:rPr>
      </w:r>
      <w:r w:rsidR="009B3ED2">
        <w:rPr>
          <w:rFonts w:eastAsia="Arial" w:cs="Arial"/>
          <w:color w:val="000000" w:themeColor="text1"/>
        </w:rPr>
        <w:fldChar w:fldCharType="separate"/>
      </w:r>
      <w:r w:rsidRPr="009B3ED2">
        <w:rPr>
          <w:rStyle w:val="Hyperlink"/>
          <w:rFonts w:eastAsia="Arial" w:cs="Arial"/>
        </w:rPr>
        <w:t xml:space="preserve">report on </w:t>
      </w:r>
      <w:r w:rsidR="0067483B">
        <w:rPr>
          <w:rStyle w:val="Hyperlink"/>
          <w:rFonts w:eastAsia="Arial" w:cs="Arial"/>
        </w:rPr>
        <w:t>HTA Methods: C</w:t>
      </w:r>
      <w:r w:rsidRPr="009B3ED2">
        <w:rPr>
          <w:rStyle w:val="Hyperlink"/>
          <w:rFonts w:eastAsia="Arial" w:cs="Arial"/>
        </w:rPr>
        <w:t xml:space="preserve">linical </w:t>
      </w:r>
      <w:r w:rsidR="0067483B">
        <w:rPr>
          <w:rStyle w:val="Hyperlink"/>
          <w:rFonts w:eastAsia="Arial" w:cs="Arial"/>
        </w:rPr>
        <w:t>E</w:t>
      </w:r>
      <w:r w:rsidRPr="009B3ED2">
        <w:rPr>
          <w:rStyle w:val="Hyperlink"/>
          <w:rFonts w:eastAsia="Arial" w:cs="Arial"/>
        </w:rPr>
        <w:t>valuation</w:t>
      </w:r>
      <w:r w:rsidR="009B3ED2">
        <w:rPr>
          <w:rFonts w:eastAsia="Arial" w:cs="Arial"/>
          <w:color w:val="000000" w:themeColor="text1"/>
        </w:rPr>
        <w:fldChar w:fldCharType="end"/>
      </w:r>
      <w:r w:rsidR="0067483B">
        <w:rPr>
          <w:rFonts w:eastAsia="Arial" w:cs="Arial"/>
          <w:color w:val="000000" w:themeColor="text1"/>
        </w:rPr>
        <w:t xml:space="preserve"> (paper 4)</w:t>
      </w:r>
      <w:r>
        <w:rPr>
          <w:rFonts w:eastAsia="Arial" w:cs="Arial"/>
          <w:color w:val="000000" w:themeColor="text1"/>
        </w:rPr>
        <w:t xml:space="preserve"> </w:t>
      </w:r>
      <w:bookmarkEnd w:id="159"/>
      <w:r>
        <w:rPr>
          <w:rFonts w:eastAsia="Arial" w:cs="Arial"/>
          <w:color w:val="000000" w:themeColor="text1"/>
        </w:rPr>
        <w:t>found that Australia’s approaches were</w:t>
      </w:r>
      <w:r w:rsidRPr="37CE1DF2">
        <w:rPr>
          <w:rFonts w:eastAsia="Arial" w:cs="Arial"/>
          <w:color w:val="000000" w:themeColor="text1"/>
        </w:rPr>
        <w:t xml:space="preserve"> similar to th</w:t>
      </w:r>
      <w:r>
        <w:rPr>
          <w:rFonts w:eastAsia="Arial" w:cs="Arial"/>
          <w:color w:val="000000" w:themeColor="text1"/>
        </w:rPr>
        <w:t>ose</w:t>
      </w:r>
      <w:r w:rsidRPr="37CE1DF2">
        <w:rPr>
          <w:rFonts w:eastAsia="Arial" w:cs="Arial"/>
          <w:color w:val="000000" w:themeColor="text1"/>
        </w:rPr>
        <w:t xml:space="preserve"> of </w:t>
      </w:r>
      <w:r w:rsidR="005012E7">
        <w:rPr>
          <w:rFonts w:eastAsia="Arial" w:cs="Arial"/>
          <w:color w:val="000000" w:themeColor="text1"/>
        </w:rPr>
        <w:t xml:space="preserve">other </w:t>
      </w:r>
      <w:r w:rsidRPr="37CE1DF2">
        <w:rPr>
          <w:rFonts w:eastAsia="Arial" w:cs="Arial"/>
          <w:color w:val="000000" w:themeColor="text1"/>
        </w:rPr>
        <w:t xml:space="preserve">comparable </w:t>
      </w:r>
      <w:r w:rsidR="005012E7">
        <w:rPr>
          <w:rFonts w:eastAsia="Arial" w:cs="Arial"/>
          <w:color w:val="000000" w:themeColor="text1"/>
        </w:rPr>
        <w:t xml:space="preserve">countries </w:t>
      </w:r>
      <w:r w:rsidRPr="37CE1DF2">
        <w:rPr>
          <w:rFonts w:eastAsia="Arial" w:cs="Arial"/>
          <w:color w:val="000000" w:themeColor="text1"/>
        </w:rPr>
        <w:t>and consistent with best practice.</w:t>
      </w:r>
    </w:p>
    <w:p w14:paraId="3EEF28BC" w14:textId="0CFA6DD8" w:rsidR="009638A8" w:rsidRDefault="00017F1F" w:rsidP="00017F1F">
      <w:pPr>
        <w:rPr>
          <w:rFonts w:eastAsia="Arial" w:cs="Arial"/>
          <w:color w:val="000000" w:themeColor="text1"/>
        </w:rPr>
      </w:pPr>
      <w:r w:rsidRPr="00017F1F">
        <w:rPr>
          <w:rFonts w:eastAsia="Arial" w:cs="Arial"/>
          <w:color w:val="000000" w:themeColor="text1"/>
        </w:rPr>
        <w:t xml:space="preserve">The PBAC and MSAC guidelines provide </w:t>
      </w:r>
      <w:r w:rsidR="00543F66">
        <w:rPr>
          <w:rFonts w:eastAsia="Arial" w:cs="Arial"/>
          <w:color w:val="000000" w:themeColor="text1"/>
        </w:rPr>
        <w:t>advice</w:t>
      </w:r>
      <w:r w:rsidR="00543F66" w:rsidRPr="00017F1F">
        <w:rPr>
          <w:rFonts w:eastAsia="Arial" w:cs="Arial"/>
          <w:color w:val="000000" w:themeColor="text1"/>
        </w:rPr>
        <w:t xml:space="preserve"> </w:t>
      </w:r>
      <w:r w:rsidRPr="00017F1F">
        <w:rPr>
          <w:rFonts w:eastAsia="Arial" w:cs="Arial"/>
          <w:color w:val="000000" w:themeColor="text1"/>
        </w:rPr>
        <w:t>on the inclusion of non</w:t>
      </w:r>
      <w:r w:rsidR="00543F66">
        <w:rPr>
          <w:rFonts w:eastAsia="Arial" w:cs="Arial"/>
          <w:color w:val="000000" w:themeColor="text1"/>
        </w:rPr>
        <w:t>-</w:t>
      </w:r>
      <w:r w:rsidRPr="00017F1F">
        <w:rPr>
          <w:rFonts w:eastAsia="Arial" w:cs="Arial"/>
          <w:color w:val="000000" w:themeColor="text1"/>
        </w:rPr>
        <w:t>randomised</w:t>
      </w:r>
      <w:r>
        <w:rPr>
          <w:rFonts w:eastAsia="Arial" w:cs="Arial"/>
          <w:color w:val="000000" w:themeColor="text1"/>
        </w:rPr>
        <w:t xml:space="preserve"> </w:t>
      </w:r>
      <w:r w:rsidRPr="00017F1F">
        <w:rPr>
          <w:rFonts w:eastAsia="Arial" w:cs="Arial"/>
          <w:color w:val="000000" w:themeColor="text1"/>
        </w:rPr>
        <w:t>studies and non-peer reviewed studies (</w:t>
      </w:r>
      <w:proofErr w:type="gramStart"/>
      <w:r w:rsidR="00031FAB">
        <w:rPr>
          <w:rFonts w:eastAsia="Arial" w:cs="Arial"/>
          <w:color w:val="000000" w:themeColor="text1"/>
        </w:rPr>
        <w:t>e.g.</w:t>
      </w:r>
      <w:proofErr w:type="gramEnd"/>
      <w:r w:rsidR="00543F66">
        <w:rPr>
          <w:rFonts w:eastAsia="Arial" w:cs="Arial"/>
          <w:color w:val="000000" w:themeColor="text1"/>
        </w:rPr>
        <w:t xml:space="preserve"> </w:t>
      </w:r>
      <w:r w:rsidR="00296159">
        <w:rPr>
          <w:rFonts w:eastAsia="Arial" w:cs="Arial"/>
          <w:color w:val="000000" w:themeColor="text1"/>
        </w:rPr>
        <w:t>c</w:t>
      </w:r>
      <w:r w:rsidRPr="00017F1F">
        <w:rPr>
          <w:rFonts w:eastAsia="Arial" w:cs="Arial"/>
          <w:color w:val="000000" w:themeColor="text1"/>
        </w:rPr>
        <w:t xml:space="preserve">linical </w:t>
      </w:r>
      <w:r w:rsidR="00296159">
        <w:rPr>
          <w:rFonts w:eastAsia="Arial" w:cs="Arial"/>
          <w:color w:val="000000" w:themeColor="text1"/>
        </w:rPr>
        <w:t>s</w:t>
      </w:r>
      <w:r w:rsidRPr="00017F1F">
        <w:rPr>
          <w:rFonts w:eastAsia="Arial" w:cs="Arial"/>
          <w:color w:val="000000" w:themeColor="text1"/>
        </w:rPr>
        <w:t xml:space="preserve">tudy </w:t>
      </w:r>
      <w:r w:rsidR="00296159">
        <w:rPr>
          <w:rFonts w:eastAsia="Arial" w:cs="Arial"/>
          <w:color w:val="000000" w:themeColor="text1"/>
        </w:rPr>
        <w:t>r</w:t>
      </w:r>
      <w:r w:rsidRPr="00017F1F">
        <w:rPr>
          <w:rFonts w:eastAsia="Arial" w:cs="Arial"/>
          <w:color w:val="000000" w:themeColor="text1"/>
        </w:rPr>
        <w:t>eports). Methods useful for</w:t>
      </w:r>
      <w:r>
        <w:rPr>
          <w:rFonts w:eastAsia="Arial" w:cs="Arial"/>
          <w:color w:val="000000" w:themeColor="text1"/>
        </w:rPr>
        <w:t xml:space="preserve"> </w:t>
      </w:r>
      <w:r w:rsidRPr="00017F1F">
        <w:rPr>
          <w:rFonts w:eastAsia="Arial" w:cs="Arial"/>
          <w:color w:val="000000" w:themeColor="text1"/>
        </w:rPr>
        <w:t xml:space="preserve">indirect comparisons </w:t>
      </w:r>
      <w:r w:rsidR="006F5A13">
        <w:rPr>
          <w:rFonts w:eastAsia="Arial" w:cs="Arial"/>
          <w:color w:val="000000" w:themeColor="text1"/>
        </w:rPr>
        <w:t>between</w:t>
      </w:r>
      <w:r w:rsidR="006F5A13" w:rsidRPr="00017F1F">
        <w:rPr>
          <w:rFonts w:eastAsia="Arial" w:cs="Arial"/>
          <w:color w:val="000000" w:themeColor="text1"/>
        </w:rPr>
        <w:t xml:space="preserve"> </w:t>
      </w:r>
      <w:r w:rsidR="57B60113" w:rsidRPr="5B709F47">
        <w:rPr>
          <w:rFonts w:eastAsia="Arial" w:cs="Arial"/>
          <w:color w:val="000000" w:themeColor="text1"/>
        </w:rPr>
        <w:t>RCTs</w:t>
      </w:r>
      <w:r w:rsidR="00F27BF1" w:rsidRPr="0639898D">
        <w:rPr>
          <w:rFonts w:eastAsia="Arial" w:cs="Arial"/>
          <w:color w:val="000000" w:themeColor="text1"/>
        </w:rPr>
        <w:t xml:space="preserve"> </w:t>
      </w:r>
      <w:r w:rsidRPr="00017F1F">
        <w:rPr>
          <w:rFonts w:eastAsia="Arial" w:cs="Arial"/>
          <w:color w:val="000000" w:themeColor="text1"/>
        </w:rPr>
        <w:t>and non-randomised studies are discussed in the PBAC</w:t>
      </w:r>
      <w:r>
        <w:rPr>
          <w:rFonts w:eastAsia="Arial" w:cs="Arial"/>
          <w:color w:val="000000" w:themeColor="text1"/>
        </w:rPr>
        <w:t xml:space="preserve"> </w:t>
      </w:r>
      <w:r w:rsidRPr="00017F1F">
        <w:rPr>
          <w:rFonts w:eastAsia="Arial" w:cs="Arial"/>
          <w:color w:val="000000" w:themeColor="text1"/>
        </w:rPr>
        <w:t xml:space="preserve">Guidelines. </w:t>
      </w:r>
    </w:p>
    <w:p w14:paraId="194E27ED" w14:textId="0C92BAB5" w:rsidR="00F174A0" w:rsidRDefault="00017F1F" w:rsidP="00017F1F">
      <w:pPr>
        <w:rPr>
          <w:rFonts w:eastAsia="Arial" w:cs="Arial"/>
          <w:color w:val="000000" w:themeColor="text1"/>
        </w:rPr>
      </w:pPr>
      <w:r w:rsidRPr="00017F1F">
        <w:rPr>
          <w:rFonts w:eastAsia="Arial" w:cs="Arial"/>
          <w:color w:val="000000" w:themeColor="text1"/>
        </w:rPr>
        <w:t xml:space="preserve">Both PBAC and MSAC guidelines provide </w:t>
      </w:r>
      <w:r w:rsidR="007A734A">
        <w:rPr>
          <w:rFonts w:eastAsia="Arial" w:cs="Arial"/>
          <w:color w:val="000000" w:themeColor="text1"/>
        </w:rPr>
        <w:t>advice</w:t>
      </w:r>
      <w:r w:rsidRPr="00017F1F">
        <w:rPr>
          <w:rFonts w:eastAsia="Arial" w:cs="Arial"/>
          <w:color w:val="000000" w:themeColor="text1"/>
        </w:rPr>
        <w:t xml:space="preserve"> on the</w:t>
      </w:r>
      <w:r>
        <w:rPr>
          <w:rFonts w:eastAsia="Arial" w:cs="Arial"/>
          <w:color w:val="000000" w:themeColor="text1"/>
        </w:rPr>
        <w:t xml:space="preserve"> </w:t>
      </w:r>
      <w:r w:rsidRPr="00017F1F">
        <w:rPr>
          <w:rFonts w:eastAsia="Arial" w:cs="Arial"/>
          <w:color w:val="000000" w:themeColor="text1"/>
        </w:rPr>
        <w:t>development of patient pathways including literature sources, the use of an expert</w:t>
      </w:r>
      <w:r>
        <w:rPr>
          <w:rFonts w:eastAsia="Arial" w:cs="Arial"/>
          <w:color w:val="000000" w:themeColor="text1"/>
        </w:rPr>
        <w:t xml:space="preserve"> </w:t>
      </w:r>
      <w:r w:rsidRPr="00017F1F">
        <w:rPr>
          <w:rFonts w:eastAsia="Arial" w:cs="Arial"/>
          <w:color w:val="000000" w:themeColor="text1"/>
        </w:rPr>
        <w:t xml:space="preserve">panel and the required inclusions in the pathway. </w:t>
      </w:r>
    </w:p>
    <w:p w14:paraId="101CD317" w14:textId="5122868C" w:rsidR="00017F1F" w:rsidRPr="00017F1F" w:rsidRDefault="00017F1F" w:rsidP="00017F1F">
      <w:pPr>
        <w:rPr>
          <w:rFonts w:eastAsia="Arial" w:cs="Arial"/>
          <w:color w:val="000000" w:themeColor="text1"/>
        </w:rPr>
      </w:pPr>
      <w:r w:rsidRPr="00017F1F">
        <w:rPr>
          <w:rFonts w:eastAsia="Arial" w:cs="Arial"/>
          <w:color w:val="000000" w:themeColor="text1"/>
        </w:rPr>
        <w:t>An assessment of long-term safety is</w:t>
      </w:r>
      <w:r>
        <w:rPr>
          <w:rFonts w:eastAsia="Arial" w:cs="Arial"/>
          <w:color w:val="000000" w:themeColor="text1"/>
        </w:rPr>
        <w:t xml:space="preserve"> </w:t>
      </w:r>
      <w:r w:rsidRPr="00017F1F">
        <w:rPr>
          <w:rFonts w:eastAsia="Arial" w:cs="Arial"/>
          <w:color w:val="000000" w:themeColor="text1"/>
        </w:rPr>
        <w:t>also recommended in the guidelines</w:t>
      </w:r>
      <w:r w:rsidR="009E0F88">
        <w:rPr>
          <w:rFonts w:eastAsia="Arial" w:cs="Arial"/>
          <w:color w:val="000000" w:themeColor="text1"/>
        </w:rPr>
        <w:t xml:space="preserve">. It is </w:t>
      </w:r>
      <w:r w:rsidRPr="00017F1F">
        <w:rPr>
          <w:rFonts w:eastAsia="Arial" w:cs="Arial"/>
          <w:color w:val="000000" w:themeColor="text1"/>
        </w:rPr>
        <w:t>recommend</w:t>
      </w:r>
      <w:r w:rsidR="009E0F88">
        <w:rPr>
          <w:rFonts w:eastAsia="Arial" w:cs="Arial"/>
          <w:color w:val="000000" w:themeColor="text1"/>
        </w:rPr>
        <w:t>ed such an assessment</w:t>
      </w:r>
      <w:r w:rsidRPr="00017F1F">
        <w:rPr>
          <w:rFonts w:eastAsia="Arial" w:cs="Arial"/>
          <w:color w:val="000000" w:themeColor="text1"/>
        </w:rPr>
        <w:t xml:space="preserve"> </w:t>
      </w:r>
      <w:r w:rsidR="007A3F4E">
        <w:rPr>
          <w:rFonts w:eastAsia="Arial" w:cs="Arial"/>
          <w:color w:val="000000" w:themeColor="text1"/>
        </w:rPr>
        <w:t>includes</w:t>
      </w:r>
      <w:r w:rsidRPr="00017F1F">
        <w:rPr>
          <w:rFonts w:eastAsia="Arial" w:cs="Arial"/>
          <w:color w:val="000000" w:themeColor="text1"/>
        </w:rPr>
        <w:t xml:space="preserve"> periodic safety</w:t>
      </w:r>
      <w:r>
        <w:rPr>
          <w:rFonts w:eastAsia="Arial" w:cs="Arial"/>
          <w:color w:val="000000" w:themeColor="text1"/>
        </w:rPr>
        <w:t xml:space="preserve"> </w:t>
      </w:r>
      <w:r w:rsidRPr="00017F1F">
        <w:rPr>
          <w:rFonts w:eastAsia="Arial" w:cs="Arial"/>
          <w:color w:val="000000" w:themeColor="text1"/>
        </w:rPr>
        <w:t>update reports, any pharmacovigilance studies (completed or ongoing post</w:t>
      </w:r>
      <w:r w:rsidR="003A062F">
        <w:rPr>
          <w:rFonts w:eastAsia="Arial" w:cs="Arial"/>
          <w:color w:val="000000" w:themeColor="text1"/>
        </w:rPr>
        <w:t>-</w:t>
      </w:r>
      <w:r w:rsidRPr="00017F1F">
        <w:rPr>
          <w:rFonts w:eastAsia="Arial" w:cs="Arial"/>
          <w:color w:val="000000" w:themeColor="text1"/>
        </w:rPr>
        <w:t>market</w:t>
      </w:r>
      <w:r>
        <w:rPr>
          <w:rFonts w:eastAsia="Arial" w:cs="Arial"/>
          <w:color w:val="000000" w:themeColor="text1"/>
        </w:rPr>
        <w:t xml:space="preserve"> </w:t>
      </w:r>
      <w:r w:rsidRPr="00017F1F">
        <w:rPr>
          <w:rFonts w:eastAsia="Arial" w:cs="Arial"/>
          <w:color w:val="000000" w:themeColor="text1"/>
        </w:rPr>
        <w:t xml:space="preserve">surveillance studies), </w:t>
      </w:r>
      <w:r w:rsidR="00A35D28">
        <w:rPr>
          <w:rFonts w:eastAsia="Arial" w:cs="Arial"/>
          <w:color w:val="000000" w:themeColor="text1"/>
        </w:rPr>
        <w:t xml:space="preserve">and </w:t>
      </w:r>
      <w:r w:rsidRPr="00017F1F">
        <w:rPr>
          <w:rFonts w:eastAsia="Arial" w:cs="Arial"/>
          <w:color w:val="000000" w:themeColor="text1"/>
        </w:rPr>
        <w:t>any studies identified in a separate search, including</w:t>
      </w:r>
      <w:r>
        <w:rPr>
          <w:rFonts w:eastAsia="Arial" w:cs="Arial"/>
          <w:color w:val="000000" w:themeColor="text1"/>
        </w:rPr>
        <w:t xml:space="preserve"> </w:t>
      </w:r>
      <w:r w:rsidRPr="00017F1F">
        <w:rPr>
          <w:rFonts w:eastAsia="Arial" w:cs="Arial"/>
          <w:color w:val="000000" w:themeColor="text1"/>
        </w:rPr>
        <w:t>non</w:t>
      </w:r>
      <w:r w:rsidR="00A35D28">
        <w:rPr>
          <w:rFonts w:eastAsia="Arial" w:cs="Arial"/>
          <w:color w:val="000000" w:themeColor="text1"/>
        </w:rPr>
        <w:t>-</w:t>
      </w:r>
      <w:r w:rsidRPr="00017F1F">
        <w:rPr>
          <w:rFonts w:eastAsia="Arial" w:cs="Arial"/>
          <w:color w:val="000000" w:themeColor="text1"/>
        </w:rPr>
        <w:t>randomised study designs (</w:t>
      </w:r>
      <w:proofErr w:type="gramStart"/>
      <w:r w:rsidR="00031FAB">
        <w:rPr>
          <w:rFonts w:eastAsia="Arial" w:cs="Arial"/>
          <w:color w:val="000000" w:themeColor="text1"/>
        </w:rPr>
        <w:t>e.g.</w:t>
      </w:r>
      <w:proofErr w:type="gramEnd"/>
      <w:r w:rsidR="00A35D28">
        <w:rPr>
          <w:rFonts w:eastAsia="Arial" w:cs="Arial"/>
          <w:color w:val="000000" w:themeColor="text1"/>
        </w:rPr>
        <w:t xml:space="preserve"> </w:t>
      </w:r>
      <w:r w:rsidRPr="00017F1F">
        <w:rPr>
          <w:rFonts w:eastAsia="Arial" w:cs="Arial"/>
          <w:color w:val="000000" w:themeColor="text1"/>
        </w:rPr>
        <w:t>registry data</w:t>
      </w:r>
      <w:r w:rsidR="00207969">
        <w:rPr>
          <w:rFonts w:eastAsia="Arial" w:cs="Arial"/>
          <w:color w:val="000000" w:themeColor="text1"/>
        </w:rPr>
        <w:t xml:space="preserve"> and </w:t>
      </w:r>
      <w:r w:rsidRPr="00017F1F">
        <w:rPr>
          <w:rFonts w:eastAsia="Arial" w:cs="Arial"/>
          <w:color w:val="000000" w:themeColor="text1"/>
        </w:rPr>
        <w:t>observational studies).</w:t>
      </w:r>
    </w:p>
    <w:p w14:paraId="0978D85C" w14:textId="24386D56" w:rsidR="00017F1F" w:rsidRPr="00D6133D" w:rsidRDefault="0077311E" w:rsidP="00017F1F">
      <w:pPr>
        <w:rPr>
          <w:rFonts w:eastAsia="Arial" w:cs="Arial"/>
          <w:color w:val="000000" w:themeColor="text1"/>
        </w:rPr>
      </w:pPr>
      <w:r>
        <w:rPr>
          <w:rFonts w:eastAsia="Arial" w:cs="Arial"/>
          <w:color w:val="000000" w:themeColor="text1"/>
        </w:rPr>
        <w:t>Advice about including</w:t>
      </w:r>
      <w:r w:rsidR="00017F1F" w:rsidRPr="00017F1F">
        <w:rPr>
          <w:rFonts w:eastAsia="Arial" w:cs="Arial"/>
          <w:color w:val="000000" w:themeColor="text1"/>
        </w:rPr>
        <w:t xml:space="preserve"> consumer evidence</w:t>
      </w:r>
      <w:r w:rsidR="00B40903">
        <w:rPr>
          <w:rFonts w:eastAsia="Arial" w:cs="Arial"/>
          <w:color w:val="000000" w:themeColor="text1"/>
        </w:rPr>
        <w:fldChar w:fldCharType="begin"/>
      </w:r>
      <w:r w:rsidR="00B40903">
        <w:instrText xml:space="preserve"> XE "</w:instrText>
      </w:r>
      <w:r w:rsidR="00B40903" w:rsidRPr="00E62860">
        <w:rPr>
          <w:rStyle w:val="cf01"/>
          <w:sz w:val="20"/>
          <w:szCs w:val="20"/>
        </w:rPr>
        <w:instrText>consumer evidence</w:instrText>
      </w:r>
      <w:r w:rsidR="00B40903">
        <w:instrText xml:space="preserve">" \b </w:instrText>
      </w:r>
      <w:r w:rsidR="00B40903">
        <w:rPr>
          <w:rFonts w:eastAsia="Arial" w:cs="Arial"/>
          <w:color w:val="000000" w:themeColor="text1"/>
        </w:rPr>
        <w:fldChar w:fldCharType="end"/>
      </w:r>
      <w:r w:rsidR="00017F1F" w:rsidRPr="00017F1F">
        <w:rPr>
          <w:rFonts w:eastAsia="Arial" w:cs="Arial"/>
          <w:color w:val="000000" w:themeColor="text1"/>
        </w:rPr>
        <w:t xml:space="preserve"> (direct patient submissions) is</w:t>
      </w:r>
      <w:r w:rsidR="00017F1F">
        <w:rPr>
          <w:rFonts w:eastAsia="Arial" w:cs="Arial"/>
          <w:color w:val="000000" w:themeColor="text1"/>
        </w:rPr>
        <w:t xml:space="preserve"> </w:t>
      </w:r>
      <w:r w:rsidR="00017F1F" w:rsidRPr="00017F1F">
        <w:rPr>
          <w:rFonts w:eastAsia="Arial" w:cs="Arial"/>
          <w:color w:val="000000" w:themeColor="text1"/>
        </w:rPr>
        <w:t xml:space="preserve">provided in the MSAC </w:t>
      </w:r>
      <w:r w:rsidR="007F6F6F">
        <w:rPr>
          <w:rFonts w:eastAsia="Arial" w:cs="Arial"/>
          <w:color w:val="000000" w:themeColor="text1"/>
        </w:rPr>
        <w:t>G</w:t>
      </w:r>
      <w:r w:rsidR="00017F1F" w:rsidRPr="00017F1F">
        <w:rPr>
          <w:rFonts w:eastAsia="Arial" w:cs="Arial"/>
          <w:color w:val="000000" w:themeColor="text1"/>
        </w:rPr>
        <w:t xml:space="preserve">uidelines and described in the </w:t>
      </w:r>
      <w:hyperlink r:id="rId154" w:history="1">
        <w:r w:rsidR="00017F1F" w:rsidRPr="002607EB">
          <w:rPr>
            <w:rStyle w:val="Hyperlink"/>
            <w:rFonts w:eastAsia="Arial" w:cs="Arial"/>
          </w:rPr>
          <w:t xml:space="preserve">Procedure guidance for listing medicines on the </w:t>
        </w:r>
        <w:r w:rsidR="4EDD5FDE" w:rsidRPr="002607EB">
          <w:rPr>
            <w:rStyle w:val="Hyperlink"/>
            <w:rFonts w:eastAsia="Arial" w:cs="Arial"/>
          </w:rPr>
          <w:t>PBS</w:t>
        </w:r>
        <w:r w:rsidR="00017F1F" w:rsidRPr="002607EB">
          <w:rPr>
            <w:rStyle w:val="Hyperlink"/>
            <w:rFonts w:eastAsia="Arial" w:cs="Arial"/>
          </w:rPr>
          <w:t xml:space="preserve"> (Version 2.5)</w:t>
        </w:r>
      </w:hyperlink>
      <w:r w:rsidR="00017F1F" w:rsidRPr="00017F1F">
        <w:rPr>
          <w:rFonts w:eastAsia="Arial" w:cs="Arial"/>
          <w:color w:val="000000" w:themeColor="text1"/>
        </w:rPr>
        <w:t>. Neither guideline</w:t>
      </w:r>
      <w:r w:rsidR="00017F1F">
        <w:rPr>
          <w:rFonts w:eastAsia="Arial" w:cs="Arial"/>
          <w:color w:val="000000" w:themeColor="text1"/>
        </w:rPr>
        <w:t xml:space="preserve"> </w:t>
      </w:r>
      <w:r w:rsidR="00017F1F" w:rsidRPr="00017F1F">
        <w:rPr>
          <w:rFonts w:eastAsia="Arial" w:cs="Arial"/>
          <w:color w:val="000000" w:themeColor="text1"/>
        </w:rPr>
        <w:t>addresses the use of weighting benefits as part of the decision-making process.</w:t>
      </w:r>
    </w:p>
    <w:p w14:paraId="1201C3A9" w14:textId="0A234E82" w:rsidR="00997AE7" w:rsidRPr="00997AE7" w:rsidRDefault="00997AE7" w:rsidP="00997AE7">
      <w:pPr>
        <w:pStyle w:val="Heading4"/>
      </w:pPr>
      <w:r>
        <w:t>Best available clinical evidence</w:t>
      </w:r>
    </w:p>
    <w:p w14:paraId="3F51615F" w14:textId="35517BA9" w:rsidR="006F2003" w:rsidRDefault="006F2003" w:rsidP="009D14F6">
      <w:pPr>
        <w:pStyle w:val="Heading5"/>
      </w:pPr>
      <w:r>
        <w:t>What is the best available evidence</w:t>
      </w:r>
      <w:r w:rsidR="0097368F">
        <w:t xml:space="preserve"> and</w:t>
      </w:r>
      <w:r>
        <w:t xml:space="preserve"> </w:t>
      </w:r>
      <w:r w:rsidR="0097368F">
        <w:t>w</w:t>
      </w:r>
      <w:r>
        <w:t>hat evidence can be accepted?</w:t>
      </w:r>
    </w:p>
    <w:p w14:paraId="0DD0B98C" w14:textId="349081CD" w:rsidR="00461C91" w:rsidRDefault="00D529EC" w:rsidP="00D529EC">
      <w:pPr>
        <w:rPr>
          <w:rFonts w:eastAsia="Arial" w:cs="Arial"/>
          <w:color w:val="000000" w:themeColor="text1"/>
        </w:rPr>
      </w:pPr>
      <w:r w:rsidRPr="42FA0C97">
        <w:rPr>
          <w:rFonts w:eastAsia="Arial" w:cs="Arial"/>
          <w:color w:val="000000" w:themeColor="text1"/>
        </w:rPr>
        <w:t xml:space="preserve">Both guidelines </w:t>
      </w:r>
      <w:r w:rsidR="00570423">
        <w:rPr>
          <w:rFonts w:eastAsia="Arial" w:cs="Arial"/>
          <w:color w:val="000000" w:themeColor="text1"/>
        </w:rPr>
        <w:t xml:space="preserve">state a preference for </w:t>
      </w:r>
      <w:r w:rsidR="00A011C6">
        <w:rPr>
          <w:rFonts w:eastAsia="Arial" w:cs="Arial"/>
          <w:color w:val="000000" w:themeColor="text1"/>
        </w:rPr>
        <w:t>clinical and economic evaluations to be based on direct randomised trials</w:t>
      </w:r>
      <w:r w:rsidR="00570423">
        <w:rPr>
          <w:rFonts w:eastAsia="Arial" w:cs="Arial"/>
          <w:color w:val="000000" w:themeColor="text1"/>
        </w:rPr>
        <w:t xml:space="preserve">, but also </w:t>
      </w:r>
      <w:r w:rsidRPr="42FA0C97">
        <w:rPr>
          <w:rFonts w:eastAsia="Arial" w:cs="Arial"/>
          <w:color w:val="000000" w:themeColor="text1"/>
        </w:rPr>
        <w:t>provide guidance on the inclusion of</w:t>
      </w:r>
      <w:r w:rsidR="00784B8C">
        <w:rPr>
          <w:rFonts w:eastAsia="Arial" w:cs="Arial"/>
          <w:color w:val="000000" w:themeColor="text1"/>
        </w:rPr>
        <w:t xml:space="preserve"> non-</w:t>
      </w:r>
      <w:r w:rsidR="00784B8C">
        <w:rPr>
          <w:rFonts w:eastAsia="Arial" w:cs="Arial"/>
          <w:color w:val="000000" w:themeColor="text1"/>
        </w:rPr>
        <w:lastRenderedPageBreak/>
        <w:t>traditional evidence such as</w:t>
      </w:r>
      <w:r w:rsidR="00936060">
        <w:rPr>
          <w:rFonts w:eastAsia="Arial" w:cs="Arial"/>
          <w:color w:val="000000" w:themeColor="text1"/>
        </w:rPr>
        <w:t xml:space="preserve"> indirect comparis</w:t>
      </w:r>
      <w:r w:rsidR="00F70285">
        <w:rPr>
          <w:rFonts w:eastAsia="Arial" w:cs="Arial"/>
          <w:color w:val="000000" w:themeColor="text1"/>
        </w:rPr>
        <w:t>ons,</w:t>
      </w:r>
      <w:r w:rsidRPr="42FA0C97">
        <w:rPr>
          <w:rFonts w:eastAsia="Arial" w:cs="Arial"/>
          <w:color w:val="000000" w:themeColor="text1"/>
        </w:rPr>
        <w:t xml:space="preserve"> non</w:t>
      </w:r>
      <w:r w:rsidR="00A30520">
        <w:rPr>
          <w:rFonts w:eastAsia="Arial" w:cs="Arial"/>
          <w:color w:val="000000" w:themeColor="text1"/>
        </w:rPr>
        <w:t>-</w:t>
      </w:r>
      <w:r w:rsidRPr="42FA0C97">
        <w:rPr>
          <w:rFonts w:eastAsia="Arial" w:cs="Arial"/>
          <w:color w:val="000000" w:themeColor="text1"/>
        </w:rPr>
        <w:t>randomised studies and non-peer reviewed studies (</w:t>
      </w:r>
      <w:proofErr w:type="gramStart"/>
      <w:r w:rsidR="00031FAB">
        <w:rPr>
          <w:rFonts w:eastAsia="Arial" w:cs="Arial"/>
          <w:color w:val="000000" w:themeColor="text1"/>
        </w:rPr>
        <w:t>e.g.</w:t>
      </w:r>
      <w:proofErr w:type="gramEnd"/>
      <w:r w:rsidR="002E75A6">
        <w:rPr>
          <w:rFonts w:eastAsia="Arial" w:cs="Arial"/>
          <w:color w:val="000000" w:themeColor="text1"/>
        </w:rPr>
        <w:t xml:space="preserve"> </w:t>
      </w:r>
      <w:r w:rsidR="00E34B04">
        <w:rPr>
          <w:rFonts w:eastAsia="Arial" w:cs="Arial"/>
          <w:color w:val="000000" w:themeColor="text1"/>
        </w:rPr>
        <w:t>c</w:t>
      </w:r>
      <w:r w:rsidRPr="42FA0C97">
        <w:rPr>
          <w:rFonts w:eastAsia="Arial" w:cs="Arial"/>
          <w:color w:val="000000" w:themeColor="text1"/>
        </w:rPr>
        <w:t xml:space="preserve">linical </w:t>
      </w:r>
      <w:r w:rsidR="00E34B04">
        <w:rPr>
          <w:rFonts w:eastAsia="Arial" w:cs="Arial"/>
          <w:color w:val="000000" w:themeColor="text1"/>
        </w:rPr>
        <w:t>s</w:t>
      </w:r>
      <w:r w:rsidRPr="42FA0C97">
        <w:rPr>
          <w:rFonts w:eastAsia="Arial" w:cs="Arial"/>
          <w:color w:val="000000" w:themeColor="text1"/>
        </w:rPr>
        <w:t xml:space="preserve">tudy </w:t>
      </w:r>
      <w:r w:rsidR="00E34B04">
        <w:rPr>
          <w:rFonts w:eastAsia="Arial" w:cs="Arial"/>
          <w:color w:val="000000" w:themeColor="text1"/>
        </w:rPr>
        <w:t>r</w:t>
      </w:r>
      <w:r w:rsidRPr="42FA0C97">
        <w:rPr>
          <w:rFonts w:eastAsia="Arial" w:cs="Arial"/>
          <w:color w:val="000000" w:themeColor="text1"/>
        </w:rPr>
        <w:t xml:space="preserve">eports). </w:t>
      </w:r>
    </w:p>
    <w:p w14:paraId="6CDA0058" w14:textId="141F30C9" w:rsidR="00461C91" w:rsidRDefault="00D529EC" w:rsidP="00D529EC">
      <w:pPr>
        <w:rPr>
          <w:rFonts w:eastAsia="Arial" w:cs="Arial"/>
          <w:color w:val="000000" w:themeColor="text1"/>
        </w:rPr>
      </w:pPr>
      <w:r w:rsidRPr="42FA0C97">
        <w:rPr>
          <w:rFonts w:eastAsia="Arial" w:cs="Arial"/>
          <w:color w:val="000000" w:themeColor="text1"/>
        </w:rPr>
        <w:t xml:space="preserve">They do not solely require the use of RCT evidence to be provided to demonstrate the clinical benefits of a technology. </w:t>
      </w:r>
    </w:p>
    <w:p w14:paraId="58C09540" w14:textId="729697BC" w:rsidR="00D529EC" w:rsidRDefault="00D529EC" w:rsidP="00D529EC">
      <w:pPr>
        <w:rPr>
          <w:rFonts w:eastAsia="Arial" w:cs="Arial"/>
          <w:color w:val="000000" w:themeColor="text1"/>
        </w:rPr>
      </w:pPr>
      <w:r w:rsidRPr="42FA0C97">
        <w:rPr>
          <w:rFonts w:eastAsia="Arial" w:cs="Arial"/>
          <w:color w:val="000000" w:themeColor="text1"/>
        </w:rPr>
        <w:t xml:space="preserve">Constraints in the available evidence base </w:t>
      </w:r>
      <w:r w:rsidR="006750AD">
        <w:rPr>
          <w:rFonts w:eastAsia="Arial" w:cs="Arial"/>
          <w:color w:val="000000" w:themeColor="text1"/>
        </w:rPr>
        <w:t xml:space="preserve">(such as for </w:t>
      </w:r>
      <w:r w:rsidR="00B058D4">
        <w:rPr>
          <w:rFonts w:eastAsia="Arial" w:cs="Arial"/>
          <w:color w:val="000000" w:themeColor="text1"/>
        </w:rPr>
        <w:t xml:space="preserve">health technologies that treat </w:t>
      </w:r>
      <w:r w:rsidR="000A525A">
        <w:rPr>
          <w:rFonts w:eastAsia="Arial" w:cs="Arial"/>
          <w:color w:val="000000" w:themeColor="text1"/>
        </w:rPr>
        <w:t>rare diseases</w:t>
      </w:r>
      <w:r w:rsidR="008B7A1E">
        <w:rPr>
          <w:rFonts w:eastAsia="Arial" w:cs="Arial"/>
          <w:color w:val="000000" w:themeColor="text1"/>
        </w:rPr>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rPr>
          <w:rFonts w:eastAsia="Arial" w:cs="Arial"/>
          <w:color w:val="000000" w:themeColor="text1"/>
        </w:rPr>
        <w:fldChar w:fldCharType="end"/>
      </w:r>
      <w:r w:rsidR="004D7BFF">
        <w:rPr>
          <w:rFonts w:eastAsia="Arial" w:cs="Arial"/>
          <w:color w:val="000000" w:themeColor="text1"/>
        </w:rPr>
        <w:t xml:space="preserve"> and </w:t>
      </w:r>
      <w:r w:rsidR="00CE4B05">
        <w:rPr>
          <w:rFonts w:eastAsia="Arial" w:cs="Arial"/>
          <w:color w:val="000000" w:themeColor="text1"/>
        </w:rPr>
        <w:t>advanced therapies</w:t>
      </w:r>
      <w:r w:rsidR="00700B73">
        <w:rPr>
          <w:rFonts w:eastAsia="Arial" w:cs="Arial"/>
          <w:color w:val="000000" w:themeColor="text1"/>
        </w:rPr>
        <w:fldChar w:fldCharType="begin"/>
      </w:r>
      <w:r w:rsidR="00700B73">
        <w:instrText xml:space="preserve"> XE "</w:instrText>
      </w:r>
      <w:r w:rsidR="00700B73" w:rsidRPr="00D231D2">
        <w:instrText>advanced therapies</w:instrText>
      </w:r>
      <w:r w:rsidR="00700B73">
        <w:instrText xml:space="preserve">" </w:instrText>
      </w:r>
      <w:r w:rsidR="00700B73">
        <w:rPr>
          <w:rFonts w:eastAsia="Arial" w:cs="Arial"/>
          <w:color w:val="000000" w:themeColor="text1"/>
        </w:rPr>
        <w:fldChar w:fldCharType="end"/>
      </w:r>
      <w:r w:rsidR="004968D9">
        <w:rPr>
          <w:rFonts w:eastAsia="Arial" w:cs="Arial"/>
          <w:color w:val="000000" w:themeColor="text1"/>
        </w:rPr>
        <w:t>)</w:t>
      </w:r>
      <w:r w:rsidRPr="42FA0C97">
        <w:rPr>
          <w:rFonts w:eastAsia="Arial" w:cs="Arial"/>
          <w:color w:val="000000" w:themeColor="text1"/>
        </w:rPr>
        <w:t xml:space="preserve"> are recognised and alternative approaches are offered, where required. As observational evidence has traditionally been more likely to be presented to MSAC than PBAC, the </w:t>
      </w:r>
      <w:hyperlink r:id="rId155" w:history="1">
        <w:r w:rsidRPr="00012548">
          <w:rPr>
            <w:rStyle w:val="Hyperlink"/>
            <w:rFonts w:eastAsia="Arial" w:cs="Arial"/>
          </w:rPr>
          <w:t>MSAC Guidelines (TG 6.1)</w:t>
        </w:r>
      </w:hyperlink>
      <w:r w:rsidRPr="42FA0C97">
        <w:rPr>
          <w:rFonts w:eastAsia="Arial" w:cs="Arial"/>
          <w:color w:val="000000" w:themeColor="text1"/>
        </w:rPr>
        <w:t xml:space="preserve"> provide more extensive information on how to present non</w:t>
      </w:r>
      <w:r w:rsidR="00C33DC2">
        <w:rPr>
          <w:rFonts w:eastAsia="Arial" w:cs="Arial"/>
          <w:color w:val="000000" w:themeColor="text1"/>
        </w:rPr>
        <w:t>-</w:t>
      </w:r>
      <w:r w:rsidRPr="42FA0C97">
        <w:rPr>
          <w:rFonts w:eastAsia="Arial" w:cs="Arial"/>
          <w:color w:val="000000" w:themeColor="text1"/>
        </w:rPr>
        <w:t xml:space="preserve">trial evidence, including </w:t>
      </w:r>
      <w:r w:rsidR="26ABD196" w:rsidRPr="12722F94">
        <w:rPr>
          <w:rFonts w:eastAsia="Arial" w:cs="Arial"/>
          <w:color w:val="000000" w:themeColor="text1"/>
        </w:rPr>
        <w:t>RWD</w:t>
      </w:r>
      <w:r w:rsidRPr="42FA0C97">
        <w:rPr>
          <w:rFonts w:eastAsia="Arial" w:cs="Arial"/>
          <w:color w:val="000000" w:themeColor="text1"/>
        </w:rPr>
        <w:t xml:space="preserve">, and how to assess it. </w:t>
      </w:r>
    </w:p>
    <w:p w14:paraId="05AF7A6B" w14:textId="04F497D2" w:rsidR="00EC2805" w:rsidRDefault="00EC2805" w:rsidP="00D529EC">
      <w:pPr>
        <w:rPr>
          <w:rFonts w:eastAsia="Arial" w:cs="Arial"/>
          <w:color w:val="000000" w:themeColor="text1"/>
        </w:rPr>
      </w:pPr>
      <w:r>
        <w:rPr>
          <w:rFonts w:eastAsia="Arial" w:cs="Arial"/>
          <w:color w:val="000000" w:themeColor="text1"/>
        </w:rPr>
        <w:t xml:space="preserve">Both guidelines </w:t>
      </w:r>
      <w:r w:rsidR="00E3526B">
        <w:rPr>
          <w:rFonts w:eastAsia="Arial" w:cs="Arial"/>
          <w:color w:val="000000" w:themeColor="text1"/>
        </w:rPr>
        <w:t xml:space="preserve">also express a preference that submissions do not rely on surrogate measures to inform effectiveness in terms of patient-relevant or clinically relevant outcomes. </w:t>
      </w:r>
      <w:r w:rsidR="000920D4">
        <w:rPr>
          <w:rFonts w:eastAsia="Arial" w:cs="Arial"/>
          <w:color w:val="000000" w:themeColor="text1"/>
        </w:rPr>
        <w:t xml:space="preserve">They advise that, where possible, </w:t>
      </w:r>
      <w:r w:rsidR="00EC0F5A">
        <w:rPr>
          <w:rFonts w:eastAsia="Arial" w:cs="Arial"/>
          <w:color w:val="000000" w:themeColor="text1"/>
        </w:rPr>
        <w:t xml:space="preserve">submissions should present </w:t>
      </w:r>
      <w:r w:rsidR="000920D4">
        <w:rPr>
          <w:rFonts w:eastAsia="Arial" w:cs="Arial"/>
          <w:color w:val="000000" w:themeColor="text1"/>
        </w:rPr>
        <w:t xml:space="preserve">evidence from direct </w:t>
      </w:r>
      <w:r w:rsidR="00867E91">
        <w:rPr>
          <w:rFonts w:eastAsia="Arial" w:cs="Arial"/>
          <w:color w:val="000000" w:themeColor="text1"/>
        </w:rPr>
        <w:t>RCTs</w:t>
      </w:r>
      <w:r w:rsidR="00EC0F5A">
        <w:rPr>
          <w:rFonts w:eastAsia="Arial" w:cs="Arial"/>
          <w:color w:val="000000" w:themeColor="text1"/>
        </w:rPr>
        <w:t xml:space="preserve"> of the treatment effect of the proposed health techn</w:t>
      </w:r>
      <w:r w:rsidR="00BA03A9">
        <w:rPr>
          <w:rFonts w:eastAsia="Arial" w:cs="Arial"/>
          <w:color w:val="000000" w:themeColor="text1"/>
        </w:rPr>
        <w:t xml:space="preserve">ology </w:t>
      </w:r>
      <w:r w:rsidR="00C26401">
        <w:rPr>
          <w:rFonts w:eastAsia="Arial" w:cs="Arial"/>
          <w:color w:val="000000" w:themeColor="text1"/>
        </w:rPr>
        <w:t xml:space="preserve">on clinically relevant outcomes. </w:t>
      </w:r>
    </w:p>
    <w:p w14:paraId="7B6AC2BB" w14:textId="7798E1E1" w:rsidR="00C26401" w:rsidRDefault="00C26401" w:rsidP="00D529EC">
      <w:pPr>
        <w:rPr>
          <w:rFonts w:eastAsia="Arial" w:cs="Arial"/>
          <w:color w:val="000000" w:themeColor="text1"/>
        </w:rPr>
      </w:pPr>
      <w:r>
        <w:rPr>
          <w:rFonts w:eastAsia="Arial" w:cs="Arial"/>
          <w:color w:val="000000" w:themeColor="text1"/>
        </w:rPr>
        <w:t xml:space="preserve">They also provide guidance for circumstances where </w:t>
      </w:r>
      <w:r w:rsidR="00867E91">
        <w:rPr>
          <w:rFonts w:eastAsia="Arial" w:cs="Arial"/>
          <w:color w:val="000000" w:themeColor="text1"/>
        </w:rPr>
        <w:t>direct</w:t>
      </w:r>
      <w:r w:rsidR="003B288B">
        <w:rPr>
          <w:rFonts w:eastAsia="Arial" w:cs="Arial"/>
          <w:color w:val="000000" w:themeColor="text1"/>
        </w:rPr>
        <w:t xml:space="preserve"> RCT</w:t>
      </w:r>
      <w:r>
        <w:rPr>
          <w:rFonts w:eastAsia="Arial" w:cs="Arial"/>
          <w:color w:val="000000" w:themeColor="text1"/>
        </w:rPr>
        <w:t xml:space="preserve"> evidence is not available. </w:t>
      </w:r>
      <w:r w:rsidR="00856D1B">
        <w:rPr>
          <w:rFonts w:eastAsia="Arial" w:cs="Arial"/>
          <w:color w:val="000000" w:themeColor="text1"/>
        </w:rPr>
        <w:t xml:space="preserve">This guidance instructs </w:t>
      </w:r>
      <w:r w:rsidR="00C953A5">
        <w:rPr>
          <w:rFonts w:eastAsia="Arial" w:cs="Arial"/>
          <w:color w:val="000000" w:themeColor="text1"/>
        </w:rPr>
        <w:t>applicants</w:t>
      </w:r>
      <w:r w:rsidR="00856D1B">
        <w:rPr>
          <w:rFonts w:eastAsia="Arial" w:cs="Arial"/>
          <w:color w:val="000000" w:themeColor="text1"/>
        </w:rPr>
        <w:t xml:space="preserve"> to </w:t>
      </w:r>
      <w:r w:rsidR="00B67304">
        <w:rPr>
          <w:rFonts w:eastAsia="Arial" w:cs="Arial"/>
          <w:color w:val="000000" w:themeColor="text1"/>
        </w:rPr>
        <w:t>establish the likely comparative treatment effect on clinical</w:t>
      </w:r>
      <w:r w:rsidR="008D6399">
        <w:rPr>
          <w:rFonts w:eastAsia="Arial" w:cs="Arial"/>
          <w:color w:val="000000" w:themeColor="text1"/>
        </w:rPr>
        <w:t>ly</w:t>
      </w:r>
      <w:r w:rsidR="00B67304">
        <w:rPr>
          <w:rFonts w:eastAsia="Arial" w:cs="Arial"/>
          <w:color w:val="000000" w:themeColor="text1"/>
        </w:rPr>
        <w:t xml:space="preserve"> relevant outcomes by transforming the comparative treatment effect of a surrogate measure. </w:t>
      </w:r>
    </w:p>
    <w:p w14:paraId="53663141" w14:textId="3732A83B" w:rsidR="00D12224" w:rsidRDefault="00D12224" w:rsidP="009D14F6">
      <w:pPr>
        <w:pStyle w:val="Heading5"/>
      </w:pPr>
      <w:r>
        <w:t xml:space="preserve">Why is data from RCTs considered higher quality than </w:t>
      </w:r>
      <w:r w:rsidR="00784B8C">
        <w:t>non-traditional evidence</w:t>
      </w:r>
      <w:r w:rsidR="00B70457">
        <w:t>?</w:t>
      </w:r>
    </w:p>
    <w:p w14:paraId="5A1A88DE" w14:textId="23953F8A" w:rsidR="004F1D3A" w:rsidRDefault="00D12224" w:rsidP="00D12224">
      <w:pPr>
        <w:rPr>
          <w:color w:val="000000" w:themeColor="text1"/>
        </w:rPr>
      </w:pPr>
      <w:r w:rsidRPr="002B154F">
        <w:t>RCTs are</w:t>
      </w:r>
      <w:r w:rsidRPr="00C641CC">
        <w:rPr>
          <w:color w:val="000000" w:themeColor="text1"/>
        </w:rPr>
        <w:t xml:space="preserve"> considered the </w:t>
      </w:r>
      <w:r w:rsidR="007902D4">
        <w:rPr>
          <w:color w:val="000000" w:themeColor="text1"/>
        </w:rPr>
        <w:t>best</w:t>
      </w:r>
      <w:r w:rsidRPr="00C641CC">
        <w:rPr>
          <w:color w:val="000000" w:themeColor="text1"/>
        </w:rPr>
        <w:t xml:space="preserve"> evidence </w:t>
      </w:r>
      <w:r w:rsidR="00704CB2">
        <w:rPr>
          <w:color w:val="000000" w:themeColor="text1"/>
        </w:rPr>
        <w:t>to</w:t>
      </w:r>
      <w:r w:rsidR="00704CB2" w:rsidRPr="00C641CC">
        <w:rPr>
          <w:color w:val="000000" w:themeColor="text1"/>
        </w:rPr>
        <w:t xml:space="preserve"> </w:t>
      </w:r>
      <w:r w:rsidRPr="00C641CC">
        <w:rPr>
          <w:color w:val="000000" w:themeColor="text1"/>
        </w:rPr>
        <w:t>demonstrat</w:t>
      </w:r>
      <w:r w:rsidR="00704CB2">
        <w:rPr>
          <w:color w:val="000000" w:themeColor="text1"/>
        </w:rPr>
        <w:t>e</w:t>
      </w:r>
      <w:r w:rsidRPr="00C641CC">
        <w:rPr>
          <w:color w:val="000000" w:themeColor="text1"/>
        </w:rPr>
        <w:t xml:space="preserve"> the efficacy of a health technology as they are designed to address a specific study hypothesis or question</w:t>
      </w:r>
      <w:r w:rsidR="00571657">
        <w:rPr>
          <w:color w:val="000000" w:themeColor="text1"/>
        </w:rPr>
        <w:t xml:space="preserve"> and </w:t>
      </w:r>
      <w:r w:rsidR="00070B47">
        <w:rPr>
          <w:color w:val="000000" w:themeColor="text1"/>
        </w:rPr>
        <w:t>minimise</w:t>
      </w:r>
      <w:r w:rsidR="003C1DEA">
        <w:rPr>
          <w:color w:val="000000" w:themeColor="text1"/>
        </w:rPr>
        <w:t xml:space="preserve"> the likelihood of errors that could </w:t>
      </w:r>
      <w:r w:rsidR="009F30C8">
        <w:rPr>
          <w:color w:val="000000" w:themeColor="text1"/>
        </w:rPr>
        <w:t>cause investigators to come to the wrong conclusions about the beneficial and harmful effects of health technologies</w:t>
      </w:r>
      <w:r w:rsidR="007F0538">
        <w:rPr>
          <w:color w:val="000000" w:themeColor="text1"/>
        </w:rPr>
        <w:t>.</w:t>
      </w:r>
      <w:r w:rsidR="00D76095">
        <w:rPr>
          <w:color w:val="000000" w:themeColor="text1"/>
        </w:rPr>
        <w:t xml:space="preserve"> </w:t>
      </w:r>
    </w:p>
    <w:p w14:paraId="304FD6C8" w14:textId="7814EB14" w:rsidR="00B63322" w:rsidRDefault="00671B3D" w:rsidP="00D12224">
      <w:pPr>
        <w:rPr>
          <w:color w:val="000000" w:themeColor="text1"/>
        </w:rPr>
      </w:pPr>
      <w:r>
        <w:rPr>
          <w:color w:val="000000" w:themeColor="text1"/>
        </w:rPr>
        <w:t>For RCTs</w:t>
      </w:r>
      <w:r w:rsidR="000C5E84">
        <w:rPr>
          <w:color w:val="000000" w:themeColor="text1"/>
        </w:rPr>
        <w:t>,</w:t>
      </w:r>
      <w:r w:rsidR="00C202E2">
        <w:rPr>
          <w:color w:val="000000" w:themeColor="text1"/>
        </w:rPr>
        <w:t xml:space="preserve"> </w:t>
      </w:r>
      <w:r w:rsidR="003C7E08">
        <w:rPr>
          <w:color w:val="000000" w:themeColor="text1"/>
        </w:rPr>
        <w:t>b</w:t>
      </w:r>
      <w:r w:rsidR="00571657">
        <w:rPr>
          <w:color w:val="000000" w:themeColor="text1"/>
        </w:rPr>
        <w:t xml:space="preserve">linding and </w:t>
      </w:r>
      <w:r w:rsidR="003C7E08">
        <w:rPr>
          <w:color w:val="000000" w:themeColor="text1"/>
        </w:rPr>
        <w:t>r</w:t>
      </w:r>
      <w:r w:rsidR="00D12224" w:rsidRPr="00C641CC">
        <w:rPr>
          <w:color w:val="000000" w:themeColor="text1"/>
        </w:rPr>
        <w:t xml:space="preserve">andomisation </w:t>
      </w:r>
      <w:r w:rsidR="00CA104A">
        <w:rPr>
          <w:color w:val="000000" w:themeColor="text1"/>
        </w:rPr>
        <w:t>controls are</w:t>
      </w:r>
      <w:r w:rsidR="00D12224">
        <w:rPr>
          <w:color w:val="000000" w:themeColor="text1"/>
        </w:rPr>
        <w:t xml:space="preserve"> used </w:t>
      </w:r>
      <w:r w:rsidR="00D12224" w:rsidRPr="00C641CC">
        <w:rPr>
          <w:color w:val="000000" w:themeColor="text1"/>
        </w:rPr>
        <w:t xml:space="preserve">to ensure that bias and confounding is minimised, data are collected purposefully, and data curation is highly regulated. </w:t>
      </w:r>
    </w:p>
    <w:p w14:paraId="0D715497" w14:textId="7C98F7CD" w:rsidR="001F7C9E" w:rsidRDefault="004A276A" w:rsidP="00D12224">
      <w:pPr>
        <w:rPr>
          <w:color w:val="000000" w:themeColor="text1"/>
        </w:rPr>
      </w:pPr>
      <w:r>
        <w:rPr>
          <w:color w:val="000000" w:themeColor="text1"/>
        </w:rPr>
        <w:t xml:space="preserve">These controls are especially important in studies where the effects of </w:t>
      </w:r>
      <w:r w:rsidR="000A6220">
        <w:rPr>
          <w:color w:val="000000" w:themeColor="text1"/>
        </w:rPr>
        <w:t>an intervention</w:t>
      </w:r>
      <w:r w:rsidR="00D90E6D">
        <w:rPr>
          <w:color w:val="000000" w:themeColor="text1"/>
        </w:rPr>
        <w:t xml:space="preserve"> are</w:t>
      </w:r>
      <w:r w:rsidR="00B105B9">
        <w:rPr>
          <w:color w:val="000000" w:themeColor="text1"/>
        </w:rPr>
        <w:t xml:space="preserve"> moderate or smal</w:t>
      </w:r>
      <w:r w:rsidR="006B3544">
        <w:rPr>
          <w:color w:val="000000" w:themeColor="text1"/>
        </w:rPr>
        <w:t>l</w:t>
      </w:r>
      <w:r w:rsidR="00526C95">
        <w:rPr>
          <w:color w:val="000000" w:themeColor="text1"/>
        </w:rPr>
        <w:t>.</w:t>
      </w:r>
      <w:r w:rsidR="005446AE">
        <w:rPr>
          <w:color w:val="000000" w:themeColor="text1"/>
        </w:rPr>
        <w:t xml:space="preserve"> </w:t>
      </w:r>
      <w:r w:rsidR="00B63322">
        <w:rPr>
          <w:color w:val="000000" w:themeColor="text1"/>
        </w:rPr>
        <w:t>D</w:t>
      </w:r>
      <w:r w:rsidR="005446AE">
        <w:rPr>
          <w:color w:val="000000" w:themeColor="text1"/>
        </w:rPr>
        <w:t>ifferences in the characteristics of treated and untreated populations</w:t>
      </w:r>
      <w:r w:rsidR="00526C95">
        <w:rPr>
          <w:color w:val="000000" w:themeColor="text1"/>
        </w:rPr>
        <w:t>, or a biased assessment of outcomes,</w:t>
      </w:r>
      <w:r w:rsidR="005446AE">
        <w:rPr>
          <w:color w:val="000000" w:themeColor="text1"/>
        </w:rPr>
        <w:t xml:space="preserve"> </w:t>
      </w:r>
      <w:r w:rsidR="00B63322">
        <w:rPr>
          <w:color w:val="000000" w:themeColor="text1"/>
        </w:rPr>
        <w:t xml:space="preserve">has the potential to </w:t>
      </w:r>
      <w:r w:rsidR="007F2144">
        <w:rPr>
          <w:color w:val="000000" w:themeColor="text1"/>
        </w:rPr>
        <w:t xml:space="preserve">cause </w:t>
      </w:r>
      <w:r w:rsidR="00B63322">
        <w:rPr>
          <w:color w:val="000000" w:themeColor="text1"/>
        </w:rPr>
        <w:t xml:space="preserve">investigators </w:t>
      </w:r>
      <w:r w:rsidR="003D66EC">
        <w:rPr>
          <w:color w:val="000000" w:themeColor="text1"/>
        </w:rPr>
        <w:t xml:space="preserve">to incorrectly conclude that differences in health outcomes </w:t>
      </w:r>
      <w:r w:rsidR="00AE13F8">
        <w:rPr>
          <w:color w:val="000000" w:themeColor="text1"/>
        </w:rPr>
        <w:t xml:space="preserve">between </w:t>
      </w:r>
      <w:r w:rsidR="003D66EC">
        <w:rPr>
          <w:color w:val="000000" w:themeColor="text1"/>
        </w:rPr>
        <w:t xml:space="preserve">treated and untreated study participants is due to the intervention. </w:t>
      </w:r>
    </w:p>
    <w:p w14:paraId="127C6EB8" w14:textId="68A00ECE" w:rsidR="00D12224" w:rsidRDefault="00D12224" w:rsidP="00D12224">
      <w:pPr>
        <w:rPr>
          <w:color w:val="000000" w:themeColor="text1"/>
        </w:rPr>
      </w:pPr>
      <w:r w:rsidRPr="00C641CC">
        <w:rPr>
          <w:color w:val="000000" w:themeColor="text1"/>
        </w:rPr>
        <w:t xml:space="preserve">In contrast, studies </w:t>
      </w:r>
      <w:r w:rsidR="003D04CE">
        <w:rPr>
          <w:color w:val="000000" w:themeColor="text1"/>
        </w:rPr>
        <w:t>using</w:t>
      </w:r>
      <w:r w:rsidRPr="00C641CC">
        <w:rPr>
          <w:color w:val="000000" w:themeColor="text1"/>
        </w:rPr>
        <w:t xml:space="preserve"> RWD, where data is commonly collected in real</w:t>
      </w:r>
      <w:r w:rsidR="00FD7AA9">
        <w:rPr>
          <w:color w:val="000000" w:themeColor="text1"/>
        </w:rPr>
        <w:t>-</w:t>
      </w:r>
      <w:r w:rsidRPr="00C641CC">
        <w:rPr>
          <w:color w:val="000000" w:themeColor="text1"/>
        </w:rPr>
        <w:t>world clinical settings, are subject to bias and confounding and may not complete</w:t>
      </w:r>
      <w:r w:rsidR="00BE3FB0">
        <w:rPr>
          <w:color w:val="000000" w:themeColor="text1"/>
        </w:rPr>
        <w:t>ly</w:t>
      </w:r>
      <w:r w:rsidRPr="00C641CC">
        <w:rPr>
          <w:color w:val="000000" w:themeColor="text1"/>
        </w:rPr>
        <w:t xml:space="preserve"> capture all necessary information. The quality of RWE</w:t>
      </w:r>
      <w:r w:rsidR="00D75A2B">
        <w:rPr>
          <w:color w:val="000000" w:themeColor="text1"/>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color w:val="000000" w:themeColor="text1"/>
        </w:rPr>
        <w:fldChar w:fldCharType="end"/>
      </w:r>
      <w:r w:rsidRPr="00C641CC">
        <w:rPr>
          <w:color w:val="000000" w:themeColor="text1"/>
        </w:rPr>
        <w:t xml:space="preserve"> is multifactorial</w:t>
      </w:r>
      <w:r>
        <w:rPr>
          <w:color w:val="000000" w:themeColor="text1"/>
        </w:rPr>
        <w:t>:</w:t>
      </w:r>
      <w:r w:rsidRPr="00C641CC">
        <w:rPr>
          <w:color w:val="000000" w:themeColor="text1"/>
        </w:rPr>
        <w:t xml:space="preserve"> it relies on the quality of the underlying data (provenance, reliability and missingness), the quality of the methods used to analyse those data </w:t>
      </w:r>
      <w:r w:rsidRPr="00C641CC">
        <w:rPr>
          <w:color w:val="000000" w:themeColor="text1"/>
        </w:rPr>
        <w:lastRenderedPageBreak/>
        <w:t xml:space="preserve">(appropriate study design and analytic methods to control for bias) and the quality of the question itself (data fit for purpose to address the question). </w:t>
      </w:r>
    </w:p>
    <w:p w14:paraId="7C84DBD7" w14:textId="645D26D0" w:rsidR="00C97931" w:rsidRDefault="00C46E1B" w:rsidP="00D12224">
      <w:r>
        <w:rPr>
          <w:color w:val="000000" w:themeColor="text1"/>
        </w:rPr>
        <w:t xml:space="preserve">The </w:t>
      </w:r>
      <w:r w:rsidR="003E03F1">
        <w:rPr>
          <w:color w:val="000000" w:themeColor="text1"/>
        </w:rPr>
        <w:t xml:space="preserve">report on clinical evaluation found that </w:t>
      </w:r>
      <w:r w:rsidR="00B82FDD">
        <w:rPr>
          <w:color w:val="000000" w:themeColor="text1"/>
        </w:rPr>
        <w:t>in most jurisdicti</w:t>
      </w:r>
      <w:r w:rsidR="00C97931">
        <w:rPr>
          <w:color w:val="000000" w:themeColor="text1"/>
        </w:rPr>
        <w:t>ons</w:t>
      </w:r>
      <w:r w:rsidR="00EF2CC2">
        <w:rPr>
          <w:color w:val="000000" w:themeColor="text1"/>
        </w:rPr>
        <w:t>,</w:t>
      </w:r>
      <w:r w:rsidR="00C97931">
        <w:rPr>
          <w:color w:val="000000" w:themeColor="text1"/>
        </w:rPr>
        <w:t xml:space="preserve"> </w:t>
      </w:r>
      <w:r w:rsidR="00C97931">
        <w:t>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00C97931">
        <w:t xml:space="preserve"> is successfully used to </w:t>
      </w:r>
      <w:r w:rsidR="16D900E6">
        <w:t xml:space="preserve">help </w:t>
      </w:r>
      <w:r w:rsidR="00C97931">
        <w:t xml:space="preserve">determine the appropriate comparator, natural history of the disease, treatment pathways, long-term side effects, resource use, incidence, compliance, </w:t>
      </w:r>
      <w:r w:rsidR="003B1302">
        <w:t>and quality of life,</w:t>
      </w:r>
      <w:r w:rsidR="00C97931">
        <w:t xml:space="preserve"> and for informing some parameters for economic analysis. In most cases, these uses of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00C97931">
        <w:t xml:space="preserve"> are well established and accepted. </w:t>
      </w:r>
    </w:p>
    <w:p w14:paraId="455ECE42" w14:textId="5B5F2E12" w:rsidR="00C97931" w:rsidRDefault="00FE4A66" w:rsidP="00D12224">
      <w:r>
        <w:t xml:space="preserve">The report on clinical evaluation found </w:t>
      </w:r>
      <w:r w:rsidR="00C97931">
        <w:t>that there are concerns related to the use of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00C97931">
        <w:t xml:space="preserve"> to demonstrate treatment effects. Key issues with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00C97931">
        <w:t xml:space="preserve"> included: </w:t>
      </w:r>
    </w:p>
    <w:p w14:paraId="7722ABB4" w14:textId="70499FEF" w:rsidR="00C97931" w:rsidRDefault="009B0EA2" w:rsidP="008505D7">
      <w:pPr>
        <w:pStyle w:val="ListParagraph"/>
        <w:numPr>
          <w:ilvl w:val="0"/>
          <w:numId w:val="149"/>
        </w:numPr>
      </w:pPr>
      <w:r>
        <w:t>d</w:t>
      </w:r>
      <w:r w:rsidR="00C97931">
        <w:t xml:space="preserve">ata quality and acceptability </w:t>
      </w:r>
    </w:p>
    <w:p w14:paraId="1C2532DA" w14:textId="538979A7" w:rsidR="00C97931" w:rsidRDefault="00030119" w:rsidP="008505D7">
      <w:pPr>
        <w:pStyle w:val="ListParagraph"/>
        <w:numPr>
          <w:ilvl w:val="0"/>
          <w:numId w:val="149"/>
        </w:numPr>
      </w:pPr>
      <w:r>
        <w:t>b</w:t>
      </w:r>
      <w:r w:rsidR="00C97931">
        <w:t xml:space="preserve">ias and confounding </w:t>
      </w:r>
    </w:p>
    <w:p w14:paraId="1582CB56" w14:textId="5C0CCFD0" w:rsidR="00C97931" w:rsidRDefault="00030119" w:rsidP="008505D7">
      <w:pPr>
        <w:pStyle w:val="ListParagraph"/>
        <w:numPr>
          <w:ilvl w:val="0"/>
          <w:numId w:val="149"/>
        </w:numPr>
      </w:pPr>
      <w:r>
        <w:t>l</w:t>
      </w:r>
      <w:r w:rsidR="00C97931">
        <w:t xml:space="preserve">ack of training in HTA / methods for evaluation </w:t>
      </w:r>
    </w:p>
    <w:p w14:paraId="2C44B79B" w14:textId="728D37B9" w:rsidR="00C97931" w:rsidRDefault="00883C9C" w:rsidP="008505D7">
      <w:pPr>
        <w:pStyle w:val="ListParagraph"/>
        <w:numPr>
          <w:ilvl w:val="0"/>
          <w:numId w:val="149"/>
        </w:numPr>
      </w:pPr>
      <w:r>
        <w:t>t</w:t>
      </w:r>
      <w:r w:rsidR="00C97931">
        <w:t>rust and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C97931">
        <w:t xml:space="preserve"> </w:t>
      </w:r>
    </w:p>
    <w:p w14:paraId="575CE02D" w14:textId="103AEB28" w:rsidR="00C97931" w:rsidRDefault="00883C9C" w:rsidP="008505D7">
      <w:pPr>
        <w:pStyle w:val="ListParagraph"/>
        <w:numPr>
          <w:ilvl w:val="0"/>
          <w:numId w:val="149"/>
        </w:numPr>
      </w:pPr>
      <w:r>
        <w:t>l</w:t>
      </w:r>
      <w:r w:rsidR="00C97931">
        <w:t>ack of standardisation</w:t>
      </w:r>
    </w:p>
    <w:p w14:paraId="17D1E994" w14:textId="063385D4" w:rsidR="00C46E1B" w:rsidRPr="00511430" w:rsidRDefault="00883C9C" w:rsidP="008505D7">
      <w:pPr>
        <w:pStyle w:val="ListParagraph"/>
        <w:numPr>
          <w:ilvl w:val="0"/>
          <w:numId w:val="149"/>
        </w:numPr>
        <w:rPr>
          <w:color w:val="000000" w:themeColor="text1"/>
        </w:rPr>
      </w:pPr>
      <w:r>
        <w:t>t</w:t>
      </w:r>
      <w:r w:rsidR="00C97931">
        <w:t>ransferability</w:t>
      </w:r>
      <w:r w:rsidR="003956B9">
        <w:t>.</w:t>
      </w:r>
    </w:p>
    <w:p w14:paraId="61FFBD4B" w14:textId="2CF638B9" w:rsidR="00511430" w:rsidRPr="00511430" w:rsidRDefault="00511430" w:rsidP="00511430">
      <w:pPr>
        <w:rPr>
          <w:color w:val="000000" w:themeColor="text1"/>
        </w:rPr>
      </w:pPr>
      <w:r>
        <w:t>In general, the use of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t xml:space="preserve"> for reimbursement decisions was reported to be limited, driven by a combination of the often</w:t>
      </w:r>
      <w:r w:rsidR="00271762">
        <w:t>-</w:t>
      </w:r>
      <w:r>
        <w:t>poor quality evidence, and caution applied by payers / decision makers.</w:t>
      </w:r>
    </w:p>
    <w:p w14:paraId="568D3DFB" w14:textId="2DDA5049" w:rsidR="00C029CD" w:rsidRDefault="00613BB1" w:rsidP="00F370AC">
      <w:pPr>
        <w:pStyle w:val="Heading4"/>
      </w:pPr>
      <w:r w:rsidRPr="002B1085">
        <w:t xml:space="preserve">Consideration of </w:t>
      </w:r>
      <w:r w:rsidR="00C02A1F">
        <w:t xml:space="preserve">implications </w:t>
      </w:r>
      <w:r w:rsidR="001C71DF" w:rsidRPr="002B1085">
        <w:t xml:space="preserve">beyond </w:t>
      </w:r>
      <w:r w:rsidR="00D1679F" w:rsidRPr="002B1085">
        <w:t>clinical effectiveness, safety</w:t>
      </w:r>
      <w:r w:rsidR="00552031" w:rsidRPr="002B1085">
        <w:t>, and cost-effectiveness</w:t>
      </w:r>
    </w:p>
    <w:p w14:paraId="64669398" w14:textId="0C2D0A38" w:rsidR="00DE59ED" w:rsidRDefault="008E7ADD" w:rsidP="00D529EC">
      <w:pPr>
        <w:rPr>
          <w:rFonts w:eastAsia="Arial"/>
          <w:color w:val="000000" w:themeColor="text1"/>
        </w:rPr>
      </w:pPr>
      <w:r>
        <w:rPr>
          <w:rFonts w:eastAsia="Arial"/>
          <w:color w:val="000000" w:themeColor="text1"/>
        </w:rPr>
        <w:t>In Australia, the PBAC and MSAC guidelines</w:t>
      </w:r>
      <w:r w:rsidR="00DE59ED" w:rsidRPr="00DE59ED">
        <w:rPr>
          <w:rFonts w:eastAsia="Arial"/>
          <w:color w:val="000000" w:themeColor="text1"/>
        </w:rPr>
        <w:t xml:space="preserve"> state that</w:t>
      </w:r>
      <w:r w:rsidR="008F2962">
        <w:rPr>
          <w:rFonts w:eastAsia="Arial"/>
          <w:color w:val="000000" w:themeColor="text1"/>
        </w:rPr>
        <w:t xml:space="preserve"> decision</w:t>
      </w:r>
      <w:r w:rsidR="004D7852">
        <w:rPr>
          <w:rFonts w:eastAsia="Arial"/>
          <w:color w:val="000000" w:themeColor="text1"/>
        </w:rPr>
        <w:t>-</w:t>
      </w:r>
      <w:r w:rsidR="008F2962">
        <w:rPr>
          <w:rFonts w:eastAsia="Arial"/>
          <w:color w:val="000000" w:themeColor="text1"/>
        </w:rPr>
        <w:t>making is informed by less readily quantifiable factors</w:t>
      </w:r>
      <w:r w:rsidR="0096033D">
        <w:rPr>
          <w:rFonts w:eastAsia="Arial"/>
          <w:color w:val="000000" w:themeColor="text1"/>
        </w:rPr>
        <w:t>. These</w:t>
      </w:r>
      <w:r w:rsidR="008F2962">
        <w:rPr>
          <w:rFonts w:eastAsia="Arial"/>
          <w:color w:val="000000" w:themeColor="text1"/>
        </w:rPr>
        <w:t xml:space="preserve"> </w:t>
      </w:r>
      <w:r w:rsidR="000D1DEE">
        <w:rPr>
          <w:rFonts w:eastAsia="Arial"/>
          <w:color w:val="000000" w:themeColor="text1"/>
        </w:rPr>
        <w:t>inclu</w:t>
      </w:r>
      <w:r w:rsidR="0096033D">
        <w:rPr>
          <w:rFonts w:eastAsia="Arial"/>
          <w:color w:val="000000" w:themeColor="text1"/>
        </w:rPr>
        <w:t>de</w:t>
      </w:r>
      <w:r w:rsidR="000D1DEE">
        <w:rPr>
          <w:rFonts w:eastAsia="Arial"/>
          <w:color w:val="000000" w:themeColor="text1"/>
        </w:rPr>
        <w:t xml:space="preserve"> equity</w:t>
      </w:r>
      <w:r w:rsidR="00A67FBB">
        <w:rPr>
          <w:rFonts w:eastAsia="Arial"/>
          <w:color w:val="000000" w:themeColor="text1"/>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rFonts w:eastAsia="Arial"/>
          <w:color w:val="000000" w:themeColor="text1"/>
        </w:rPr>
        <w:fldChar w:fldCharType="end"/>
      </w:r>
      <w:r w:rsidR="000D1DEE">
        <w:rPr>
          <w:rFonts w:eastAsia="Arial"/>
          <w:color w:val="000000" w:themeColor="text1"/>
        </w:rPr>
        <w:t xml:space="preserve">, clinical need, </w:t>
      </w:r>
      <w:r w:rsidR="00D60329">
        <w:rPr>
          <w:rFonts w:eastAsia="Arial"/>
          <w:color w:val="000000" w:themeColor="text1"/>
        </w:rPr>
        <w:t>severity</w:t>
      </w:r>
      <w:r w:rsidR="009B4FA3">
        <w:rPr>
          <w:rFonts w:eastAsia="Arial"/>
          <w:color w:val="000000" w:themeColor="text1"/>
        </w:rPr>
        <w:t>,</w:t>
      </w:r>
      <w:r w:rsidR="0096033D">
        <w:rPr>
          <w:rFonts w:eastAsia="Arial"/>
          <w:color w:val="000000" w:themeColor="text1"/>
        </w:rPr>
        <w:t xml:space="preserve"> value of knowing </w:t>
      </w:r>
      <w:r w:rsidR="00B23C03">
        <w:rPr>
          <w:rFonts w:eastAsia="Arial"/>
          <w:color w:val="000000" w:themeColor="text1"/>
        </w:rPr>
        <w:t>prognosis or diagnosis, p</w:t>
      </w:r>
      <w:r w:rsidR="009B4FA3">
        <w:rPr>
          <w:rFonts w:eastAsia="Arial"/>
          <w:color w:val="000000" w:themeColor="text1"/>
        </w:rPr>
        <w:t xml:space="preserve">ublic health issues </w:t>
      </w:r>
      <w:r w:rsidR="002B1085">
        <w:rPr>
          <w:rFonts w:eastAsia="Arial"/>
          <w:color w:val="000000" w:themeColor="text1"/>
        </w:rPr>
        <w:t>and other relevant considerations</w:t>
      </w:r>
      <w:r w:rsidR="00DE59ED" w:rsidRPr="00DE59ED">
        <w:rPr>
          <w:rFonts w:eastAsia="Arial"/>
          <w:color w:val="000000" w:themeColor="text1"/>
        </w:rPr>
        <w:t>.</w:t>
      </w:r>
    </w:p>
    <w:p w14:paraId="582229BB" w14:textId="7E473439" w:rsidR="00865893" w:rsidRDefault="005372DD" w:rsidP="00D529EC">
      <w:pPr>
        <w:rPr>
          <w:rFonts w:eastAsia="Arial"/>
          <w:color w:val="000000" w:themeColor="text1"/>
        </w:rPr>
      </w:pPr>
      <w:r>
        <w:rPr>
          <w:rFonts w:eastAsia="Arial"/>
          <w:color w:val="000000" w:themeColor="text1"/>
        </w:rPr>
        <w:t xml:space="preserve">The </w:t>
      </w:r>
      <w:r w:rsidR="004A0E4C">
        <w:rPr>
          <w:rFonts w:eastAsia="Arial"/>
          <w:color w:val="000000" w:themeColor="text1"/>
        </w:rPr>
        <w:t xml:space="preserve">report on </w:t>
      </w:r>
      <w:r w:rsidR="00DE7F2A">
        <w:rPr>
          <w:rFonts w:eastAsia="Arial"/>
          <w:color w:val="000000" w:themeColor="text1"/>
        </w:rPr>
        <w:t xml:space="preserve">clinical evaluation </w:t>
      </w:r>
      <w:r w:rsidR="004A0E4C">
        <w:rPr>
          <w:rFonts w:eastAsia="Arial"/>
          <w:color w:val="000000" w:themeColor="text1"/>
        </w:rPr>
        <w:t>found that</w:t>
      </w:r>
      <w:r w:rsidR="00BD49F3" w:rsidRPr="00BD49F3">
        <w:rPr>
          <w:rFonts w:eastAsia="Arial"/>
          <w:color w:val="000000" w:themeColor="text1"/>
        </w:rPr>
        <w:t xml:space="preserve"> broader value elements are considered by most HTA agencies around the world, but that the role and impact of these factors on decision-making lacks transparency</w:t>
      </w:r>
      <w:r w:rsidR="002A0D74">
        <w:rPr>
          <w:rFonts w:eastAsia="Arial"/>
          <w:color w:val="000000" w:themeColor="text1"/>
        </w:rPr>
        <w:fldChar w:fldCharType="begin"/>
      </w:r>
      <w:r w:rsidR="002A0D74">
        <w:instrText xml:space="preserve"> XE "</w:instrText>
      </w:r>
      <w:r w:rsidR="002A0D74" w:rsidRPr="005B2802">
        <w:instrText>transparency</w:instrText>
      </w:r>
      <w:r w:rsidR="002A0D74">
        <w:instrText xml:space="preserve">" </w:instrText>
      </w:r>
      <w:r w:rsidR="002A0D74">
        <w:rPr>
          <w:rFonts w:eastAsia="Arial"/>
          <w:color w:val="000000" w:themeColor="text1"/>
        </w:rPr>
        <w:fldChar w:fldCharType="end"/>
      </w:r>
      <w:r w:rsidR="009A6D62">
        <w:rPr>
          <w:rFonts w:eastAsia="Arial"/>
          <w:color w:val="000000" w:themeColor="text1"/>
        </w:rPr>
        <w:t xml:space="preserve">. </w:t>
      </w:r>
    </w:p>
    <w:p w14:paraId="2B28BD25" w14:textId="1ACA2D7A" w:rsidR="00D529EC" w:rsidRDefault="009A6D62" w:rsidP="00D529EC">
      <w:pPr>
        <w:rPr>
          <w:rFonts w:eastAsia="Arial"/>
          <w:color w:val="000000" w:themeColor="text1"/>
        </w:rPr>
      </w:pPr>
      <w:r>
        <w:rPr>
          <w:rFonts w:eastAsia="Arial"/>
          <w:color w:val="000000" w:themeColor="text1"/>
        </w:rPr>
        <w:t>S</w:t>
      </w:r>
      <w:r w:rsidR="00D17A9B">
        <w:rPr>
          <w:rFonts w:eastAsia="Arial"/>
          <w:color w:val="000000" w:themeColor="text1"/>
        </w:rPr>
        <w:t>everal s</w:t>
      </w:r>
      <w:r>
        <w:rPr>
          <w:rFonts w:eastAsia="Arial"/>
          <w:color w:val="000000" w:themeColor="text1"/>
        </w:rPr>
        <w:t xml:space="preserve">tudies identified </w:t>
      </w:r>
      <w:r w:rsidR="00512342">
        <w:rPr>
          <w:rFonts w:eastAsia="Arial"/>
          <w:color w:val="000000" w:themeColor="text1"/>
        </w:rPr>
        <w:t>in the report on clinical evaluation</w:t>
      </w:r>
      <w:r w:rsidR="00670554">
        <w:rPr>
          <w:rFonts w:eastAsia="Arial"/>
          <w:color w:val="000000" w:themeColor="text1"/>
        </w:rPr>
        <w:t xml:space="preserve"> suggested</w:t>
      </w:r>
      <w:r w:rsidR="00670554" w:rsidRPr="00670554">
        <w:rPr>
          <w:rFonts w:eastAsia="Arial"/>
          <w:color w:val="000000" w:themeColor="text1"/>
        </w:rPr>
        <w:t xml:space="preserve"> </w:t>
      </w:r>
      <w:r w:rsidR="00670554">
        <w:rPr>
          <w:rFonts w:eastAsia="Arial"/>
          <w:color w:val="000000" w:themeColor="text1"/>
        </w:rPr>
        <w:t>that a</w:t>
      </w:r>
      <w:r w:rsidR="00670554" w:rsidRPr="00670554">
        <w:rPr>
          <w:rFonts w:eastAsia="Arial"/>
          <w:color w:val="000000" w:themeColor="text1"/>
        </w:rPr>
        <w:t xml:space="preserve"> method to increase the transparency</w:t>
      </w:r>
      <w:r w:rsidR="002A0D74">
        <w:rPr>
          <w:rFonts w:eastAsia="Arial"/>
          <w:color w:val="000000" w:themeColor="text1"/>
        </w:rPr>
        <w:fldChar w:fldCharType="begin"/>
      </w:r>
      <w:r w:rsidR="002A0D74">
        <w:instrText xml:space="preserve"> XE "</w:instrText>
      </w:r>
      <w:r w:rsidR="002A0D74" w:rsidRPr="005B2802">
        <w:instrText>transparency</w:instrText>
      </w:r>
      <w:r w:rsidR="002A0D74">
        <w:instrText xml:space="preserve">" </w:instrText>
      </w:r>
      <w:r w:rsidR="002A0D74">
        <w:rPr>
          <w:rFonts w:eastAsia="Arial"/>
          <w:color w:val="000000" w:themeColor="text1"/>
        </w:rPr>
        <w:fldChar w:fldCharType="end"/>
      </w:r>
      <w:r w:rsidR="00670554" w:rsidRPr="00670554">
        <w:rPr>
          <w:rFonts w:eastAsia="Arial"/>
          <w:color w:val="000000" w:themeColor="text1"/>
        </w:rPr>
        <w:t xml:space="preserve"> of the incorporation of broader value elements into decision-making, and improve consistency of decisions, is to </w:t>
      </w:r>
      <w:r w:rsidR="000D0F4D">
        <w:rPr>
          <w:rFonts w:eastAsia="Arial"/>
          <w:color w:val="000000" w:themeColor="text1"/>
        </w:rPr>
        <w:t xml:space="preserve">use </w:t>
      </w:r>
      <w:r w:rsidR="003907C8">
        <w:rPr>
          <w:rFonts w:eastAsia="Arial"/>
          <w:color w:val="000000" w:themeColor="text1"/>
        </w:rPr>
        <w:t xml:space="preserve">value frameworks such as </w:t>
      </w:r>
      <w:r w:rsidR="00670554" w:rsidRPr="00670554">
        <w:rPr>
          <w:rFonts w:eastAsia="Arial"/>
          <w:color w:val="000000" w:themeColor="text1"/>
        </w:rPr>
        <w:t>multiple criteria decision analys</w:t>
      </w:r>
      <w:r w:rsidR="000B35FD">
        <w:rPr>
          <w:rFonts w:eastAsia="Arial"/>
          <w:color w:val="000000" w:themeColor="text1"/>
        </w:rPr>
        <w:t>e</w:t>
      </w:r>
      <w:r w:rsidR="00670554" w:rsidRPr="00670554">
        <w:rPr>
          <w:rFonts w:eastAsia="Arial"/>
          <w:color w:val="000000" w:themeColor="text1"/>
        </w:rPr>
        <w:t>s</w:t>
      </w:r>
      <w:r w:rsidR="003907C8">
        <w:rPr>
          <w:rFonts w:eastAsia="Arial"/>
          <w:color w:val="000000" w:themeColor="text1"/>
        </w:rPr>
        <w:t xml:space="preserve"> (MCDA)</w:t>
      </w:r>
      <w:r w:rsidR="00670554" w:rsidRPr="00670554">
        <w:rPr>
          <w:rFonts w:eastAsia="Arial"/>
          <w:color w:val="000000" w:themeColor="text1"/>
        </w:rPr>
        <w:t>.</w:t>
      </w:r>
      <w:r w:rsidR="00512342">
        <w:rPr>
          <w:rFonts w:eastAsia="Arial"/>
          <w:color w:val="000000" w:themeColor="text1"/>
        </w:rPr>
        <w:t xml:space="preserve"> </w:t>
      </w:r>
    </w:p>
    <w:p w14:paraId="54ED0D15" w14:textId="4C3B91EC" w:rsidR="00D529EC" w:rsidRPr="009E53A1" w:rsidRDefault="00D529EC" w:rsidP="00D529EC">
      <w:pPr>
        <w:rPr>
          <w:rFonts w:eastAsia="Arial" w:cs="Arial"/>
          <w:color w:val="000000" w:themeColor="text1"/>
        </w:rPr>
      </w:pPr>
      <w:r w:rsidRPr="009E53A1">
        <w:rPr>
          <w:rFonts w:eastAsia="Arial"/>
          <w:color w:val="000000" w:themeColor="text1"/>
        </w:rPr>
        <w:t>Three types of value frameworks​</w:t>
      </w:r>
      <w:r>
        <w:rPr>
          <w:rFonts w:eastAsia="Arial"/>
          <w:color w:val="000000" w:themeColor="text1"/>
        </w:rPr>
        <w:t xml:space="preserve"> were identified in </w:t>
      </w:r>
      <w:hyperlink r:id="rId156" w:history="1">
        <w:r w:rsidRPr="0067483B">
          <w:rPr>
            <w:rStyle w:val="Hyperlink"/>
            <w:rFonts w:eastAsia="Arial"/>
          </w:rPr>
          <w:t>Paper 4</w:t>
        </w:r>
        <w:r w:rsidR="0067483B" w:rsidRPr="0067483B">
          <w:rPr>
            <w:rStyle w:val="Hyperlink"/>
            <w:rFonts w:eastAsia="Arial"/>
          </w:rPr>
          <w:t xml:space="preserve"> </w:t>
        </w:r>
        <w:r w:rsidR="0067483B" w:rsidRPr="00BB6E22">
          <w:rPr>
            <w:rStyle w:val="Hyperlink"/>
            <w:rFonts w:eastAsia="Arial" w:cs="Arial"/>
          </w:rPr>
          <w:t>HTA Methods: Clinical Evaluation</w:t>
        </w:r>
      </w:hyperlink>
      <w:r>
        <w:rPr>
          <w:rFonts w:eastAsia="Arial"/>
          <w:color w:val="000000" w:themeColor="text1"/>
        </w:rPr>
        <w:t>:</w:t>
      </w:r>
    </w:p>
    <w:p w14:paraId="251BB3E6" w14:textId="4DAA758A" w:rsidR="00D529EC" w:rsidRPr="001B35BC" w:rsidRDefault="00D529EC" w:rsidP="008C10BB">
      <w:pPr>
        <w:pStyle w:val="ListParagraph"/>
        <w:numPr>
          <w:ilvl w:val="0"/>
          <w:numId w:val="8"/>
        </w:numPr>
        <w:spacing w:after="120"/>
        <w:rPr>
          <w:rFonts w:eastAsia="Arial" w:cs="Arial"/>
          <w:color w:val="000000" w:themeColor="text1"/>
        </w:rPr>
      </w:pPr>
      <w:r w:rsidRPr="001B35BC">
        <w:rPr>
          <w:rFonts w:eastAsia="Arial"/>
          <w:color w:val="000000" w:themeColor="text1"/>
        </w:rPr>
        <w:t>Qualitative MCDA (qualitative value framework</w:t>
      </w:r>
      <w:r w:rsidR="00420583">
        <w:rPr>
          <w:rFonts w:eastAsia="Arial"/>
          <w:color w:val="000000" w:themeColor="text1"/>
        </w:rPr>
        <w:fldChar w:fldCharType="begin"/>
      </w:r>
      <w:r w:rsidR="00420583">
        <w:instrText xml:space="preserve"> XE "</w:instrText>
      </w:r>
      <w:r w:rsidR="00420583" w:rsidRPr="009F39D2">
        <w:rPr>
          <w:rFonts w:eastAsia="Arial" w:cs="Arial"/>
          <w:color w:val="000000" w:themeColor="text1"/>
          <w:szCs w:val="22"/>
        </w:rPr>
        <w:instrText>value framework</w:instrText>
      </w:r>
      <w:r w:rsidR="00420583">
        <w:instrText xml:space="preserve">" \b </w:instrText>
      </w:r>
      <w:r w:rsidR="00420583">
        <w:rPr>
          <w:rFonts w:eastAsia="Arial"/>
          <w:color w:val="000000" w:themeColor="text1"/>
        </w:rPr>
        <w:fldChar w:fldCharType="end"/>
      </w:r>
      <w:r w:rsidRPr="001B35BC">
        <w:rPr>
          <w:rFonts w:eastAsia="Arial"/>
          <w:color w:val="000000" w:themeColor="text1"/>
        </w:rPr>
        <w:t>)​</w:t>
      </w:r>
    </w:p>
    <w:p w14:paraId="32D14D28" w14:textId="77777777" w:rsidR="00D529EC" w:rsidRPr="001B35BC" w:rsidRDefault="00D529EC" w:rsidP="008C10BB">
      <w:pPr>
        <w:pStyle w:val="ListParagraph"/>
        <w:numPr>
          <w:ilvl w:val="0"/>
          <w:numId w:val="8"/>
        </w:numPr>
        <w:spacing w:after="120"/>
        <w:rPr>
          <w:rFonts w:eastAsia="Arial" w:cs="Arial"/>
          <w:color w:val="000000" w:themeColor="text1"/>
        </w:rPr>
      </w:pPr>
      <w:r w:rsidRPr="001B35BC">
        <w:rPr>
          <w:rFonts w:eastAsia="Arial"/>
          <w:color w:val="000000" w:themeColor="text1"/>
        </w:rPr>
        <w:lastRenderedPageBreak/>
        <w:t>Quantitative MCDA (each value element for decision-making</w:t>
      </w:r>
      <w:r>
        <w:rPr>
          <w:rFonts w:eastAsia="Arial"/>
          <w:color w:val="000000" w:themeColor="text1"/>
        </w:rPr>
        <w:t xml:space="preserve"> is scored and </w:t>
      </w:r>
      <w:r w:rsidRPr="001B35BC">
        <w:rPr>
          <w:rFonts w:eastAsia="Arial"/>
          <w:color w:val="000000" w:themeColor="text1"/>
        </w:rPr>
        <w:t>then synthesised using pre-determined weights</w:t>
      </w:r>
      <w:r>
        <w:rPr>
          <w:rFonts w:eastAsia="Arial"/>
          <w:color w:val="000000" w:themeColor="text1"/>
        </w:rPr>
        <w:t xml:space="preserve">; </w:t>
      </w:r>
      <w:r w:rsidRPr="001B35BC">
        <w:rPr>
          <w:rFonts w:eastAsia="Arial"/>
          <w:color w:val="000000" w:themeColor="text1"/>
        </w:rPr>
        <w:t>an overall score is generated)​</w:t>
      </w:r>
    </w:p>
    <w:p w14:paraId="2289BFC4" w14:textId="4FF5A204" w:rsidR="00D529EC" w:rsidRPr="001B35BC" w:rsidRDefault="00D529EC" w:rsidP="008C10BB">
      <w:pPr>
        <w:pStyle w:val="ListParagraph"/>
        <w:numPr>
          <w:ilvl w:val="0"/>
          <w:numId w:val="8"/>
        </w:numPr>
        <w:spacing w:after="120"/>
        <w:rPr>
          <w:rFonts w:eastAsia="Arial" w:cs="Arial"/>
          <w:color w:val="000000" w:themeColor="text1"/>
        </w:rPr>
      </w:pPr>
      <w:r w:rsidRPr="001B35BC">
        <w:rPr>
          <w:rFonts w:eastAsia="Arial"/>
          <w:color w:val="000000" w:themeColor="text1"/>
        </w:rPr>
        <w:t>MCDA with decision rules (</w:t>
      </w:r>
      <w:proofErr w:type="gramStart"/>
      <w:r w:rsidR="0032624C">
        <w:rPr>
          <w:rFonts w:eastAsia="Arial"/>
          <w:color w:val="000000" w:themeColor="text1"/>
        </w:rPr>
        <w:t>i.e.</w:t>
      </w:r>
      <w:proofErr w:type="gramEnd"/>
      <w:r w:rsidR="005D7286">
        <w:rPr>
          <w:rFonts w:eastAsia="Arial"/>
          <w:color w:val="000000" w:themeColor="text1"/>
        </w:rPr>
        <w:t xml:space="preserve"> </w:t>
      </w:r>
      <w:r w:rsidRPr="001B35BC">
        <w:rPr>
          <w:rFonts w:eastAsia="Arial"/>
          <w:color w:val="000000" w:themeColor="text1"/>
        </w:rPr>
        <w:t>value-based decision-rules)​</w:t>
      </w:r>
      <w:r w:rsidR="00632DC5">
        <w:rPr>
          <w:rFonts w:eastAsia="Arial"/>
          <w:color w:val="000000" w:themeColor="text1"/>
        </w:rPr>
        <w:t>.</w:t>
      </w:r>
    </w:p>
    <w:p w14:paraId="198E7994" w14:textId="395D9E29" w:rsidR="00D529EC" w:rsidRDefault="00E73C9F" w:rsidP="00D529EC">
      <w:pPr>
        <w:rPr>
          <w:rFonts w:eastAsia="Arial"/>
          <w:color w:val="000000" w:themeColor="text1"/>
        </w:rPr>
      </w:pPr>
      <w:hyperlink r:id="rId157" w:history="1">
        <w:r w:rsidR="000007EF" w:rsidRPr="00BC1159">
          <w:rPr>
            <w:rStyle w:val="Hyperlink"/>
            <w:rFonts w:eastAsia="Arial"/>
          </w:rPr>
          <w:t>Paper 4 HTA Methods: C</w:t>
        </w:r>
        <w:r w:rsidR="00D14137" w:rsidRPr="00BC1159">
          <w:rPr>
            <w:rStyle w:val="Hyperlink"/>
            <w:rFonts w:eastAsia="Arial"/>
          </w:rPr>
          <w:t xml:space="preserve">linical </w:t>
        </w:r>
        <w:r w:rsidR="000007EF" w:rsidRPr="00BC1159">
          <w:rPr>
            <w:rStyle w:val="Hyperlink"/>
            <w:rFonts w:eastAsia="Arial"/>
          </w:rPr>
          <w:t>E</w:t>
        </w:r>
        <w:r w:rsidR="00D14137" w:rsidRPr="00BC1159">
          <w:rPr>
            <w:rStyle w:val="Hyperlink"/>
            <w:rFonts w:eastAsia="Arial"/>
          </w:rPr>
          <w:t>valuation</w:t>
        </w:r>
      </w:hyperlink>
      <w:r w:rsidR="00D14137">
        <w:rPr>
          <w:rFonts w:eastAsia="Arial"/>
          <w:color w:val="000000" w:themeColor="text1"/>
        </w:rPr>
        <w:t xml:space="preserve"> found that</w:t>
      </w:r>
      <w:r w:rsidR="00D529EC" w:rsidRPr="42FA0C97">
        <w:rPr>
          <w:rFonts w:eastAsia="Arial"/>
          <w:color w:val="000000" w:themeColor="text1"/>
        </w:rPr>
        <w:t xml:space="preserve"> systematic incorporation of MCDA </w:t>
      </w:r>
      <w:r w:rsidR="00D529EC" w:rsidRPr="42FA0C97">
        <w:rPr>
          <w:rFonts w:eastAsia="Arial"/>
          <w:i/>
          <w:iCs/>
          <w:color w:val="000000" w:themeColor="text1"/>
        </w:rPr>
        <w:t>into the HTA methods</w:t>
      </w:r>
      <w:r w:rsidR="00D529EC" w:rsidRPr="42FA0C97">
        <w:rPr>
          <w:rFonts w:eastAsia="Arial"/>
          <w:color w:val="000000" w:themeColor="text1"/>
        </w:rPr>
        <w:t xml:space="preserve">, </w:t>
      </w:r>
      <w:proofErr w:type="gramStart"/>
      <w:r w:rsidR="00D529EC" w:rsidRPr="42FA0C97">
        <w:rPr>
          <w:rFonts w:eastAsia="Arial"/>
          <w:color w:val="000000" w:themeColor="text1"/>
        </w:rPr>
        <w:t>in order to</w:t>
      </w:r>
      <w:proofErr w:type="gramEnd"/>
      <w:r w:rsidR="00D529EC" w:rsidRPr="42FA0C97">
        <w:rPr>
          <w:rFonts w:eastAsia="Arial"/>
          <w:color w:val="000000" w:themeColor="text1"/>
        </w:rPr>
        <w:t xml:space="preserve"> promote equity</w:t>
      </w:r>
      <w:r w:rsidR="00A67FBB">
        <w:rPr>
          <w:rFonts w:eastAsia="Arial"/>
          <w:color w:val="000000" w:themeColor="text1"/>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rFonts w:eastAsia="Arial"/>
          <w:color w:val="000000" w:themeColor="text1"/>
        </w:rPr>
        <w:fldChar w:fldCharType="end"/>
      </w:r>
      <w:r w:rsidR="00D529EC" w:rsidRPr="42FA0C97">
        <w:rPr>
          <w:rFonts w:eastAsia="Arial"/>
          <w:color w:val="000000" w:themeColor="text1"/>
        </w:rPr>
        <w:t>,</w:t>
      </w:r>
      <w:r w:rsidR="00D529EC" w:rsidRPr="42FA0C97">
        <w:rPr>
          <w:rFonts w:eastAsia="Arial"/>
          <w:i/>
          <w:iCs/>
          <w:color w:val="000000" w:themeColor="text1"/>
        </w:rPr>
        <w:t xml:space="preserve"> </w:t>
      </w:r>
      <w:r w:rsidR="00D529EC" w:rsidRPr="42FA0C97">
        <w:rPr>
          <w:rFonts w:eastAsia="Arial"/>
          <w:color w:val="000000" w:themeColor="text1"/>
        </w:rPr>
        <w:t>appears to be limited globally. Equity is usually considered in a deliberative manner by the appraisal committees​. As with equity, deliberation is a central method for integrating into appraisal decision-making considerations that arise from consumer/patient engagement.​</w:t>
      </w:r>
    </w:p>
    <w:p w14:paraId="44CD90D4" w14:textId="3CBA803B" w:rsidR="004E65F6" w:rsidRPr="006647C5" w:rsidRDefault="004E65F6" w:rsidP="00DF557A">
      <w:pPr>
        <w:pStyle w:val="Heading3"/>
      </w:pPr>
      <w:bookmarkStart w:id="160" w:name="_Toc157029086"/>
      <w:r w:rsidRPr="006647C5">
        <w:t>What we heard from stakeholders</w:t>
      </w:r>
      <w:bookmarkEnd w:id="160"/>
      <w:r w:rsidRPr="006647C5">
        <w:t xml:space="preserve"> </w:t>
      </w:r>
    </w:p>
    <w:p w14:paraId="65CA6835" w14:textId="4889804D" w:rsidR="00F72D45" w:rsidRDefault="00D81311" w:rsidP="00011A90">
      <w:pPr>
        <w:spacing w:after="120"/>
        <w:rPr>
          <w:rFonts w:eastAsia="Arial"/>
          <w:color w:val="000000" w:themeColor="text1"/>
        </w:rPr>
      </w:pPr>
      <w:r>
        <w:rPr>
          <w:rFonts w:eastAsia="Arial"/>
          <w:color w:val="000000" w:themeColor="text1"/>
        </w:rPr>
        <w:t xml:space="preserve">Many </w:t>
      </w:r>
      <w:r w:rsidR="00241752">
        <w:rPr>
          <w:rFonts w:eastAsia="Arial"/>
          <w:color w:val="000000" w:themeColor="text1"/>
        </w:rPr>
        <w:t>stakeholders</w:t>
      </w:r>
      <w:r>
        <w:rPr>
          <w:rFonts w:eastAsia="Arial"/>
          <w:color w:val="000000" w:themeColor="text1"/>
        </w:rPr>
        <w:t xml:space="preserve"> expressed a sentiment that </w:t>
      </w:r>
      <w:r w:rsidRPr="00D81311">
        <w:rPr>
          <w:rFonts w:eastAsia="Arial"/>
          <w:color w:val="000000" w:themeColor="text1"/>
        </w:rPr>
        <w:t>HTA assessments should allow more flexibility in the evidence base, and greater acceptance of non</w:t>
      </w:r>
      <w:r w:rsidR="00AF3880">
        <w:rPr>
          <w:rFonts w:eastAsia="Arial"/>
          <w:color w:val="000000" w:themeColor="text1"/>
        </w:rPr>
        <w:t>-</w:t>
      </w:r>
      <w:r w:rsidRPr="00D81311">
        <w:rPr>
          <w:rFonts w:eastAsia="Arial"/>
          <w:color w:val="000000" w:themeColor="text1"/>
        </w:rPr>
        <w:t xml:space="preserve">randomised evidence, the role of </w:t>
      </w:r>
      <w:r w:rsidR="61D135AA" w:rsidRPr="7D9A6CF5">
        <w:rPr>
          <w:rFonts w:eastAsia="Arial"/>
          <w:color w:val="000000" w:themeColor="text1"/>
        </w:rPr>
        <w:t>RWD</w:t>
      </w:r>
      <w:r w:rsidRPr="00D81311">
        <w:rPr>
          <w:rFonts w:eastAsia="Arial"/>
          <w:color w:val="000000" w:themeColor="text1"/>
        </w:rPr>
        <w:t xml:space="preserve"> and surrogate health outcomes</w:t>
      </w:r>
      <w:r>
        <w:rPr>
          <w:rFonts w:eastAsia="Arial"/>
          <w:color w:val="000000" w:themeColor="text1"/>
        </w:rPr>
        <w:t xml:space="preserve">. </w:t>
      </w:r>
    </w:p>
    <w:p w14:paraId="1F97EC99" w14:textId="0B0A5FEE" w:rsidR="00BF1D69" w:rsidRDefault="00BF1D69" w:rsidP="00011A90">
      <w:pPr>
        <w:spacing w:after="120"/>
        <w:rPr>
          <w:rFonts w:eastAsia="Arial"/>
          <w:color w:val="000000" w:themeColor="text1"/>
        </w:rPr>
      </w:pPr>
      <w:r>
        <w:rPr>
          <w:rFonts w:eastAsia="Arial"/>
          <w:color w:val="000000" w:themeColor="text1"/>
        </w:rPr>
        <w:t xml:space="preserve">Some </w:t>
      </w:r>
      <w:r w:rsidR="00A33C75">
        <w:rPr>
          <w:rFonts w:eastAsia="Arial"/>
          <w:color w:val="000000" w:themeColor="text1"/>
        </w:rPr>
        <w:t>stakeholders</w:t>
      </w:r>
      <w:r>
        <w:rPr>
          <w:rFonts w:eastAsia="Arial"/>
          <w:color w:val="000000" w:themeColor="text1"/>
        </w:rPr>
        <w:t xml:space="preserve"> felt there could be grater guidance on </w:t>
      </w:r>
      <w:r w:rsidR="002B7A1E">
        <w:rPr>
          <w:rFonts w:eastAsia="Arial"/>
          <w:color w:val="000000" w:themeColor="text1"/>
        </w:rPr>
        <w:t>how to evaluate the clinic</w:t>
      </w:r>
      <w:r w:rsidR="001A39EC">
        <w:rPr>
          <w:rFonts w:eastAsia="Arial"/>
          <w:color w:val="000000" w:themeColor="text1"/>
        </w:rPr>
        <w:t>al and cost-effectiveness of rare diseases</w:t>
      </w:r>
      <w:r w:rsidR="008B7A1E">
        <w:rPr>
          <w:rFonts w:eastAsia="Arial"/>
          <w:color w:val="000000" w:themeColor="text1"/>
        </w:rPr>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rPr>
          <w:rFonts w:eastAsia="Arial"/>
          <w:color w:val="000000" w:themeColor="text1"/>
        </w:rPr>
        <w:fldChar w:fldCharType="end"/>
      </w:r>
      <w:r w:rsidR="001A39EC">
        <w:rPr>
          <w:rFonts w:eastAsia="Arial"/>
          <w:color w:val="000000" w:themeColor="text1"/>
        </w:rPr>
        <w:t xml:space="preserve"> where there are evidentiary deficiencies associated with population size and lack of RCT evidence. </w:t>
      </w:r>
    </w:p>
    <w:p w14:paraId="54A0A9B8" w14:textId="6DF1989C" w:rsidR="003C78E1" w:rsidRDefault="00241752" w:rsidP="00011A90">
      <w:pPr>
        <w:spacing w:after="120"/>
        <w:rPr>
          <w:rFonts w:eastAsia="Arial"/>
          <w:color w:val="000000" w:themeColor="text1"/>
        </w:rPr>
      </w:pPr>
      <w:r w:rsidRPr="00AF4822">
        <w:rPr>
          <w:rFonts w:eastAsia="Arial"/>
          <w:color w:val="000000" w:themeColor="text1"/>
        </w:rPr>
        <w:t>Stakeholders</w:t>
      </w:r>
      <w:r w:rsidR="00E20F6C" w:rsidRPr="00AF4822">
        <w:rPr>
          <w:rFonts w:eastAsia="Arial"/>
          <w:color w:val="000000" w:themeColor="text1"/>
        </w:rPr>
        <w:t xml:space="preserve"> also felt there was a lack of information about how </w:t>
      </w:r>
      <w:r w:rsidR="00B439C5" w:rsidRPr="00AF4822">
        <w:rPr>
          <w:rFonts w:eastAsia="Arial"/>
          <w:color w:val="000000" w:themeColor="text1"/>
        </w:rPr>
        <w:t>elements (beyond clinical effectiveness, cost effect</w:t>
      </w:r>
      <w:r w:rsidR="005E7C38" w:rsidRPr="00AF4822">
        <w:rPr>
          <w:rFonts w:eastAsia="Arial"/>
          <w:color w:val="000000" w:themeColor="text1"/>
        </w:rPr>
        <w:t>iveness and financial impact</w:t>
      </w:r>
      <w:r w:rsidR="00711027">
        <w:rPr>
          <w:rFonts w:eastAsia="Arial"/>
          <w:color w:val="000000" w:themeColor="text1"/>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Arial"/>
          <w:color w:val="000000" w:themeColor="text1"/>
        </w:rPr>
        <w:fldChar w:fldCharType="end"/>
      </w:r>
      <w:r w:rsidR="005E7C38" w:rsidRPr="00AF4822">
        <w:rPr>
          <w:rFonts w:eastAsia="Arial"/>
          <w:color w:val="000000" w:themeColor="text1"/>
        </w:rPr>
        <w:t>)</w:t>
      </w:r>
      <w:r w:rsidR="00A76566" w:rsidRPr="00AF4822">
        <w:rPr>
          <w:rFonts w:eastAsia="Arial"/>
          <w:color w:val="000000" w:themeColor="text1"/>
        </w:rPr>
        <w:t xml:space="preserve"> such as patient and consumer input</w:t>
      </w:r>
      <w:r w:rsidR="005E7C38" w:rsidRPr="00AF4822">
        <w:rPr>
          <w:rFonts w:eastAsia="Arial"/>
          <w:color w:val="000000" w:themeColor="text1"/>
        </w:rPr>
        <w:t xml:space="preserve"> </w:t>
      </w:r>
      <w:r w:rsidR="004A6C69" w:rsidRPr="00AF4822">
        <w:rPr>
          <w:rFonts w:eastAsia="Arial"/>
          <w:color w:val="000000" w:themeColor="text1"/>
        </w:rPr>
        <w:t>were</w:t>
      </w:r>
      <w:r w:rsidR="00BF1D69" w:rsidRPr="00AF4822">
        <w:rPr>
          <w:rFonts w:eastAsia="Arial"/>
          <w:color w:val="000000" w:themeColor="text1"/>
        </w:rPr>
        <w:t xml:space="preserve"> being </w:t>
      </w:r>
      <w:r w:rsidR="00037BF5" w:rsidRPr="00AF4822">
        <w:rPr>
          <w:rFonts w:eastAsia="Arial"/>
          <w:color w:val="000000" w:themeColor="text1"/>
        </w:rPr>
        <w:t xml:space="preserve">combined or </w:t>
      </w:r>
      <w:r w:rsidR="00BF1D69" w:rsidRPr="00AF4822">
        <w:rPr>
          <w:rFonts w:eastAsia="Arial"/>
          <w:color w:val="000000" w:themeColor="text1"/>
        </w:rPr>
        <w:t>weighted in decision</w:t>
      </w:r>
      <w:r w:rsidR="00D70161" w:rsidRPr="00AF4822">
        <w:rPr>
          <w:rFonts w:eastAsia="Arial"/>
          <w:color w:val="000000" w:themeColor="text1"/>
        </w:rPr>
        <w:t>-</w:t>
      </w:r>
      <w:r w:rsidR="00BF1D69" w:rsidRPr="00AF4822">
        <w:rPr>
          <w:rFonts w:eastAsia="Arial"/>
          <w:color w:val="000000" w:themeColor="text1"/>
        </w:rPr>
        <w:t xml:space="preserve">making. </w:t>
      </w:r>
      <w:r w:rsidRPr="00E700AB">
        <w:rPr>
          <w:rFonts w:eastAsia="Arial"/>
          <w:color w:val="000000" w:themeColor="text1"/>
        </w:rPr>
        <w:t>S</w:t>
      </w:r>
      <w:r w:rsidRPr="00AF4822">
        <w:rPr>
          <w:rFonts w:eastAsia="Arial"/>
          <w:color w:val="000000" w:themeColor="text1"/>
        </w:rPr>
        <w:t>takeholders</w:t>
      </w:r>
      <w:r w:rsidR="009E1192">
        <w:rPr>
          <w:rFonts w:eastAsia="Arial"/>
          <w:color w:val="000000" w:themeColor="text1"/>
        </w:rPr>
        <w:t xml:space="preserve"> perceived this impeded </w:t>
      </w:r>
      <w:r w:rsidR="00E9568E">
        <w:rPr>
          <w:rFonts w:eastAsia="Arial"/>
          <w:color w:val="000000" w:themeColor="text1"/>
        </w:rPr>
        <w:t>a strong and useful consumer perspective being brought into the decision</w:t>
      </w:r>
      <w:r w:rsidR="009A2013">
        <w:rPr>
          <w:rFonts w:eastAsia="Arial"/>
          <w:color w:val="000000" w:themeColor="text1"/>
        </w:rPr>
        <w:t>-</w:t>
      </w:r>
      <w:r w:rsidR="00E9568E">
        <w:rPr>
          <w:rFonts w:eastAsia="Arial"/>
          <w:color w:val="000000" w:themeColor="text1"/>
        </w:rPr>
        <w:t>making process.</w:t>
      </w:r>
    </w:p>
    <w:p w14:paraId="489CBC9E" w14:textId="26D06041" w:rsidR="003E57C2" w:rsidRDefault="003E57C2" w:rsidP="00011A90">
      <w:pPr>
        <w:spacing w:after="120"/>
        <w:rPr>
          <w:rFonts w:eastAsia="Arial"/>
          <w:color w:val="000000" w:themeColor="text1"/>
        </w:rPr>
      </w:pPr>
      <w:r>
        <w:rPr>
          <w:rFonts w:eastAsia="Arial"/>
          <w:color w:val="000000" w:themeColor="text1"/>
        </w:rPr>
        <w:t xml:space="preserve">Stakeholders </w:t>
      </w:r>
      <w:r w:rsidR="00F6184B">
        <w:rPr>
          <w:rFonts w:eastAsia="Arial"/>
          <w:color w:val="000000" w:themeColor="text1"/>
        </w:rPr>
        <w:t xml:space="preserve">from </w:t>
      </w:r>
      <w:r w:rsidR="00C7734B">
        <w:rPr>
          <w:rFonts w:eastAsia="Arial"/>
          <w:color w:val="000000" w:themeColor="text1"/>
        </w:rPr>
        <w:t>the research</w:t>
      </w:r>
      <w:r w:rsidR="00BB1985">
        <w:rPr>
          <w:rFonts w:eastAsia="Arial"/>
          <w:color w:val="000000" w:themeColor="text1"/>
        </w:rPr>
        <w:t>, consultancy</w:t>
      </w:r>
      <w:r w:rsidR="00C7734B">
        <w:rPr>
          <w:rFonts w:eastAsia="Arial"/>
          <w:color w:val="000000" w:themeColor="text1"/>
        </w:rPr>
        <w:t xml:space="preserve"> </w:t>
      </w:r>
      <w:r w:rsidR="0064037E">
        <w:rPr>
          <w:rFonts w:eastAsia="Arial"/>
          <w:color w:val="000000" w:themeColor="text1"/>
        </w:rPr>
        <w:t xml:space="preserve">and </w:t>
      </w:r>
      <w:r w:rsidR="00ED705F">
        <w:rPr>
          <w:rFonts w:eastAsia="Arial"/>
          <w:color w:val="000000" w:themeColor="text1"/>
        </w:rPr>
        <w:t>industry</w:t>
      </w:r>
      <w:r w:rsidR="00C7734B">
        <w:rPr>
          <w:rFonts w:eastAsia="Arial"/>
          <w:color w:val="000000" w:themeColor="text1"/>
        </w:rPr>
        <w:t xml:space="preserve"> sectors</w:t>
      </w:r>
      <w:r w:rsidR="00ED705F">
        <w:rPr>
          <w:rFonts w:eastAsia="Arial"/>
          <w:color w:val="000000" w:themeColor="text1"/>
        </w:rPr>
        <w:t xml:space="preserve"> expressed </w:t>
      </w:r>
      <w:r w:rsidR="007107E8">
        <w:rPr>
          <w:rFonts w:eastAsia="Arial"/>
          <w:color w:val="000000" w:themeColor="text1"/>
        </w:rPr>
        <w:t xml:space="preserve">that there was a lack of clarity around </w:t>
      </w:r>
      <w:r w:rsidR="00A32A40">
        <w:rPr>
          <w:rFonts w:eastAsia="Arial"/>
          <w:color w:val="000000" w:themeColor="text1"/>
        </w:rPr>
        <w:t xml:space="preserve">what </w:t>
      </w:r>
      <w:r w:rsidR="00040E49">
        <w:rPr>
          <w:rFonts w:eastAsia="Arial"/>
          <w:color w:val="000000" w:themeColor="text1"/>
        </w:rPr>
        <w:t>information could go into section 5 of the PBAC submission</w:t>
      </w:r>
      <w:r w:rsidR="00F36F60">
        <w:rPr>
          <w:rFonts w:eastAsia="Arial"/>
          <w:color w:val="000000" w:themeColor="text1"/>
        </w:rPr>
        <w:t>, and how that information should be provided and communicated.</w:t>
      </w:r>
    </w:p>
    <w:p w14:paraId="518D848F" w14:textId="1220D778" w:rsidR="004E65F6" w:rsidRPr="006647C5" w:rsidRDefault="004E65F6" w:rsidP="00DF557A">
      <w:pPr>
        <w:pStyle w:val="Heading3"/>
      </w:pPr>
      <w:bookmarkStart w:id="161" w:name="_Toc157029087"/>
      <w:r w:rsidRPr="006647C5">
        <w:t>Issue</w:t>
      </w:r>
      <w:r w:rsidR="00011A90">
        <w:t>s</w:t>
      </w:r>
      <w:bookmarkEnd w:id="161"/>
    </w:p>
    <w:p w14:paraId="39EA8DE7" w14:textId="20A849CB" w:rsidR="00E6181C" w:rsidRDefault="00633519" w:rsidP="003C792B">
      <w:r>
        <w:t>The Reference Committee</w:t>
      </w:r>
      <w:r w:rsidR="008F431E">
        <w:t xml:space="preserve"> ha</w:t>
      </w:r>
      <w:r w:rsidR="00953AD1">
        <w:t>s</w:t>
      </w:r>
      <w:r w:rsidR="008F431E">
        <w:t xml:space="preserve"> observed that </w:t>
      </w:r>
      <w:r w:rsidR="008C59B7">
        <w:t xml:space="preserve">the evidence </w:t>
      </w:r>
      <w:proofErr w:type="gramStart"/>
      <w:r w:rsidR="008C59B7">
        <w:t>base</w:t>
      </w:r>
      <w:proofErr w:type="gramEnd"/>
      <w:r w:rsidR="008C59B7">
        <w:t xml:space="preserve"> for health technologies </w:t>
      </w:r>
      <w:r w:rsidR="00A05E46">
        <w:t>and methods for a</w:t>
      </w:r>
      <w:r>
        <w:t>ss</w:t>
      </w:r>
      <w:r w:rsidR="00A05E46">
        <w:t xml:space="preserve">essing </w:t>
      </w:r>
      <w:r w:rsidR="00A9761E">
        <w:t>evidence are evolving</w:t>
      </w:r>
      <w:r w:rsidR="004C02F6">
        <w:t xml:space="preserve">. </w:t>
      </w:r>
      <w:r w:rsidR="00FC1C92">
        <w:t>We have observed this is being driven</w:t>
      </w:r>
      <w:r w:rsidR="002A5177">
        <w:t xml:space="preserve"> </w:t>
      </w:r>
      <w:proofErr w:type="gramStart"/>
      <w:r w:rsidR="002A5177">
        <w:t>in particular</w:t>
      </w:r>
      <w:r w:rsidR="00FC1C92">
        <w:t xml:space="preserve"> by</w:t>
      </w:r>
      <w:proofErr w:type="gramEnd"/>
      <w:r w:rsidR="00FC1C92">
        <w:t xml:space="preserve"> development of </w:t>
      </w:r>
      <w:r w:rsidR="005F56CB">
        <w:t>health technologies for rare disease</w:t>
      </w:r>
      <w:r w:rsidR="002A5177">
        <w:t>s</w:t>
      </w:r>
      <w:r w:rsidR="008B7A1E">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fldChar w:fldCharType="end"/>
      </w:r>
      <w:r w:rsidR="005F56CB">
        <w:t>,</w:t>
      </w:r>
      <w:r w:rsidR="002A5177">
        <w:t xml:space="preserve"> </w:t>
      </w:r>
      <w:r w:rsidR="006F7EE9">
        <w:t xml:space="preserve">therapies that target </w:t>
      </w:r>
      <w:r w:rsidR="00774053">
        <w:t>biomarkers</w:t>
      </w:r>
      <w:r w:rsidR="00E55315">
        <w:t xml:space="preserve"> and </w:t>
      </w:r>
      <w:r w:rsidR="00C24FE7">
        <w:t>advanced therapies</w:t>
      </w:r>
      <w:r w:rsidR="00700B73">
        <w:fldChar w:fldCharType="begin"/>
      </w:r>
      <w:r w:rsidR="00700B73">
        <w:instrText xml:space="preserve"> XE "</w:instrText>
      </w:r>
      <w:r w:rsidR="00700B73" w:rsidRPr="00D231D2">
        <w:instrText>advanced therapies</w:instrText>
      </w:r>
      <w:r w:rsidR="00700B73">
        <w:instrText xml:space="preserve">" </w:instrText>
      </w:r>
      <w:r w:rsidR="00700B73">
        <w:fldChar w:fldCharType="end"/>
      </w:r>
      <w:r w:rsidR="00E55315">
        <w:t xml:space="preserve"> </w:t>
      </w:r>
      <w:r w:rsidR="00B875ED">
        <w:t>that</w:t>
      </w:r>
      <w:r w:rsidR="00E55315">
        <w:t xml:space="preserve"> </w:t>
      </w:r>
      <w:r w:rsidR="00940514">
        <w:t xml:space="preserve">often have </w:t>
      </w:r>
      <w:r w:rsidR="007B068D">
        <w:t>a lower quality evidence base</w:t>
      </w:r>
      <w:r w:rsidR="00A9761E">
        <w:t>.</w:t>
      </w:r>
    </w:p>
    <w:p w14:paraId="17601F4F" w14:textId="4EA42FDE" w:rsidR="00DA1412" w:rsidRDefault="007B1E5F" w:rsidP="003C792B">
      <w:r>
        <w:t xml:space="preserve">We have also </w:t>
      </w:r>
      <w:r w:rsidR="00D22D1E">
        <w:t xml:space="preserve">heard that </w:t>
      </w:r>
      <w:r w:rsidR="00ED6C3B">
        <w:t xml:space="preserve">methods for </w:t>
      </w:r>
      <w:r w:rsidR="0072150A">
        <w:t>assessing non-traditional evidence are becoming more sophisticated and</w:t>
      </w:r>
      <w:r w:rsidR="00986DA1">
        <w:t xml:space="preserve"> that </w:t>
      </w:r>
      <w:r w:rsidR="00855745">
        <w:t xml:space="preserve">methods for </w:t>
      </w:r>
      <w:r w:rsidR="00B71824">
        <w:t>controlling</w:t>
      </w:r>
      <w:r w:rsidR="00637005">
        <w:t xml:space="preserve"> for</w:t>
      </w:r>
      <w:r w:rsidR="00B71824">
        <w:t xml:space="preserve"> </w:t>
      </w:r>
      <w:r w:rsidR="001C30CB">
        <w:t>potential bias and confounding</w:t>
      </w:r>
      <w:r w:rsidR="00B71824">
        <w:t xml:space="preserve"> in these </w:t>
      </w:r>
      <w:r w:rsidR="00E85B93">
        <w:t>studies</w:t>
      </w:r>
      <w:r w:rsidR="00B71824">
        <w:t xml:space="preserve"> </w:t>
      </w:r>
      <w:r w:rsidR="003C18AF">
        <w:t>are</w:t>
      </w:r>
      <w:r w:rsidR="00B71824">
        <w:t xml:space="preserve"> improving</w:t>
      </w:r>
      <w:r w:rsidR="00855745">
        <w:t>.</w:t>
      </w:r>
    </w:p>
    <w:p w14:paraId="598696FB" w14:textId="0BCD426D" w:rsidR="007A0B34" w:rsidRDefault="007D40C1" w:rsidP="003C792B">
      <w:r>
        <w:t xml:space="preserve">We </w:t>
      </w:r>
      <w:r w:rsidR="00E83347">
        <w:t>consider</w:t>
      </w:r>
      <w:r>
        <w:t xml:space="preserve"> that </w:t>
      </w:r>
      <w:r w:rsidR="00F72A51">
        <w:t xml:space="preserve">these </w:t>
      </w:r>
      <w:r w:rsidR="006E2C83">
        <w:t>progress</w:t>
      </w:r>
      <w:r w:rsidR="00521270">
        <w:t>ive developments</w:t>
      </w:r>
      <w:r>
        <w:t xml:space="preserve"> necessitate </w:t>
      </w:r>
      <w:r w:rsidR="00630258">
        <w:t xml:space="preserve">regular </w:t>
      </w:r>
      <w:r w:rsidR="00546B98">
        <w:t xml:space="preserve">review and update of </w:t>
      </w:r>
      <w:r w:rsidR="00103372">
        <w:t>methods guidance.</w:t>
      </w:r>
    </w:p>
    <w:p w14:paraId="1037C7A9" w14:textId="5C79FCDA" w:rsidR="008F431E" w:rsidRDefault="002D4AA0" w:rsidP="003C792B">
      <w:r>
        <w:lastRenderedPageBreak/>
        <w:t xml:space="preserve">We </w:t>
      </w:r>
      <w:r w:rsidR="001B3F05">
        <w:t xml:space="preserve">have also identified there are </w:t>
      </w:r>
      <w:proofErr w:type="gramStart"/>
      <w:r w:rsidR="001B3F05">
        <w:t>a number of</w:t>
      </w:r>
      <w:proofErr w:type="gramEnd"/>
      <w:r w:rsidR="001B3F05">
        <w:t xml:space="preserve"> areas where </w:t>
      </w:r>
      <w:r w:rsidR="00C953A5">
        <w:t>applicants</w:t>
      </w:r>
      <w:r w:rsidR="001B3F05">
        <w:t xml:space="preserve"> would benefit from additional guidance on </w:t>
      </w:r>
      <w:r w:rsidR="00EF7D9A">
        <w:t>the preferences of decision makers</w:t>
      </w:r>
      <w:r w:rsidR="00EA1EAE">
        <w:t xml:space="preserve"> on the methods </w:t>
      </w:r>
      <w:r w:rsidR="006E1A11">
        <w:t xml:space="preserve">used </w:t>
      </w:r>
      <w:r w:rsidR="00866B5F">
        <w:t xml:space="preserve">in </w:t>
      </w:r>
      <w:r w:rsidR="00532EBD">
        <w:t xml:space="preserve">sponsor </w:t>
      </w:r>
      <w:r w:rsidR="00866B5F">
        <w:t>submissions</w:t>
      </w:r>
      <w:r w:rsidR="00EF7D9A">
        <w:t>.</w:t>
      </w:r>
    </w:p>
    <w:p w14:paraId="2944C921" w14:textId="4EE4ADAF" w:rsidR="002625F3" w:rsidRDefault="002625F3" w:rsidP="008C10BB">
      <w:pPr>
        <w:pStyle w:val="Heading3"/>
        <w:keepNext/>
        <w:keepLines/>
        <w:rPr>
          <w:rStyle w:val="Heading3Char"/>
        </w:rPr>
      </w:pPr>
      <w:bookmarkStart w:id="162" w:name="_Toc157029088"/>
      <w:r w:rsidRPr="000376E3">
        <w:rPr>
          <w:rStyle w:val="Heading3Char"/>
        </w:rPr>
        <w:t>Options</w:t>
      </w:r>
      <w:bookmarkEnd w:id="162"/>
    </w:p>
    <w:p w14:paraId="55AAED6A" w14:textId="1A86AECC" w:rsidR="00172FE8" w:rsidRPr="009D14F6" w:rsidRDefault="00172FE8" w:rsidP="003C792B">
      <w:r w:rsidRPr="009D14F6">
        <w:t xml:space="preserve">These options </w:t>
      </w:r>
      <w:r w:rsidR="005B30BE">
        <w:t xml:space="preserve">largely </w:t>
      </w:r>
      <w:r w:rsidR="00A12850">
        <w:t>come fro</w:t>
      </w:r>
      <w:r w:rsidR="00724307">
        <w:t xml:space="preserve">m the </w:t>
      </w:r>
      <w:hyperlink r:id="rId158" w:anchor="paper=150" w:history="1">
        <w:r w:rsidR="00724307" w:rsidRPr="00997437">
          <w:rPr>
            <w:rStyle w:val="Hyperlink"/>
          </w:rPr>
          <w:t>HTA Paper on HTA Methods: Clinical Evaluation</w:t>
        </w:r>
      </w:hyperlink>
      <w:r w:rsidR="00384D71">
        <w:rPr>
          <w:rStyle w:val="Hyperlink"/>
        </w:rPr>
        <w:t xml:space="preserve"> (Paper 4)</w:t>
      </w:r>
      <w:r w:rsidR="0070319B">
        <w:t>. Refer to the paper for further details on the proposed options below.</w:t>
      </w:r>
    </w:p>
    <w:p w14:paraId="5B8046D2" w14:textId="5660AD1F" w:rsidR="00172FE8" w:rsidRPr="00172FE8" w:rsidRDefault="005D267C" w:rsidP="007F2AD3">
      <w:r w:rsidRPr="007F2AD3">
        <w:t xml:space="preserve">The adoption </w:t>
      </w:r>
      <w:r w:rsidR="009B16EE" w:rsidRPr="007F2AD3">
        <w:t>of all methods within HTA should follow the following overarching principles</w:t>
      </w:r>
      <w:r w:rsidR="00517668" w:rsidRPr="007F2AD3">
        <w:t xml:space="preserve">. This should be explicit </w:t>
      </w:r>
      <w:r w:rsidR="00EF34D2" w:rsidRPr="007F2AD3">
        <w:t>and referred to within the adoption and use of methods for HTA</w:t>
      </w:r>
      <w:r w:rsidR="00EC292B">
        <w:t xml:space="preserve"> (</w:t>
      </w:r>
      <w:r w:rsidR="00E50C40">
        <w:t xml:space="preserve">more detailed explanation available through this </w:t>
      </w:r>
      <w:hyperlink r:id="rId159" w:history="1">
        <w:r w:rsidR="00E50C40" w:rsidRPr="00E50C40">
          <w:rPr>
            <w:rStyle w:val="Hyperlink"/>
          </w:rPr>
          <w:t>link</w:t>
        </w:r>
      </w:hyperlink>
      <w:r w:rsidR="00E50C40">
        <w:t>)</w:t>
      </w:r>
      <w:r w:rsidR="007F2AD3">
        <w:t>.</w:t>
      </w:r>
    </w:p>
    <w:p w14:paraId="41D7020B" w14:textId="18D5BEBE" w:rsidR="00F31774" w:rsidRDefault="00DA4238" w:rsidP="008505D7">
      <w:pPr>
        <w:pStyle w:val="ListParagraph"/>
        <w:numPr>
          <w:ilvl w:val="0"/>
          <w:numId w:val="148"/>
        </w:numPr>
      </w:pPr>
      <w:r>
        <w:t>m</w:t>
      </w:r>
      <w:r w:rsidR="00815139">
        <w:t xml:space="preserve">aintain </w:t>
      </w:r>
      <w:r w:rsidR="00F31774">
        <w:t>preference for high quality evidence, where available</w:t>
      </w:r>
    </w:p>
    <w:p w14:paraId="667BBBF5" w14:textId="1960F283" w:rsidR="00F31774" w:rsidRDefault="00DA4238" w:rsidP="008505D7">
      <w:pPr>
        <w:pStyle w:val="ListParagraph"/>
        <w:numPr>
          <w:ilvl w:val="0"/>
          <w:numId w:val="148"/>
        </w:numPr>
      </w:pPr>
      <w:r>
        <w:t xml:space="preserve">use fit-for-purpose, transparent methods that are only as complex as required to address the </w:t>
      </w:r>
      <w:proofErr w:type="gramStart"/>
      <w:r>
        <w:t>problem</w:t>
      </w:r>
      <w:proofErr w:type="gramEnd"/>
    </w:p>
    <w:p w14:paraId="503A5F5E" w14:textId="5BCF7F4C" w:rsidR="00DA4238" w:rsidRDefault="00DA4238" w:rsidP="008505D7">
      <w:pPr>
        <w:pStyle w:val="ListParagraph"/>
        <w:numPr>
          <w:ilvl w:val="0"/>
          <w:numId w:val="148"/>
        </w:numPr>
      </w:pPr>
      <w:r>
        <w:t xml:space="preserve">justify the use of more complex </w:t>
      </w:r>
      <w:proofErr w:type="gramStart"/>
      <w:r>
        <w:t>methods</w:t>
      </w:r>
      <w:proofErr w:type="gramEnd"/>
    </w:p>
    <w:p w14:paraId="0F9025D2" w14:textId="305F0329" w:rsidR="00E472E8" w:rsidRDefault="00E472E8" w:rsidP="008505D7">
      <w:pPr>
        <w:pStyle w:val="ListParagraph"/>
        <w:numPr>
          <w:ilvl w:val="0"/>
          <w:numId w:val="148"/>
        </w:numPr>
      </w:pPr>
      <w:r>
        <w:t xml:space="preserve">guidance </w:t>
      </w:r>
      <w:r w:rsidR="00A9256B">
        <w:t>be</w:t>
      </w:r>
      <w:r>
        <w:t xml:space="preserve"> developed on methodologies preferred by </w:t>
      </w:r>
      <w:r w:rsidR="000E375C">
        <w:t>decision-</w:t>
      </w:r>
      <w:proofErr w:type="gramStart"/>
      <w:r w:rsidR="000E375C">
        <w:t>makers</w:t>
      </w:r>
      <w:proofErr w:type="gramEnd"/>
    </w:p>
    <w:p w14:paraId="111FB5FC" w14:textId="4809137C" w:rsidR="000E375C" w:rsidRDefault="00EE47A1" w:rsidP="008505D7">
      <w:pPr>
        <w:pStyle w:val="ListParagraph"/>
        <w:numPr>
          <w:ilvl w:val="0"/>
          <w:numId w:val="148"/>
        </w:numPr>
      </w:pPr>
      <w:r>
        <w:t xml:space="preserve">evaluation groups </w:t>
      </w:r>
      <w:r w:rsidR="00CD4A2C">
        <w:t>be</w:t>
      </w:r>
      <w:r>
        <w:t xml:space="preserve"> provided training and guidance on new </w:t>
      </w:r>
      <w:proofErr w:type="gramStart"/>
      <w:r>
        <w:t>methods</w:t>
      </w:r>
      <w:proofErr w:type="gramEnd"/>
    </w:p>
    <w:p w14:paraId="1BA1AFA4" w14:textId="1F3D62DA" w:rsidR="00EE47A1" w:rsidRDefault="00091F67" w:rsidP="008505D7">
      <w:pPr>
        <w:pStyle w:val="ListParagraph"/>
        <w:numPr>
          <w:ilvl w:val="0"/>
          <w:numId w:val="148"/>
        </w:numPr>
      </w:pPr>
      <w:r>
        <w:t xml:space="preserve">feedback </w:t>
      </w:r>
      <w:r w:rsidR="001F24A6">
        <w:t>be</w:t>
      </w:r>
      <w:r w:rsidR="00542FFA">
        <w:t xml:space="preserve"> provided to sponsors on their use and presentation of analyses based on more comp</w:t>
      </w:r>
      <w:r w:rsidR="00D32C08">
        <w:t xml:space="preserve">lex </w:t>
      </w:r>
      <w:proofErr w:type="gramStart"/>
      <w:r w:rsidR="00D32C08">
        <w:t>methods</w:t>
      </w:r>
      <w:proofErr w:type="gramEnd"/>
    </w:p>
    <w:p w14:paraId="6197B5EE" w14:textId="40407894" w:rsidR="00D32C08" w:rsidRDefault="00D32C08" w:rsidP="008505D7">
      <w:pPr>
        <w:pStyle w:val="ListParagraph"/>
        <w:numPr>
          <w:ilvl w:val="0"/>
          <w:numId w:val="148"/>
        </w:numPr>
      </w:pPr>
      <w:r>
        <w:t>complex methods that result in estimates that</w:t>
      </w:r>
      <w:r w:rsidR="00BF646F">
        <w:t xml:space="preserve"> </w:t>
      </w:r>
      <w:r>
        <w:t>are considerably uncertain may be more acceptable if paired with provisional funding pathways</w:t>
      </w:r>
      <w:r w:rsidR="00271762">
        <w:t>, and</w:t>
      </w:r>
    </w:p>
    <w:p w14:paraId="2594E0C4" w14:textId="3818DB0C" w:rsidR="51AA0E1E" w:rsidRDefault="00BF646F" w:rsidP="008505D7">
      <w:pPr>
        <w:pStyle w:val="ListParagraph"/>
        <w:numPr>
          <w:ilvl w:val="0"/>
          <w:numId w:val="148"/>
        </w:numPr>
      </w:pPr>
      <w:r>
        <w:t xml:space="preserve">acceptability of uncertainty in estimates may be greater in areas of high clinical need. </w:t>
      </w:r>
    </w:p>
    <w:p w14:paraId="52F4C2D2" w14:textId="77777777" w:rsidR="00A60D58" w:rsidRDefault="00A60D58" w:rsidP="00A60D58">
      <w:pPr>
        <w:pStyle w:val="Heading4"/>
      </w:pPr>
      <w:r>
        <w:t>Non-traditional evidence</w:t>
      </w:r>
    </w:p>
    <w:p w14:paraId="12E2E096" w14:textId="44E7A2A8" w:rsidR="00A60D58" w:rsidRPr="004277A9" w:rsidRDefault="00A60D58" w:rsidP="00A60D58">
      <w:pPr>
        <w:spacing w:after="120"/>
        <w:rPr>
          <w:rFonts w:eastAsia="Arial" w:cs="Arial"/>
          <w:color w:val="000000" w:themeColor="text1"/>
        </w:rPr>
      </w:pPr>
      <w:r w:rsidRPr="20C5DE6F">
        <w:rPr>
          <w:rFonts w:eastAsia="Arial" w:cs="Arial"/>
          <w:color w:val="000000" w:themeColor="text1"/>
        </w:rPr>
        <w:t>While we consider a preference for high quality evidence should be maintained, we have also noted the availability of non-traditional evidence such as RWD, RWE</w:t>
      </w:r>
      <w:r w:rsidR="00410D7F">
        <w:rPr>
          <w:rFonts w:eastAsia="Arial" w:cs="Arial"/>
          <w:color w:val="000000" w:themeColor="text1"/>
        </w:rPr>
        <w:t>,</w:t>
      </w:r>
      <w:r w:rsidR="00D75A2B">
        <w:rPr>
          <w:rFonts w:eastAsia="Arial" w:cs="Arial"/>
          <w:color w:val="000000" w:themeColor="text1"/>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rPr>
          <w:rFonts w:eastAsia="Arial" w:cs="Arial"/>
          <w:color w:val="000000" w:themeColor="text1"/>
        </w:rPr>
        <w:fldChar w:fldCharType="end"/>
      </w:r>
      <w:r w:rsidRPr="20C5DE6F">
        <w:rPr>
          <w:rFonts w:eastAsia="Arial" w:cs="Arial"/>
          <w:color w:val="000000" w:themeColor="text1"/>
        </w:rPr>
        <w:t xml:space="preserve"> and PROMs is evolving rapidly alongside tools to enable linking and analysis of these datasets (such as </w:t>
      </w:r>
      <w:r>
        <w:rPr>
          <w:rFonts w:eastAsia="Arial" w:cs="Arial"/>
          <w:color w:val="000000" w:themeColor="text1"/>
        </w:rPr>
        <w:t>a</w:t>
      </w:r>
      <w:r w:rsidRPr="20C5DE6F">
        <w:rPr>
          <w:rFonts w:eastAsia="Arial" w:cs="Arial"/>
          <w:color w:val="000000" w:themeColor="text1"/>
        </w:rPr>
        <w:t xml:space="preserve">rtificial </w:t>
      </w:r>
      <w:r>
        <w:rPr>
          <w:rFonts w:eastAsia="Arial" w:cs="Arial"/>
          <w:color w:val="000000" w:themeColor="text1"/>
        </w:rPr>
        <w:t>i</w:t>
      </w:r>
      <w:r w:rsidRPr="20C5DE6F">
        <w:rPr>
          <w:rFonts w:eastAsia="Arial" w:cs="Arial"/>
          <w:color w:val="000000" w:themeColor="text1"/>
        </w:rPr>
        <w:t xml:space="preserve">ntelligence). We </w:t>
      </w:r>
      <w:r w:rsidR="001302CC">
        <w:rPr>
          <w:rFonts w:eastAsia="Arial" w:cs="Arial"/>
          <w:color w:val="000000" w:themeColor="text1"/>
        </w:rPr>
        <w:t>consider that</w:t>
      </w:r>
      <w:r w:rsidRPr="20C5DE6F">
        <w:rPr>
          <w:rFonts w:eastAsia="Arial" w:cs="Arial"/>
          <w:color w:val="000000" w:themeColor="text1"/>
        </w:rPr>
        <w:t xml:space="preserve"> guidance on the use of these evidence types as they evolve is needed. </w:t>
      </w:r>
      <w:proofErr w:type="gramStart"/>
      <w:r w:rsidRPr="20C5DE6F">
        <w:rPr>
          <w:rFonts w:eastAsia="Arial" w:cs="Arial"/>
          <w:color w:val="000000" w:themeColor="text1"/>
        </w:rPr>
        <w:t>In particular, guidance</w:t>
      </w:r>
      <w:proofErr w:type="gramEnd"/>
      <w:r w:rsidRPr="20C5DE6F">
        <w:rPr>
          <w:rFonts w:eastAsia="Arial" w:cs="Arial"/>
          <w:color w:val="000000" w:themeColor="text1"/>
        </w:rPr>
        <w:t xml:space="preserve"> is needed for rare and ultra-rare indications, minor indications, and other disease areas and sub-populations where:</w:t>
      </w:r>
    </w:p>
    <w:p w14:paraId="24CE9C5B" w14:textId="77777777" w:rsidR="00A60D58" w:rsidRPr="00D20B05" w:rsidRDefault="00A60D58" w:rsidP="008505D7">
      <w:pPr>
        <w:pStyle w:val="ListParagraph"/>
        <w:numPr>
          <w:ilvl w:val="0"/>
          <w:numId w:val="44"/>
        </w:numPr>
        <w:spacing w:after="120"/>
        <w:rPr>
          <w:rFonts w:eastAsia="Arial" w:cs="Arial"/>
          <w:color w:val="000000" w:themeColor="text1"/>
        </w:rPr>
      </w:pPr>
      <w:r w:rsidRPr="42DEFC49">
        <w:rPr>
          <w:rFonts w:eastAsia="Arial" w:cs="Arial"/>
          <w:color w:val="000000" w:themeColor="text1"/>
        </w:rPr>
        <w:t xml:space="preserve">RCTs may not feasibly be </w:t>
      </w:r>
      <w:proofErr w:type="gramStart"/>
      <w:r w:rsidRPr="42DEFC49">
        <w:rPr>
          <w:rFonts w:eastAsia="Arial" w:cs="Arial"/>
          <w:color w:val="000000" w:themeColor="text1"/>
        </w:rPr>
        <w:t>conducted</w:t>
      </w:r>
      <w:proofErr w:type="gramEnd"/>
      <w:r w:rsidRPr="42DEFC49">
        <w:rPr>
          <w:rFonts w:eastAsia="Arial" w:cs="Arial"/>
          <w:color w:val="000000" w:themeColor="text1"/>
        </w:rPr>
        <w:t xml:space="preserve"> </w:t>
      </w:r>
    </w:p>
    <w:p w14:paraId="25511BF0" w14:textId="0557F03C" w:rsidR="00A60D58" w:rsidRPr="001553B1" w:rsidRDefault="00A60D58" w:rsidP="008505D7">
      <w:pPr>
        <w:pStyle w:val="ListParagraph"/>
        <w:numPr>
          <w:ilvl w:val="0"/>
          <w:numId w:val="44"/>
        </w:numPr>
        <w:spacing w:after="120"/>
        <w:rPr>
          <w:rFonts w:eastAsia="Arial" w:cs="Arial"/>
          <w:color w:val="000000" w:themeColor="text1"/>
        </w:rPr>
      </w:pPr>
      <w:r w:rsidRPr="007958BF">
        <w:rPr>
          <w:rFonts w:eastAsia="Arial" w:cs="Arial"/>
          <w:color w:val="000000" w:themeColor="text1"/>
        </w:rPr>
        <w:t xml:space="preserve">RCT comparators do not reflect </w:t>
      </w:r>
      <w:r w:rsidR="008B1FEE">
        <w:rPr>
          <w:rFonts w:eastAsia="Arial" w:cs="Arial"/>
          <w:color w:val="000000" w:themeColor="text1"/>
        </w:rPr>
        <w:t>SOC</w:t>
      </w:r>
      <w:r w:rsidRPr="007958BF">
        <w:rPr>
          <w:rFonts w:eastAsia="Arial" w:cs="Arial"/>
          <w:color w:val="000000" w:themeColor="text1"/>
        </w:rPr>
        <w:t xml:space="preserve"> in loc</w:t>
      </w:r>
      <w:r w:rsidRPr="00EE1CCE">
        <w:rPr>
          <w:rFonts w:eastAsia="Arial" w:cs="Arial"/>
          <w:color w:val="000000" w:themeColor="text1"/>
        </w:rPr>
        <w:t xml:space="preserve">al </w:t>
      </w:r>
      <w:proofErr w:type="gramStart"/>
      <w:r w:rsidRPr="00EE1CCE">
        <w:rPr>
          <w:rFonts w:eastAsia="Arial" w:cs="Arial"/>
          <w:color w:val="000000" w:themeColor="text1"/>
        </w:rPr>
        <w:t>settings</w:t>
      </w:r>
      <w:proofErr w:type="gramEnd"/>
      <w:r w:rsidRPr="00EE1CCE">
        <w:rPr>
          <w:rFonts w:eastAsia="Arial" w:cs="Arial"/>
          <w:color w:val="000000" w:themeColor="text1"/>
        </w:rPr>
        <w:t xml:space="preserve"> </w:t>
      </w:r>
    </w:p>
    <w:p w14:paraId="33A9879A" w14:textId="4771F4C2" w:rsidR="00A60D58" w:rsidRPr="0052504F" w:rsidRDefault="00A60D58" w:rsidP="008505D7">
      <w:pPr>
        <w:pStyle w:val="ListParagraph"/>
        <w:numPr>
          <w:ilvl w:val="0"/>
          <w:numId w:val="44"/>
        </w:numPr>
        <w:spacing w:after="120"/>
        <w:rPr>
          <w:rFonts w:eastAsia="Arial" w:cs="Arial"/>
          <w:color w:val="000000" w:themeColor="text1"/>
        </w:rPr>
      </w:pPr>
      <w:r w:rsidRPr="0098503A">
        <w:rPr>
          <w:rFonts w:eastAsia="Arial" w:cs="Arial"/>
          <w:color w:val="000000" w:themeColor="text1"/>
        </w:rPr>
        <w:t>r</w:t>
      </w:r>
      <w:r w:rsidRPr="00B6514A">
        <w:rPr>
          <w:rFonts w:eastAsia="Arial" w:cs="Arial"/>
          <w:color w:val="000000" w:themeColor="text1"/>
        </w:rPr>
        <w:t>elevant population groups are excluded from RCTs</w:t>
      </w:r>
      <w:r w:rsidR="00271762">
        <w:rPr>
          <w:rFonts w:eastAsia="Arial" w:cs="Arial"/>
          <w:color w:val="000000" w:themeColor="text1"/>
        </w:rPr>
        <w:t>, and</w:t>
      </w:r>
    </w:p>
    <w:p w14:paraId="09C3E861" w14:textId="77777777" w:rsidR="00A60D58" w:rsidRPr="00E4592E" w:rsidRDefault="00A60D58" w:rsidP="008505D7">
      <w:pPr>
        <w:pStyle w:val="ListParagraph"/>
        <w:numPr>
          <w:ilvl w:val="0"/>
          <w:numId w:val="44"/>
        </w:numPr>
        <w:spacing w:after="120"/>
        <w:rPr>
          <w:rFonts w:eastAsia="Arial" w:cs="Arial"/>
          <w:color w:val="000000" w:themeColor="text1"/>
        </w:rPr>
      </w:pPr>
      <w:r w:rsidRPr="003273AB">
        <w:rPr>
          <w:rFonts w:eastAsia="Arial" w:cs="Arial"/>
          <w:color w:val="000000" w:themeColor="text1"/>
        </w:rPr>
        <w:t>ma</w:t>
      </w:r>
      <w:r w:rsidRPr="0081591A">
        <w:rPr>
          <w:rFonts w:eastAsia="Arial" w:cs="Arial"/>
          <w:color w:val="000000" w:themeColor="text1"/>
        </w:rPr>
        <w:t>jor discrepancies exist between RCT and routine practic</w:t>
      </w:r>
      <w:r w:rsidRPr="00235E01">
        <w:rPr>
          <w:rFonts w:eastAsia="Arial" w:cs="Arial"/>
          <w:color w:val="000000" w:themeColor="text1"/>
        </w:rPr>
        <w:t>e.</w:t>
      </w:r>
    </w:p>
    <w:p w14:paraId="7F40F23F" w14:textId="77777777" w:rsidR="00891C03" w:rsidRDefault="00F24427" w:rsidP="00E4592E">
      <w:pPr>
        <w:spacing w:after="120"/>
        <w:rPr>
          <w:rFonts w:eastAsia="Arial" w:cs="Arial"/>
          <w:color w:val="000000" w:themeColor="text1"/>
        </w:rPr>
      </w:pPr>
      <w:r>
        <w:rPr>
          <w:rFonts w:eastAsia="Arial" w:cs="Arial"/>
          <w:color w:val="000000" w:themeColor="text1"/>
        </w:rPr>
        <w:t>We also</w:t>
      </w:r>
      <w:r w:rsidR="001302CC">
        <w:rPr>
          <w:rFonts w:eastAsia="Arial" w:cs="Arial"/>
          <w:color w:val="000000" w:themeColor="text1"/>
        </w:rPr>
        <w:t xml:space="preserve"> consider t</w:t>
      </w:r>
      <w:r w:rsidR="007F2D08">
        <w:rPr>
          <w:rFonts w:eastAsia="Arial" w:cs="Arial"/>
          <w:color w:val="000000" w:themeColor="text1"/>
        </w:rPr>
        <w:t>h</w:t>
      </w:r>
      <w:r w:rsidR="00F02EE4">
        <w:rPr>
          <w:rFonts w:eastAsia="Arial" w:cs="Arial"/>
          <w:color w:val="000000" w:themeColor="text1"/>
        </w:rPr>
        <w:t>at guidance on the use of surrogate end</w:t>
      </w:r>
      <w:r w:rsidR="00BC5B86">
        <w:rPr>
          <w:rFonts w:eastAsia="Arial" w:cs="Arial"/>
          <w:color w:val="000000" w:themeColor="text1"/>
        </w:rPr>
        <w:t xml:space="preserve"> </w:t>
      </w:r>
      <w:r w:rsidR="00F02EE4">
        <w:rPr>
          <w:rFonts w:eastAsia="Arial" w:cs="Arial"/>
          <w:color w:val="000000" w:themeColor="text1"/>
        </w:rPr>
        <w:t>poi</w:t>
      </w:r>
      <w:r w:rsidR="00BC5B86">
        <w:rPr>
          <w:rFonts w:eastAsia="Arial" w:cs="Arial"/>
          <w:color w:val="000000" w:themeColor="text1"/>
        </w:rPr>
        <w:t>n</w:t>
      </w:r>
      <w:r w:rsidR="00F02EE4">
        <w:rPr>
          <w:rFonts w:eastAsia="Arial" w:cs="Arial"/>
          <w:color w:val="000000" w:themeColor="text1"/>
        </w:rPr>
        <w:t xml:space="preserve">ts </w:t>
      </w:r>
      <w:r w:rsidR="00741E0F">
        <w:rPr>
          <w:rFonts w:eastAsia="Arial" w:cs="Arial"/>
          <w:color w:val="000000" w:themeColor="text1"/>
        </w:rPr>
        <w:t>needs to</w:t>
      </w:r>
      <w:r w:rsidR="0094377D">
        <w:rPr>
          <w:rFonts w:eastAsia="Arial" w:cs="Arial"/>
          <w:color w:val="000000" w:themeColor="text1"/>
        </w:rPr>
        <w:t xml:space="preserve"> be updated to</w:t>
      </w:r>
      <w:r w:rsidR="00891C03">
        <w:rPr>
          <w:rFonts w:eastAsia="Arial" w:cs="Arial"/>
          <w:color w:val="000000" w:themeColor="text1"/>
        </w:rPr>
        <w:t>:</w:t>
      </w:r>
      <w:r w:rsidR="00F52BB5">
        <w:rPr>
          <w:rFonts w:eastAsia="Arial" w:cs="Arial"/>
          <w:color w:val="000000" w:themeColor="text1"/>
        </w:rPr>
        <w:t xml:space="preserve"> </w:t>
      </w:r>
    </w:p>
    <w:p w14:paraId="34660567" w14:textId="71B08824" w:rsidR="00891C03" w:rsidRDefault="00F52BB5" w:rsidP="008505D7">
      <w:pPr>
        <w:pStyle w:val="ListParagraph"/>
        <w:numPr>
          <w:ilvl w:val="0"/>
          <w:numId w:val="44"/>
        </w:numPr>
        <w:spacing w:after="120"/>
        <w:rPr>
          <w:rFonts w:eastAsia="Arial" w:cs="Arial"/>
          <w:color w:val="000000" w:themeColor="text1"/>
        </w:rPr>
      </w:pPr>
      <w:r w:rsidRPr="009D14F6">
        <w:rPr>
          <w:rFonts w:eastAsia="Arial" w:cs="Arial"/>
          <w:color w:val="000000" w:themeColor="text1"/>
        </w:rPr>
        <w:t>make clearer the</w:t>
      </w:r>
      <w:r w:rsidR="00F02EE4" w:rsidRPr="009D14F6">
        <w:rPr>
          <w:rFonts w:eastAsia="Arial" w:cs="Arial"/>
          <w:color w:val="000000" w:themeColor="text1"/>
        </w:rPr>
        <w:t xml:space="preserve"> circumstances where surrogates would be acceptable</w:t>
      </w:r>
      <w:r w:rsidR="00271762">
        <w:rPr>
          <w:rFonts w:eastAsia="Arial" w:cs="Arial"/>
          <w:color w:val="000000" w:themeColor="text1"/>
        </w:rPr>
        <w:t>, and</w:t>
      </w:r>
    </w:p>
    <w:p w14:paraId="298A1158" w14:textId="66CD9DB6" w:rsidR="00E4592E" w:rsidRPr="009D14F6" w:rsidRDefault="00891C03" w:rsidP="008505D7">
      <w:pPr>
        <w:pStyle w:val="ListParagraph"/>
        <w:numPr>
          <w:ilvl w:val="0"/>
          <w:numId w:val="44"/>
        </w:numPr>
        <w:spacing w:after="120"/>
        <w:rPr>
          <w:rFonts w:eastAsia="Arial" w:cs="Arial"/>
          <w:color w:val="000000" w:themeColor="text1"/>
        </w:rPr>
      </w:pPr>
      <w:r>
        <w:rPr>
          <w:rFonts w:eastAsia="Arial" w:cs="Arial"/>
          <w:color w:val="000000" w:themeColor="text1"/>
        </w:rPr>
        <w:t xml:space="preserve">include </w:t>
      </w:r>
      <w:r w:rsidR="0063127E" w:rsidRPr="009D14F6">
        <w:rPr>
          <w:rFonts w:eastAsia="Arial" w:cs="Arial"/>
          <w:color w:val="000000" w:themeColor="text1"/>
        </w:rPr>
        <w:t xml:space="preserve">methods for describing the uncertainty in the use of </w:t>
      </w:r>
      <w:r w:rsidR="00E660F5" w:rsidRPr="009D14F6">
        <w:rPr>
          <w:rFonts w:eastAsia="Arial" w:cs="Arial"/>
          <w:color w:val="000000" w:themeColor="text1"/>
        </w:rPr>
        <w:t>surrogate</w:t>
      </w:r>
      <w:r w:rsidR="00EE27DD" w:rsidRPr="009D14F6">
        <w:rPr>
          <w:rFonts w:eastAsia="Arial" w:cs="Arial"/>
          <w:color w:val="000000" w:themeColor="text1"/>
        </w:rPr>
        <w:t xml:space="preserve"> end points</w:t>
      </w:r>
      <w:r w:rsidR="00205C07">
        <w:rPr>
          <w:rFonts w:eastAsia="Arial" w:cs="Arial"/>
          <w:color w:val="000000" w:themeColor="text1"/>
        </w:rPr>
        <w:t>.</w:t>
      </w:r>
    </w:p>
    <w:p w14:paraId="751F54D9" w14:textId="4E151D80" w:rsidR="008036B6" w:rsidRDefault="00D20E61" w:rsidP="008036B6">
      <w:pPr>
        <w:pStyle w:val="Heading4"/>
      </w:pPr>
      <w:r>
        <w:lastRenderedPageBreak/>
        <w:t>Explanation of preferred clinical evaluation methodologies</w:t>
      </w:r>
    </w:p>
    <w:p w14:paraId="4095C616" w14:textId="27E0D723" w:rsidR="0023079A" w:rsidRDefault="0023079A" w:rsidP="0023079A">
      <w:r>
        <w:t xml:space="preserve">We have observed that there is a lack of explanation of </w:t>
      </w:r>
      <w:r w:rsidR="00780230">
        <w:t>the clinical evaluation methodologies preferred by decision</w:t>
      </w:r>
      <w:r w:rsidR="00EF7F8F">
        <w:t>-</w:t>
      </w:r>
      <w:r w:rsidR="00780230">
        <w:t>makers</w:t>
      </w:r>
      <w:r w:rsidR="00142B7E">
        <w:t>,</w:t>
      </w:r>
      <w:r w:rsidR="00780230">
        <w:t xml:space="preserve"> and </w:t>
      </w:r>
      <w:r w:rsidR="008B70EB">
        <w:t>this has contributed to the perception of a lack of transparency</w:t>
      </w:r>
      <w:r w:rsidR="002A0D74">
        <w:fldChar w:fldCharType="begin"/>
      </w:r>
      <w:r w:rsidR="002A0D74">
        <w:instrText xml:space="preserve"> XE "</w:instrText>
      </w:r>
      <w:r w:rsidR="002A0D74" w:rsidRPr="005B2802">
        <w:instrText>transparency</w:instrText>
      </w:r>
      <w:r w:rsidR="002A0D74">
        <w:instrText xml:space="preserve">" </w:instrText>
      </w:r>
      <w:r w:rsidR="002A0D74">
        <w:fldChar w:fldCharType="end"/>
      </w:r>
      <w:r w:rsidR="008B70EB">
        <w:t xml:space="preserve"> in clinical evaluation. </w:t>
      </w:r>
      <w:r w:rsidR="00FD76A5">
        <w:t xml:space="preserve">We believe </w:t>
      </w:r>
      <w:r w:rsidR="00C24BDE">
        <w:t>there should be</w:t>
      </w:r>
      <w:r w:rsidR="00FD76A5">
        <w:t xml:space="preserve"> further guidance </w:t>
      </w:r>
      <w:r w:rsidR="000B7BCD" w:rsidRPr="000B7BCD">
        <w:t>for methods used in Australian HTA</w:t>
      </w:r>
      <w:r w:rsidR="00626F25">
        <w:t>s,</w:t>
      </w:r>
      <w:r w:rsidR="000B7BCD" w:rsidRPr="000B7BCD">
        <w:t xml:space="preserve"> outlining the suitability of methods for particular use cases, how to report the method (including supporting data), and how to evaluate the method. </w:t>
      </w:r>
      <w:r w:rsidR="008036B6">
        <w:t>We consider that g</w:t>
      </w:r>
      <w:r w:rsidR="000B7BCD" w:rsidRPr="000B7BCD">
        <w:t xml:space="preserve">uidance should be regularly reviewed and updated, and therefore </w:t>
      </w:r>
      <w:r w:rsidR="00AF6FC9">
        <w:t xml:space="preserve">it </w:t>
      </w:r>
      <w:r w:rsidR="000B7BCD" w:rsidRPr="000B7BCD">
        <w:t xml:space="preserve">may benefit from being published as </w:t>
      </w:r>
      <w:r w:rsidR="00B3233D">
        <w:t xml:space="preserve">a </w:t>
      </w:r>
      <w:r w:rsidR="000B7BCD" w:rsidRPr="000B7BCD">
        <w:t>standalone decision support tool outside of the basic information provided in PBAC or MSAC Guidelines.</w:t>
      </w:r>
    </w:p>
    <w:p w14:paraId="75AFD9C8" w14:textId="3C7E387B" w:rsidR="004F6704" w:rsidRDefault="004F6704" w:rsidP="004F6704">
      <w:pPr>
        <w:pStyle w:val="Heading4"/>
      </w:pPr>
      <w:r>
        <w:t xml:space="preserve">Transparency of decision-making and </w:t>
      </w:r>
      <w:r w:rsidR="009A2013">
        <w:t>v</w:t>
      </w:r>
      <w:r>
        <w:t xml:space="preserve">alue frameworks </w:t>
      </w:r>
    </w:p>
    <w:p w14:paraId="74F853B2" w14:textId="2044BD04" w:rsidR="004F6704" w:rsidRDefault="00366BF7" w:rsidP="00710A26">
      <w:pPr>
        <w:spacing w:after="120"/>
        <w:rPr>
          <w:rFonts w:eastAsia="Arial" w:cs="Arial"/>
          <w:color w:val="000000" w:themeColor="text1"/>
          <w:szCs w:val="22"/>
        </w:rPr>
      </w:pPr>
      <w:r>
        <w:rPr>
          <w:rFonts w:eastAsia="Arial" w:cs="Arial"/>
          <w:color w:val="000000" w:themeColor="text1"/>
          <w:szCs w:val="22"/>
        </w:rPr>
        <w:t>We agree th</w:t>
      </w:r>
      <w:r w:rsidR="003C6AC9">
        <w:rPr>
          <w:rFonts w:eastAsia="Arial" w:cs="Arial"/>
          <w:color w:val="000000" w:themeColor="text1"/>
          <w:szCs w:val="22"/>
        </w:rPr>
        <w:t xml:space="preserve">at more explicit </w:t>
      </w:r>
      <w:r w:rsidR="007C029C">
        <w:rPr>
          <w:rFonts w:eastAsia="Arial" w:cs="Arial"/>
          <w:color w:val="000000" w:themeColor="text1"/>
          <w:szCs w:val="22"/>
        </w:rPr>
        <w:t>guidance</w:t>
      </w:r>
      <w:r w:rsidR="003C6AC9">
        <w:rPr>
          <w:rFonts w:eastAsia="Arial" w:cs="Arial"/>
          <w:color w:val="000000" w:themeColor="text1"/>
          <w:szCs w:val="22"/>
        </w:rPr>
        <w:t xml:space="preserve"> </w:t>
      </w:r>
      <w:r w:rsidR="000A659F">
        <w:rPr>
          <w:rFonts w:eastAsia="Arial" w:cs="Arial"/>
          <w:color w:val="000000" w:themeColor="text1"/>
          <w:szCs w:val="22"/>
        </w:rPr>
        <w:t xml:space="preserve">is needed </w:t>
      </w:r>
      <w:r w:rsidR="003C6AC9">
        <w:rPr>
          <w:rFonts w:eastAsia="Arial" w:cs="Arial"/>
          <w:color w:val="000000" w:themeColor="text1"/>
          <w:szCs w:val="22"/>
        </w:rPr>
        <w:t xml:space="preserve">on </w:t>
      </w:r>
      <w:r w:rsidR="003C6AC9">
        <w:rPr>
          <w:rFonts w:eastAsia="Arial"/>
          <w:color w:val="000000" w:themeColor="text1"/>
        </w:rPr>
        <w:t>how elements (beyond clinical effectiveness, cost effectiveness and financial impact</w:t>
      </w:r>
      <w:r w:rsidR="00711027">
        <w:rPr>
          <w:rFonts w:eastAsia="Arial"/>
          <w:color w:val="000000" w:themeColor="text1"/>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Arial"/>
          <w:color w:val="000000" w:themeColor="text1"/>
        </w:rPr>
        <w:fldChar w:fldCharType="end"/>
      </w:r>
      <w:r w:rsidR="003C6AC9">
        <w:rPr>
          <w:rFonts w:eastAsia="Arial"/>
          <w:color w:val="000000" w:themeColor="text1"/>
        </w:rPr>
        <w:t>) such as patient and consumer input</w:t>
      </w:r>
      <w:r w:rsidR="000B5D49">
        <w:rPr>
          <w:rFonts w:eastAsia="Arial"/>
          <w:color w:val="000000" w:themeColor="text1"/>
        </w:rPr>
        <w:t xml:space="preserve">, </w:t>
      </w:r>
      <w:r w:rsidR="00AC5EEC">
        <w:rPr>
          <w:rFonts w:eastAsia="Arial"/>
          <w:color w:val="000000" w:themeColor="text1"/>
        </w:rPr>
        <w:t>equity</w:t>
      </w:r>
      <w:r w:rsidR="00A67FBB">
        <w:rPr>
          <w:rFonts w:eastAsia="Arial"/>
          <w:color w:val="000000" w:themeColor="text1"/>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rFonts w:eastAsia="Arial"/>
          <w:color w:val="000000" w:themeColor="text1"/>
        </w:rPr>
        <w:fldChar w:fldCharType="end"/>
      </w:r>
      <w:r w:rsidR="00AC5EEC">
        <w:rPr>
          <w:rFonts w:eastAsia="Arial"/>
          <w:color w:val="000000" w:themeColor="text1"/>
        </w:rPr>
        <w:t>, clinical need, severity, value of knowing prognosis or diagnosis, public health issues and other relevant considerations</w:t>
      </w:r>
      <w:r w:rsidR="003C6AC9">
        <w:rPr>
          <w:rFonts w:eastAsia="Arial"/>
          <w:color w:val="000000" w:themeColor="text1"/>
        </w:rPr>
        <w:t xml:space="preserve"> </w:t>
      </w:r>
      <w:r w:rsidR="007C029C">
        <w:rPr>
          <w:rFonts w:eastAsia="Arial"/>
          <w:color w:val="000000" w:themeColor="text1"/>
        </w:rPr>
        <w:t xml:space="preserve">are being </w:t>
      </w:r>
      <w:r w:rsidR="001E468E">
        <w:rPr>
          <w:rFonts w:eastAsia="Arial"/>
          <w:color w:val="000000" w:themeColor="text1"/>
        </w:rPr>
        <w:t>considered by advisory committees and what impact they have on decision</w:t>
      </w:r>
      <w:r w:rsidR="00BB1118">
        <w:rPr>
          <w:rFonts w:eastAsia="Arial"/>
          <w:color w:val="000000" w:themeColor="text1"/>
        </w:rPr>
        <w:t>-</w:t>
      </w:r>
      <w:r w:rsidR="001E468E">
        <w:rPr>
          <w:rFonts w:eastAsia="Arial"/>
          <w:color w:val="000000" w:themeColor="text1"/>
        </w:rPr>
        <w:t xml:space="preserve">making. </w:t>
      </w:r>
    </w:p>
    <w:p w14:paraId="14B536BF" w14:textId="23C79B36" w:rsidR="006A5CB7" w:rsidRPr="008C6B05" w:rsidRDefault="00982FCC" w:rsidP="008C6B05">
      <w:pPr>
        <w:spacing w:after="120"/>
        <w:jc w:val="both"/>
        <w:rPr>
          <w:rFonts w:eastAsia="Arial" w:cs="Arial"/>
          <w:szCs w:val="22"/>
        </w:rPr>
      </w:pPr>
      <w:r>
        <w:rPr>
          <w:rFonts w:eastAsia="Arial" w:cs="Arial"/>
          <w:color w:val="000000" w:themeColor="text1"/>
        </w:rPr>
        <w:t xml:space="preserve">We have observed that other jurisdictions </w:t>
      </w:r>
      <w:r w:rsidR="005E32F3">
        <w:rPr>
          <w:rFonts w:eastAsia="Arial" w:cs="Arial"/>
          <w:color w:val="000000" w:themeColor="text1"/>
        </w:rPr>
        <w:t>have developed explicit value frameworks for this purpose</w:t>
      </w:r>
      <w:r w:rsidR="006A5CB7" w:rsidRPr="42FA0C97">
        <w:rPr>
          <w:rFonts w:eastAsia="Arial" w:cs="Arial"/>
          <w:color w:val="000000" w:themeColor="text1"/>
        </w:rPr>
        <w:t>. Value in this context refers to “consider important”, while the term explicit is intended to mean that the value elements that the committee considers, how they consider them, and what impact the value elements have on decision-making are known.</w:t>
      </w:r>
      <w:r w:rsidR="006A5CB7" w:rsidRPr="42FA0C97">
        <w:rPr>
          <w:rFonts w:eastAsia="Arial"/>
          <w:color w:val="000000" w:themeColor="text1"/>
        </w:rPr>
        <w:t>​</w:t>
      </w:r>
    </w:p>
    <w:p w14:paraId="3D2347ED" w14:textId="062DDF16" w:rsidR="004E65F6" w:rsidRDefault="006A5CB7" w:rsidP="00CF7FAB">
      <w:pPr>
        <w:rPr>
          <w:rFonts w:eastAsia="Arial"/>
          <w:color w:val="000000" w:themeColor="text1"/>
        </w:rPr>
      </w:pPr>
      <w:r w:rsidRPr="00D74399">
        <w:rPr>
          <w:rFonts w:eastAsia="Arial"/>
          <w:color w:val="000000" w:themeColor="text1"/>
          <w:szCs w:val="22"/>
        </w:rPr>
        <w:t>​</w:t>
      </w:r>
      <w:r w:rsidRPr="00D74399">
        <w:rPr>
          <w:rFonts w:eastAsia="Arial" w:cs="Arial"/>
          <w:color w:val="000000" w:themeColor="text1"/>
          <w:szCs w:val="22"/>
        </w:rPr>
        <w:t>Th</w:t>
      </w:r>
      <w:r>
        <w:rPr>
          <w:rFonts w:eastAsia="Arial" w:cs="Arial"/>
          <w:color w:val="000000" w:themeColor="text1"/>
          <w:szCs w:val="22"/>
        </w:rPr>
        <w:t>e use of an explicit value framework</w:t>
      </w:r>
      <w:r w:rsidR="00420583">
        <w:rPr>
          <w:rFonts w:eastAsia="Arial" w:cs="Arial"/>
          <w:color w:val="000000" w:themeColor="text1"/>
          <w:szCs w:val="22"/>
        </w:rPr>
        <w:fldChar w:fldCharType="begin"/>
      </w:r>
      <w:r w:rsidR="00420583">
        <w:instrText xml:space="preserve"> XE "</w:instrText>
      </w:r>
      <w:r w:rsidR="00420583" w:rsidRPr="009F39D2">
        <w:rPr>
          <w:rFonts w:eastAsia="Arial" w:cs="Arial"/>
          <w:color w:val="000000" w:themeColor="text1"/>
          <w:szCs w:val="22"/>
        </w:rPr>
        <w:instrText>value framework</w:instrText>
      </w:r>
      <w:r w:rsidR="00420583">
        <w:instrText xml:space="preserve">" \b </w:instrText>
      </w:r>
      <w:r w:rsidR="00420583">
        <w:rPr>
          <w:rFonts w:eastAsia="Arial" w:cs="Arial"/>
          <w:color w:val="000000" w:themeColor="text1"/>
          <w:szCs w:val="22"/>
        </w:rPr>
        <w:fldChar w:fldCharType="end"/>
      </w:r>
      <w:r w:rsidRPr="00D74399">
        <w:rPr>
          <w:rFonts w:eastAsia="Arial" w:cs="Arial"/>
          <w:color w:val="000000" w:themeColor="text1"/>
          <w:szCs w:val="22"/>
        </w:rPr>
        <w:t xml:space="preserve"> </w:t>
      </w:r>
      <w:r w:rsidR="008979C9">
        <w:rPr>
          <w:rFonts w:eastAsia="Arial" w:cs="Arial"/>
          <w:color w:val="000000" w:themeColor="text1"/>
          <w:szCs w:val="22"/>
        </w:rPr>
        <w:t>embed</w:t>
      </w:r>
      <w:r w:rsidR="001F279E">
        <w:rPr>
          <w:rFonts w:eastAsia="Arial" w:cs="Arial"/>
          <w:color w:val="000000" w:themeColor="text1"/>
          <w:szCs w:val="22"/>
        </w:rPr>
        <w:t>s</w:t>
      </w:r>
      <w:r w:rsidR="008979C9">
        <w:rPr>
          <w:rFonts w:eastAsia="Arial" w:cs="Arial"/>
          <w:color w:val="000000" w:themeColor="text1"/>
          <w:szCs w:val="22"/>
        </w:rPr>
        <w:t xml:space="preserve"> a patient</w:t>
      </w:r>
      <w:r w:rsidR="00A476C4">
        <w:rPr>
          <w:rFonts w:eastAsia="Arial" w:cs="Arial"/>
          <w:color w:val="000000" w:themeColor="text1"/>
          <w:szCs w:val="22"/>
        </w:rPr>
        <w:t>-</w:t>
      </w:r>
      <w:r w:rsidR="008979C9">
        <w:rPr>
          <w:rFonts w:eastAsia="Arial" w:cs="Arial"/>
          <w:color w:val="000000" w:themeColor="text1"/>
          <w:szCs w:val="22"/>
        </w:rPr>
        <w:t>centric approach and</w:t>
      </w:r>
      <w:r w:rsidRPr="00D74399">
        <w:rPr>
          <w:rFonts w:eastAsia="Arial" w:cs="Arial"/>
          <w:color w:val="000000" w:themeColor="text1"/>
          <w:szCs w:val="22"/>
        </w:rPr>
        <w:t xml:space="preserve"> provide</w:t>
      </w:r>
      <w:r w:rsidR="00A167B5">
        <w:rPr>
          <w:rFonts w:eastAsia="Arial" w:cs="Arial"/>
          <w:color w:val="000000" w:themeColor="text1"/>
          <w:szCs w:val="22"/>
        </w:rPr>
        <w:t>s</w:t>
      </w:r>
      <w:r w:rsidRPr="00D74399">
        <w:rPr>
          <w:rFonts w:eastAsia="Arial" w:cs="Arial"/>
          <w:color w:val="000000" w:themeColor="text1"/>
          <w:szCs w:val="22"/>
        </w:rPr>
        <w:t xml:space="preserve"> greater confidence that </w:t>
      </w:r>
      <w:r w:rsidR="001F2C02">
        <w:rPr>
          <w:rFonts w:eastAsia="Arial" w:cs="Arial"/>
          <w:color w:val="000000" w:themeColor="text1"/>
          <w:szCs w:val="22"/>
        </w:rPr>
        <w:t xml:space="preserve">advisory committees </w:t>
      </w:r>
      <w:r w:rsidR="008979C9">
        <w:rPr>
          <w:rFonts w:eastAsia="Arial" w:cs="Arial"/>
          <w:color w:val="000000" w:themeColor="text1"/>
          <w:szCs w:val="22"/>
        </w:rPr>
        <w:t>are</w:t>
      </w:r>
      <w:r w:rsidRPr="00D74399">
        <w:rPr>
          <w:rFonts w:eastAsia="Arial" w:cs="Arial"/>
          <w:color w:val="000000" w:themeColor="text1"/>
          <w:szCs w:val="22"/>
        </w:rPr>
        <w:t xml:space="preserve"> considering factors that are of value to both patients and society. </w:t>
      </w:r>
      <w:r w:rsidRPr="00D74399">
        <w:rPr>
          <w:rFonts w:eastAsia="Arial"/>
          <w:color w:val="000000" w:themeColor="text1"/>
          <w:szCs w:val="22"/>
        </w:rPr>
        <w:t>​</w:t>
      </w:r>
      <w:r w:rsidRPr="42FA0C97">
        <w:rPr>
          <w:rFonts w:eastAsia="Arial"/>
          <w:color w:val="000000" w:themeColor="text1"/>
        </w:rPr>
        <w:t>​</w:t>
      </w:r>
    </w:p>
    <w:tbl>
      <w:tblPr>
        <w:tblStyle w:val="TableGrid"/>
        <w:tblpPr w:leftFromText="181" w:rightFromText="181" w:bottomFromText="142" w:vertAnchor="text" w:tblpY="24"/>
        <w:tblOverlap w:val="never"/>
        <w:tblW w:w="9367" w:type="dxa"/>
        <w:tblCellMar>
          <w:top w:w="113" w:type="dxa"/>
          <w:bottom w:w="113" w:type="dxa"/>
        </w:tblCellMar>
        <w:tblLook w:val="04A0" w:firstRow="1" w:lastRow="0" w:firstColumn="1" w:lastColumn="0" w:noHBand="0" w:noVBand="1"/>
      </w:tblPr>
      <w:tblGrid>
        <w:gridCol w:w="9367"/>
      </w:tblGrid>
      <w:tr w:rsidR="00D34CEB" w14:paraId="55409A80" w14:textId="77777777" w:rsidTr="00D34CEB">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7C4C551" w14:textId="77777777" w:rsidR="00D34CEB" w:rsidRPr="00613D35" w:rsidRDefault="00D34CEB" w:rsidP="008C10BB">
            <w:pPr>
              <w:spacing w:after="120" w:line="259" w:lineRule="auto"/>
              <w:rPr>
                <w:rFonts w:eastAsia="Times New Roman" w:cs="Segoe UI"/>
                <w:b/>
                <w:bCs/>
                <w:lang w:eastAsia="en-AU"/>
              </w:rPr>
            </w:pPr>
            <w:r w:rsidRPr="00E527F3">
              <w:rPr>
                <w:rFonts w:eastAsia="Times New Roman" w:cs="Segoe UI"/>
                <w:b/>
                <w:bCs/>
                <w:lang w:eastAsia="en-AU"/>
              </w:rPr>
              <w:t>Overarching principles for adopting methods in Australian HTA</w:t>
            </w:r>
          </w:p>
          <w:p w14:paraId="32D29F93" w14:textId="77777777" w:rsidR="00D34CEB" w:rsidRPr="00075A05" w:rsidRDefault="00D34CEB" w:rsidP="008C10BB">
            <w:pPr>
              <w:spacing w:line="259" w:lineRule="auto"/>
            </w:pPr>
            <w:r w:rsidRPr="00E85E46">
              <w:t xml:space="preserve">Implement the overarching principles for adopting methods in Australian HTA as outlined in the </w:t>
            </w:r>
            <w:hyperlink r:id="rId160" w:anchor="page=151" w:history="1">
              <w:r w:rsidRPr="00E85E46">
                <w:rPr>
                  <w:rStyle w:val="Hyperlink"/>
                </w:rPr>
                <w:t>HTA Review Paper on Clinical Evaluation Methods in HTA</w:t>
              </w:r>
            </w:hyperlink>
            <w:r w:rsidRPr="00E85E46">
              <w:t xml:space="preserve"> </w:t>
            </w:r>
            <w:r>
              <w:t>(paper 4)</w:t>
            </w:r>
            <w:r w:rsidRPr="00E85E46">
              <w:t xml:space="preserve"> for all HTA Methods</w:t>
            </w:r>
            <w:r>
              <w:t>.</w:t>
            </w:r>
          </w:p>
        </w:tc>
      </w:tr>
    </w:tbl>
    <w:p w14:paraId="4529E80A" w14:textId="77777777" w:rsidR="00D34CEB" w:rsidRDefault="00D34CEB" w:rsidP="008C10BB">
      <w:pPr>
        <w:spacing w:after="0"/>
        <w:rPr>
          <w:rFonts w:eastAsia="Arial"/>
          <w:color w:val="000000" w:themeColor="text1"/>
        </w:rPr>
      </w:pPr>
    </w:p>
    <w:tbl>
      <w:tblPr>
        <w:tblStyle w:val="TableGrid"/>
        <w:tblW w:w="9361" w:type="dxa"/>
        <w:tblInd w:w="-5" w:type="dxa"/>
        <w:tblCellMar>
          <w:top w:w="113" w:type="dxa"/>
          <w:bottom w:w="113" w:type="dxa"/>
        </w:tblCellMar>
        <w:tblLook w:val="04A0" w:firstRow="1" w:lastRow="0" w:firstColumn="1" w:lastColumn="0" w:noHBand="0" w:noVBand="1"/>
      </w:tblPr>
      <w:tblGrid>
        <w:gridCol w:w="9361"/>
      </w:tblGrid>
      <w:tr w:rsidR="006A7B83" w14:paraId="787F7AAF" w14:textId="77777777" w:rsidTr="00810054">
        <w:trPr>
          <w:trHeight w:val="630"/>
        </w:trPr>
        <w:tc>
          <w:tcPr>
            <w:tcW w:w="9361" w:type="dxa"/>
            <w:tcBorders>
              <w:top w:val="single" w:sz="18" w:space="0" w:color="ACC02A" w:themeColor="accent5"/>
              <w:left w:val="nil"/>
              <w:bottom w:val="nil"/>
              <w:right w:val="nil"/>
            </w:tcBorders>
            <w:shd w:val="clear" w:color="auto" w:fill="F2F2F2" w:themeFill="background1" w:themeFillShade="F2"/>
          </w:tcPr>
          <w:p w14:paraId="45925999" w14:textId="703E216A" w:rsidR="00013F9C" w:rsidRPr="009D14F6" w:rsidRDefault="00BB7BC2" w:rsidP="008C10BB">
            <w:pPr>
              <w:spacing w:line="259" w:lineRule="auto"/>
              <w:rPr>
                <w:rFonts w:eastAsia="Times New Roman" w:cs="Segoe UI"/>
                <w:b/>
                <w:bCs/>
                <w:lang w:eastAsia="en-AU"/>
              </w:rPr>
            </w:pPr>
            <w:r w:rsidRPr="00BB7BC2">
              <w:rPr>
                <w:rFonts w:eastAsia="Times New Roman" w:cs="Segoe UI"/>
                <w:b/>
                <w:bCs/>
                <w:lang w:eastAsia="en-AU"/>
              </w:rPr>
              <w:t>Methods for the assessment of nonrandomised and observational evidence</w:t>
            </w:r>
          </w:p>
          <w:p w14:paraId="5A729AB8" w14:textId="11B8506B" w:rsidR="00C041AF" w:rsidRPr="00C041AF" w:rsidRDefault="00C041AF" w:rsidP="008C10BB">
            <w:pPr>
              <w:spacing w:line="259" w:lineRule="auto"/>
              <w:rPr>
                <w:rFonts w:eastAsia="Times New Roman" w:cs="Segoe UI"/>
                <w:lang w:eastAsia="en-AU"/>
              </w:rPr>
            </w:pPr>
            <w:r w:rsidRPr="00C041AF">
              <w:rPr>
                <w:rFonts w:eastAsia="Times New Roman" w:cs="Segoe UI"/>
                <w:lang w:eastAsia="en-AU"/>
              </w:rPr>
              <w:t xml:space="preserve">Update methods relating to the assessment of nonrandomised and observational evidence as outlined in the </w:t>
            </w:r>
            <w:hyperlink r:id="rId161" w:anchor="page=156" w:history="1">
              <w:r w:rsidRPr="003635C9">
                <w:rPr>
                  <w:rStyle w:val="Hyperlink"/>
                  <w:rFonts w:eastAsia="Times New Roman" w:cs="Segoe UI"/>
                  <w:i/>
                  <w:lang w:eastAsia="en-AU"/>
                </w:rPr>
                <w:t>HTA Review Paper on Clinical Evaluation Methods in HTA</w:t>
              </w:r>
            </w:hyperlink>
            <w:r w:rsidRPr="00C041AF">
              <w:rPr>
                <w:rFonts w:eastAsia="Times New Roman" w:cs="Segoe UI"/>
                <w:lang w:eastAsia="en-AU"/>
              </w:rPr>
              <w:t xml:space="preserve"> </w:t>
            </w:r>
            <w:r w:rsidR="005D72FC">
              <w:rPr>
                <w:rFonts w:eastAsia="Times New Roman" w:cs="Segoe UI"/>
                <w:lang w:eastAsia="en-AU"/>
              </w:rPr>
              <w:t>(paper 4)</w:t>
            </w:r>
            <w:r w:rsidRPr="005D72FC">
              <w:rPr>
                <w:rFonts w:eastAsia="Times New Roman" w:cs="Segoe UI"/>
                <w:lang w:eastAsia="en-AU"/>
              </w:rPr>
              <w:t xml:space="preserve"> </w:t>
            </w:r>
            <w:r w:rsidRPr="00C041AF">
              <w:rPr>
                <w:rFonts w:eastAsia="Times New Roman" w:cs="Segoe UI"/>
                <w:lang w:eastAsia="en-AU"/>
              </w:rPr>
              <w:t>in line with the overarching principles mentioned above.</w:t>
            </w:r>
            <w:r w:rsidR="001656FC">
              <w:rPr>
                <w:rFonts w:eastAsia="Times New Roman" w:cs="Segoe UI"/>
                <w:lang w:eastAsia="en-AU"/>
              </w:rPr>
              <w:t xml:space="preserve"> </w:t>
            </w:r>
            <w:r w:rsidR="00EC0DC9">
              <w:rPr>
                <w:rFonts w:eastAsia="Times New Roman" w:cs="Segoe UI"/>
                <w:lang w:eastAsia="en-AU"/>
              </w:rPr>
              <w:t>These include:</w:t>
            </w:r>
          </w:p>
          <w:p w14:paraId="79A678FB" w14:textId="77777777" w:rsidR="00C041AF" w:rsidRPr="00C041AF" w:rsidRDefault="00C041AF" w:rsidP="008C10BB">
            <w:pPr>
              <w:spacing w:line="259" w:lineRule="auto"/>
              <w:rPr>
                <w:rFonts w:eastAsia="Times New Roman" w:cs="Segoe UI"/>
                <w:lang w:eastAsia="en-AU"/>
              </w:rPr>
            </w:pPr>
            <w:r w:rsidRPr="00C041AF">
              <w:rPr>
                <w:rFonts w:eastAsia="Times New Roman" w:cs="Segoe UI"/>
                <w:lang w:eastAsia="en-AU"/>
              </w:rPr>
              <w:t xml:space="preserve"> </w:t>
            </w:r>
          </w:p>
          <w:p w14:paraId="027C23DB" w14:textId="77777777" w:rsidR="00C041AF" w:rsidRPr="00DB623D" w:rsidRDefault="00C041AF" w:rsidP="008505D7">
            <w:pPr>
              <w:numPr>
                <w:ilvl w:val="0"/>
                <w:numId w:val="84"/>
              </w:numPr>
              <w:spacing w:line="259" w:lineRule="auto"/>
              <w:rPr>
                <w:rFonts w:eastAsia="Times New Roman" w:cs="Segoe UI"/>
                <w:kern w:val="24"/>
                <w:lang w:eastAsia="en-AU"/>
              </w:rPr>
            </w:pPr>
            <w:r w:rsidRPr="00DB623D">
              <w:rPr>
                <w:rFonts w:eastAsia="Times New Roman" w:cs="Segoe UI"/>
                <w:kern w:val="24"/>
                <w:lang w:eastAsia="en-AU"/>
              </w:rPr>
              <w:t xml:space="preserve">Methods relating to Indirect comparisons: </w:t>
            </w:r>
          </w:p>
          <w:p w14:paraId="6F7846F9" w14:textId="77777777" w:rsidR="00C041AF" w:rsidRPr="00DB623D" w:rsidRDefault="00C041AF" w:rsidP="008505D7">
            <w:pPr>
              <w:numPr>
                <w:ilvl w:val="0"/>
                <w:numId w:val="83"/>
              </w:numPr>
              <w:spacing w:line="259" w:lineRule="auto"/>
              <w:ind w:left="889" w:hanging="426"/>
              <w:rPr>
                <w:rFonts w:eastAsia="Times New Roman" w:cs="Segoe UI"/>
                <w:kern w:val="24"/>
                <w:lang w:eastAsia="en-AU"/>
              </w:rPr>
            </w:pPr>
            <w:r w:rsidRPr="00DB623D">
              <w:rPr>
                <w:rFonts w:eastAsia="Times New Roman" w:cs="Segoe UI"/>
                <w:kern w:val="24"/>
                <w:lang w:eastAsia="en-AU"/>
              </w:rPr>
              <w:lastRenderedPageBreak/>
              <w:t xml:space="preserve">Require the presentation of a comparison of study characteristics, as well as how successful efforts for controlling for differences in characteristics are likely to be. </w:t>
            </w:r>
          </w:p>
          <w:p w14:paraId="7447A40F" w14:textId="77777777" w:rsidR="00C041AF" w:rsidRPr="00DB623D" w:rsidRDefault="00C041AF" w:rsidP="008505D7">
            <w:pPr>
              <w:numPr>
                <w:ilvl w:val="0"/>
                <w:numId w:val="84"/>
              </w:numPr>
              <w:spacing w:line="259" w:lineRule="auto"/>
              <w:rPr>
                <w:rFonts w:eastAsia="Times New Roman" w:cs="Segoe UI"/>
                <w:kern w:val="24"/>
                <w:lang w:eastAsia="en-AU"/>
              </w:rPr>
            </w:pPr>
            <w:r w:rsidRPr="00DB623D">
              <w:rPr>
                <w:rFonts w:eastAsia="Times New Roman" w:cs="Segoe UI"/>
                <w:kern w:val="24"/>
                <w:lang w:eastAsia="en-AU"/>
              </w:rPr>
              <w:t>Methods relating to the creation of control groups:</w:t>
            </w:r>
          </w:p>
          <w:p w14:paraId="7B6DD00D" w14:textId="77777777" w:rsidR="00C041AF" w:rsidRPr="00C9357C" w:rsidRDefault="00C041AF" w:rsidP="008505D7">
            <w:pPr>
              <w:numPr>
                <w:ilvl w:val="0"/>
                <w:numId w:val="169"/>
              </w:numPr>
              <w:spacing w:line="259" w:lineRule="auto"/>
              <w:ind w:left="889" w:hanging="426"/>
              <w:rPr>
                <w:rFonts w:eastAsia="Times New Roman" w:cs="Segoe UI"/>
                <w:kern w:val="24"/>
                <w:lang w:eastAsia="en-AU"/>
              </w:rPr>
            </w:pPr>
            <w:r w:rsidRPr="00C9357C">
              <w:rPr>
                <w:rFonts w:eastAsia="Times New Roman" w:cs="Segoe UI"/>
                <w:kern w:val="24"/>
                <w:lang w:eastAsia="en-AU"/>
              </w:rPr>
              <w:t>Require justification of why an indirect comparison is not possible, or less reliable, than the proposed approach of creating a control group.</w:t>
            </w:r>
          </w:p>
          <w:p w14:paraId="3ED3859F" w14:textId="77777777" w:rsidR="00C041AF" w:rsidRPr="00C9357C" w:rsidRDefault="00C041AF" w:rsidP="008505D7">
            <w:pPr>
              <w:numPr>
                <w:ilvl w:val="0"/>
                <w:numId w:val="169"/>
              </w:numPr>
              <w:spacing w:line="259" w:lineRule="auto"/>
              <w:ind w:left="889" w:hanging="426"/>
              <w:rPr>
                <w:rFonts w:eastAsia="Times New Roman" w:cs="Segoe UI"/>
                <w:kern w:val="24"/>
                <w:lang w:eastAsia="en-AU"/>
              </w:rPr>
            </w:pPr>
            <w:r w:rsidRPr="00C9357C">
              <w:rPr>
                <w:rFonts w:eastAsia="Times New Roman" w:cs="Segoe UI"/>
                <w:kern w:val="24"/>
                <w:lang w:eastAsia="en-AU"/>
              </w:rPr>
              <w:t>Require justification for the use of methods that are not prespecified in the study protocol of the proposed technology.</w:t>
            </w:r>
          </w:p>
          <w:p w14:paraId="53BA0B30" w14:textId="77777777" w:rsidR="00C041AF" w:rsidRPr="00C9357C" w:rsidRDefault="00C041AF" w:rsidP="008505D7">
            <w:pPr>
              <w:numPr>
                <w:ilvl w:val="0"/>
                <w:numId w:val="169"/>
              </w:numPr>
              <w:spacing w:line="259" w:lineRule="auto"/>
              <w:ind w:left="889" w:hanging="426"/>
              <w:rPr>
                <w:rFonts w:eastAsia="Times New Roman" w:cs="Segoe UI"/>
                <w:kern w:val="24"/>
                <w:lang w:eastAsia="en-AU"/>
              </w:rPr>
            </w:pPr>
            <w:r w:rsidRPr="00C9357C">
              <w:rPr>
                <w:rFonts w:eastAsia="Times New Roman" w:cs="Segoe UI"/>
                <w:kern w:val="24"/>
                <w:lang w:eastAsia="en-AU"/>
              </w:rPr>
              <w:t>Require multiple approaches and/or multiple data sources, if possible, and a discussion of any inconsistencies in estimates.</w:t>
            </w:r>
          </w:p>
          <w:p w14:paraId="234C15E4" w14:textId="77777777" w:rsidR="00C041AF" w:rsidRPr="00C041AF" w:rsidRDefault="00C041AF" w:rsidP="008505D7">
            <w:pPr>
              <w:numPr>
                <w:ilvl w:val="0"/>
                <w:numId w:val="84"/>
              </w:numPr>
              <w:spacing w:line="259" w:lineRule="auto"/>
              <w:rPr>
                <w:rFonts w:eastAsia="Times New Roman" w:cs="Segoe UI"/>
                <w:lang w:eastAsia="en-AU"/>
              </w:rPr>
            </w:pPr>
            <w:r w:rsidRPr="00C041AF">
              <w:rPr>
                <w:rFonts w:eastAsia="Times New Roman" w:cs="Segoe UI"/>
                <w:lang w:eastAsia="en-AU"/>
              </w:rPr>
              <w:t xml:space="preserve">Methods relating to the use of nonrandomised studies: The use of nonrandomised studies to estimate a treatment effect should be: </w:t>
            </w:r>
          </w:p>
          <w:p w14:paraId="38F0A36C" w14:textId="77777777" w:rsidR="00C041AF" w:rsidRPr="00DB623D" w:rsidRDefault="00C041AF" w:rsidP="008505D7">
            <w:pPr>
              <w:numPr>
                <w:ilvl w:val="0"/>
                <w:numId w:val="85"/>
              </w:numPr>
              <w:spacing w:line="259" w:lineRule="auto"/>
              <w:ind w:left="889"/>
            </w:pPr>
            <w:r w:rsidRPr="00DB623D">
              <w:t xml:space="preserve">well justified, </w:t>
            </w:r>
          </w:p>
          <w:p w14:paraId="02BA26AD" w14:textId="30657622" w:rsidR="00C041AF" w:rsidRPr="00DB623D" w:rsidRDefault="00C041AF" w:rsidP="008505D7">
            <w:pPr>
              <w:numPr>
                <w:ilvl w:val="0"/>
                <w:numId w:val="85"/>
              </w:numPr>
              <w:spacing w:line="259" w:lineRule="auto"/>
              <w:ind w:left="889"/>
            </w:pPr>
            <w:r w:rsidRPr="00DB623D">
              <w:t>prospectively designed (preferably in 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rsidRPr="00DB623D">
              <w:t xml:space="preserve"> with HTA or regulatory scientific advice) </w:t>
            </w:r>
          </w:p>
          <w:p w14:paraId="3A6A766B" w14:textId="77777777" w:rsidR="00C041AF" w:rsidRPr="00DB623D" w:rsidRDefault="00C041AF" w:rsidP="008505D7">
            <w:pPr>
              <w:numPr>
                <w:ilvl w:val="0"/>
                <w:numId w:val="85"/>
              </w:numPr>
              <w:spacing w:line="259" w:lineRule="auto"/>
              <w:ind w:left="889"/>
            </w:pPr>
            <w:r w:rsidRPr="00DB623D">
              <w:t xml:space="preserve">registered, and </w:t>
            </w:r>
          </w:p>
          <w:p w14:paraId="214DA9DD" w14:textId="77777777" w:rsidR="00C041AF" w:rsidRPr="00C041AF" w:rsidRDefault="00C041AF" w:rsidP="008505D7">
            <w:pPr>
              <w:numPr>
                <w:ilvl w:val="0"/>
                <w:numId w:val="85"/>
              </w:numPr>
              <w:spacing w:line="259" w:lineRule="auto"/>
              <w:ind w:left="889"/>
              <w:rPr>
                <w:rFonts w:eastAsia="Times New Roman" w:cs="Segoe UI"/>
                <w:lang w:eastAsia="en-AU"/>
              </w:rPr>
            </w:pPr>
            <w:r w:rsidRPr="00DB623D">
              <w:t>supported by multiple sensitivity analyses and transparently reported</w:t>
            </w:r>
            <w:r w:rsidRPr="00C041AF">
              <w:rPr>
                <w:rFonts w:eastAsia="Times New Roman" w:cs="Segoe UI"/>
                <w:lang w:eastAsia="en-AU"/>
              </w:rPr>
              <w:t>.</w:t>
            </w:r>
          </w:p>
          <w:p w14:paraId="3B7A363D" w14:textId="77777777" w:rsidR="00C041AF" w:rsidRPr="00C041AF" w:rsidRDefault="00C041AF" w:rsidP="008505D7">
            <w:pPr>
              <w:numPr>
                <w:ilvl w:val="0"/>
                <w:numId w:val="84"/>
              </w:numPr>
              <w:spacing w:line="259" w:lineRule="auto"/>
              <w:rPr>
                <w:rFonts w:eastAsia="Times New Roman" w:cs="Segoe UI"/>
                <w:lang w:eastAsia="en-AU"/>
              </w:rPr>
            </w:pPr>
            <w:r w:rsidRPr="00C041AF">
              <w:rPr>
                <w:rFonts w:eastAsia="Times New Roman" w:cs="Segoe UI"/>
                <w:lang w:eastAsia="en-AU"/>
              </w:rPr>
              <w:t xml:space="preserve">Methods relating to adjustment of the treatment effect in the presence of treatment </w:t>
            </w:r>
            <w:proofErr w:type="gramStart"/>
            <w:r w:rsidRPr="00C041AF">
              <w:rPr>
                <w:rFonts w:eastAsia="Times New Roman" w:cs="Segoe UI"/>
                <w:lang w:eastAsia="en-AU"/>
              </w:rPr>
              <w:t>switching</w:t>
            </w:r>
            <w:proofErr w:type="gramEnd"/>
          </w:p>
          <w:p w14:paraId="5A7F896A" w14:textId="57340CEA" w:rsidR="00C041AF" w:rsidRPr="00C041AF" w:rsidRDefault="00C041AF" w:rsidP="008505D7">
            <w:pPr>
              <w:numPr>
                <w:ilvl w:val="0"/>
                <w:numId w:val="86"/>
              </w:numPr>
              <w:spacing w:line="259" w:lineRule="auto"/>
              <w:ind w:left="889"/>
              <w:rPr>
                <w:rFonts w:eastAsia="Times New Roman" w:cs="Segoe UI"/>
                <w:lang w:eastAsia="en-AU"/>
              </w:rPr>
            </w:pPr>
            <w:r w:rsidRPr="00C041AF">
              <w:rPr>
                <w:rFonts w:eastAsia="Times New Roman" w:cs="Segoe UI"/>
                <w:lang w:eastAsia="en-AU"/>
              </w:rPr>
              <w:t>Require multiple methods to be reported to show consistency of the results. This may include alternative approaches (not only methods to adjust for treatment switching) such as translating intermediate endpoints unaffected by treatment switching into final outcomes.</w:t>
            </w:r>
          </w:p>
          <w:p w14:paraId="69C79DBE" w14:textId="77777777" w:rsidR="00C041AF" w:rsidRPr="00C041AF" w:rsidRDefault="00C041AF" w:rsidP="008505D7">
            <w:pPr>
              <w:numPr>
                <w:ilvl w:val="0"/>
                <w:numId w:val="86"/>
              </w:numPr>
              <w:spacing w:line="259" w:lineRule="auto"/>
              <w:ind w:left="889"/>
              <w:rPr>
                <w:rFonts w:eastAsia="Times New Roman" w:cs="Segoe UI"/>
                <w:lang w:eastAsia="en-AU"/>
              </w:rPr>
            </w:pPr>
            <w:r w:rsidRPr="00C041AF">
              <w:rPr>
                <w:rFonts w:eastAsia="Times New Roman" w:cs="Segoe UI"/>
                <w:lang w:eastAsia="en-AU"/>
              </w:rPr>
              <w:t>Require a justification of the use of methods that are not pre-specified in the trial protocol of the key study for the proposed technology.</w:t>
            </w:r>
          </w:p>
          <w:p w14:paraId="29FB73FE" w14:textId="77777777" w:rsidR="00C041AF" w:rsidRPr="00C041AF" w:rsidRDefault="00C041AF" w:rsidP="008505D7">
            <w:pPr>
              <w:numPr>
                <w:ilvl w:val="0"/>
                <w:numId w:val="84"/>
              </w:numPr>
              <w:spacing w:line="259" w:lineRule="auto"/>
              <w:rPr>
                <w:rFonts w:eastAsia="Times New Roman" w:cs="Segoe UI"/>
                <w:lang w:eastAsia="en-AU"/>
              </w:rPr>
            </w:pPr>
            <w:r w:rsidRPr="00C041AF">
              <w:rPr>
                <w:rFonts w:eastAsia="Times New Roman" w:cs="Segoe UI"/>
                <w:lang w:eastAsia="en-AU"/>
              </w:rPr>
              <w:t>Methods relating to the use of RWD and RWE</w:t>
            </w:r>
            <w:r w:rsidRPr="00C041AF">
              <w:rPr>
                <w:rFonts w:eastAsia="Times New Roman" w:cs="Segoe UI"/>
                <w:lang w:eastAsia="en-AU"/>
              </w:rPr>
              <w:fldChar w:fldCharType="begin"/>
            </w:r>
            <w:r w:rsidRPr="00C041AF">
              <w:rPr>
                <w:rFonts w:eastAsia="Times New Roman" w:cs="Segoe UI"/>
                <w:lang w:eastAsia="en-AU"/>
              </w:rPr>
              <w:instrText xml:space="preserve"> XE "real-world </w:instrText>
            </w:r>
            <w:proofErr w:type="spellStart"/>
            <w:r w:rsidRPr="00C041AF">
              <w:rPr>
                <w:rFonts w:eastAsia="Times New Roman" w:cs="Segoe UI"/>
                <w:lang w:eastAsia="en-AU"/>
              </w:rPr>
              <w:instrText>evidence:RWE</w:instrText>
            </w:r>
            <w:proofErr w:type="spellEnd"/>
            <w:r w:rsidRPr="00C041AF">
              <w:rPr>
                <w:rFonts w:eastAsia="Times New Roman" w:cs="Segoe UI"/>
                <w:lang w:eastAsia="en-AU"/>
              </w:rPr>
              <w:instrText xml:space="preserve">" \b </w:instrText>
            </w:r>
            <w:r w:rsidRPr="00C041AF">
              <w:rPr>
                <w:rFonts w:eastAsia="Times New Roman" w:cs="Segoe UI"/>
                <w:lang w:eastAsia="en-AU"/>
              </w:rPr>
              <w:fldChar w:fldCharType="end"/>
            </w:r>
            <w:r w:rsidRPr="00C041AF">
              <w:rPr>
                <w:rFonts w:eastAsia="Times New Roman" w:cs="Segoe UI"/>
                <w:lang w:eastAsia="en-AU"/>
              </w:rPr>
              <w:t xml:space="preserve"> in HTA:</w:t>
            </w:r>
          </w:p>
          <w:p w14:paraId="2E9D9551" w14:textId="77777777" w:rsidR="00C041AF" w:rsidRPr="00C041AF" w:rsidRDefault="00C041AF" w:rsidP="008505D7">
            <w:pPr>
              <w:numPr>
                <w:ilvl w:val="0"/>
                <w:numId w:val="87"/>
              </w:numPr>
              <w:spacing w:line="259" w:lineRule="auto"/>
              <w:ind w:left="889"/>
              <w:rPr>
                <w:rFonts w:eastAsia="Times New Roman" w:cs="Segoe UI"/>
                <w:lang w:eastAsia="en-AU"/>
              </w:rPr>
            </w:pPr>
            <w:r w:rsidRPr="00C041AF">
              <w:rPr>
                <w:rFonts w:eastAsia="Times New Roman" w:cs="Segoe UI"/>
                <w:lang w:eastAsia="en-AU"/>
              </w:rPr>
              <w:t>Greater guidance for the use of RWD and RWE</w:t>
            </w:r>
            <w:r w:rsidRPr="00C041AF">
              <w:rPr>
                <w:rFonts w:eastAsia="Times New Roman" w:cs="Segoe UI"/>
                <w:lang w:eastAsia="en-AU"/>
              </w:rPr>
              <w:fldChar w:fldCharType="begin"/>
            </w:r>
            <w:r w:rsidRPr="00C041AF">
              <w:rPr>
                <w:rFonts w:eastAsia="Times New Roman" w:cs="Segoe UI"/>
                <w:lang w:eastAsia="en-AU"/>
              </w:rPr>
              <w:instrText xml:space="preserve"> XE "real-world </w:instrText>
            </w:r>
            <w:proofErr w:type="spellStart"/>
            <w:r w:rsidRPr="00C041AF">
              <w:rPr>
                <w:rFonts w:eastAsia="Times New Roman" w:cs="Segoe UI"/>
                <w:lang w:eastAsia="en-AU"/>
              </w:rPr>
              <w:instrText>evidence:RWE</w:instrText>
            </w:r>
            <w:proofErr w:type="spellEnd"/>
            <w:r w:rsidRPr="00C041AF">
              <w:rPr>
                <w:rFonts w:eastAsia="Times New Roman" w:cs="Segoe UI"/>
                <w:lang w:eastAsia="en-AU"/>
              </w:rPr>
              <w:instrText xml:space="preserve">" \b </w:instrText>
            </w:r>
            <w:r w:rsidRPr="00C041AF">
              <w:rPr>
                <w:rFonts w:eastAsia="Times New Roman" w:cs="Segoe UI"/>
                <w:lang w:eastAsia="en-AU"/>
              </w:rPr>
              <w:fldChar w:fldCharType="end"/>
            </w:r>
            <w:r w:rsidRPr="00C041AF">
              <w:rPr>
                <w:rFonts w:eastAsia="Times New Roman" w:cs="Segoe UI"/>
                <w:lang w:eastAsia="en-AU"/>
              </w:rPr>
              <w:t xml:space="preserve"> in HTA is required. As well as a curated list of methods that may be used to generate RWE</w:t>
            </w:r>
            <w:r w:rsidRPr="00C041AF">
              <w:rPr>
                <w:rFonts w:eastAsia="Times New Roman" w:cs="Segoe UI"/>
                <w:lang w:eastAsia="en-AU"/>
              </w:rPr>
              <w:fldChar w:fldCharType="begin"/>
            </w:r>
            <w:r w:rsidRPr="00C041AF">
              <w:rPr>
                <w:rFonts w:eastAsia="Times New Roman" w:cs="Segoe UI"/>
                <w:lang w:eastAsia="en-AU"/>
              </w:rPr>
              <w:instrText xml:space="preserve"> XE "real-world </w:instrText>
            </w:r>
            <w:proofErr w:type="spellStart"/>
            <w:r w:rsidRPr="00C041AF">
              <w:rPr>
                <w:rFonts w:eastAsia="Times New Roman" w:cs="Segoe UI"/>
                <w:lang w:eastAsia="en-AU"/>
              </w:rPr>
              <w:instrText>evidence:RWE</w:instrText>
            </w:r>
            <w:proofErr w:type="spellEnd"/>
            <w:r w:rsidRPr="00C041AF">
              <w:rPr>
                <w:rFonts w:eastAsia="Times New Roman" w:cs="Segoe UI"/>
                <w:lang w:eastAsia="en-AU"/>
              </w:rPr>
              <w:instrText xml:space="preserve">" \b </w:instrText>
            </w:r>
            <w:r w:rsidRPr="00C041AF">
              <w:rPr>
                <w:rFonts w:eastAsia="Times New Roman" w:cs="Segoe UI"/>
                <w:lang w:eastAsia="en-AU"/>
              </w:rPr>
              <w:fldChar w:fldCharType="end"/>
            </w:r>
            <w:r w:rsidRPr="00C041AF">
              <w:rPr>
                <w:rFonts w:eastAsia="Times New Roman" w:cs="Segoe UI"/>
                <w:lang w:eastAsia="en-AU"/>
              </w:rPr>
              <w:t>, guidance should consider what data sources would be acceptable for particular purposes (</w:t>
            </w:r>
            <w:proofErr w:type="gramStart"/>
            <w:r w:rsidRPr="00C041AF">
              <w:rPr>
                <w:rFonts w:eastAsia="Times New Roman" w:cs="Segoe UI"/>
                <w:lang w:eastAsia="en-AU"/>
              </w:rPr>
              <w:t>e.g.</w:t>
            </w:r>
            <w:proofErr w:type="gramEnd"/>
            <w:r w:rsidRPr="00C041AF">
              <w:rPr>
                <w:rFonts w:eastAsia="Times New Roman" w:cs="Segoe UI"/>
                <w:lang w:eastAsia="en-AU"/>
              </w:rPr>
              <w:t xml:space="preserve"> costs, utilities, treatment effect). Guidance should also adopt a terminology that defines different sources of RWD more precisely than the umbrella term of “RWD”. </w:t>
            </w:r>
          </w:p>
          <w:p w14:paraId="6E76072F" w14:textId="77777777" w:rsidR="00C041AF" w:rsidRPr="00C041AF" w:rsidRDefault="00C041AF" w:rsidP="008505D7">
            <w:pPr>
              <w:numPr>
                <w:ilvl w:val="0"/>
                <w:numId w:val="87"/>
              </w:numPr>
              <w:spacing w:line="259" w:lineRule="auto"/>
              <w:ind w:left="889"/>
              <w:rPr>
                <w:rFonts w:eastAsia="Times New Roman" w:cs="Segoe UI"/>
                <w:lang w:eastAsia="en-AU"/>
              </w:rPr>
            </w:pPr>
            <w:r w:rsidRPr="00C041AF">
              <w:rPr>
                <w:rFonts w:eastAsia="Times New Roman" w:cs="Segoe UI"/>
                <w:lang w:eastAsia="en-AU"/>
              </w:rPr>
              <w:t>Specific guidance is required regarding the assessment of the quality of the data source, and it may be an option to require a minimum standard of data quality prior to use in HTA.</w:t>
            </w:r>
          </w:p>
          <w:p w14:paraId="40FE9035" w14:textId="77777777" w:rsidR="00C041AF" w:rsidRPr="00C041AF" w:rsidRDefault="00C041AF" w:rsidP="008505D7">
            <w:pPr>
              <w:numPr>
                <w:ilvl w:val="0"/>
                <w:numId w:val="87"/>
              </w:numPr>
              <w:spacing w:line="259" w:lineRule="auto"/>
              <w:ind w:left="889"/>
              <w:rPr>
                <w:rFonts w:eastAsia="Times New Roman" w:cs="Segoe UI"/>
                <w:lang w:eastAsia="en-AU"/>
              </w:rPr>
            </w:pPr>
            <w:r w:rsidRPr="00C041AF">
              <w:rPr>
                <w:rFonts w:eastAsia="Times New Roman" w:cs="Segoe UI"/>
                <w:lang w:eastAsia="en-AU"/>
              </w:rPr>
              <w:t>RWE</w:t>
            </w:r>
            <w:r w:rsidRPr="00C041AF">
              <w:rPr>
                <w:rFonts w:eastAsia="Times New Roman" w:cs="Segoe UI"/>
                <w:lang w:eastAsia="en-AU"/>
              </w:rPr>
              <w:fldChar w:fldCharType="begin"/>
            </w:r>
            <w:r w:rsidRPr="00C041AF">
              <w:rPr>
                <w:rFonts w:eastAsia="Times New Roman" w:cs="Segoe UI"/>
                <w:lang w:eastAsia="en-AU"/>
              </w:rPr>
              <w:instrText xml:space="preserve"> XE "real-world </w:instrText>
            </w:r>
            <w:proofErr w:type="spellStart"/>
            <w:r w:rsidRPr="00C041AF">
              <w:rPr>
                <w:rFonts w:eastAsia="Times New Roman" w:cs="Segoe UI"/>
                <w:lang w:eastAsia="en-AU"/>
              </w:rPr>
              <w:instrText>evidence:RWE</w:instrText>
            </w:r>
            <w:proofErr w:type="spellEnd"/>
            <w:r w:rsidRPr="00C041AF">
              <w:rPr>
                <w:rFonts w:eastAsia="Times New Roman" w:cs="Segoe UI"/>
                <w:lang w:eastAsia="en-AU"/>
              </w:rPr>
              <w:instrText xml:space="preserve">" \b </w:instrText>
            </w:r>
            <w:r w:rsidRPr="00C041AF">
              <w:rPr>
                <w:rFonts w:eastAsia="Times New Roman" w:cs="Segoe UI"/>
                <w:lang w:eastAsia="en-AU"/>
              </w:rPr>
              <w:fldChar w:fldCharType="end"/>
            </w:r>
            <w:r w:rsidRPr="00C041AF">
              <w:rPr>
                <w:rFonts w:eastAsia="Times New Roman" w:cs="Segoe UI"/>
                <w:lang w:eastAsia="en-AU"/>
              </w:rPr>
              <w:t xml:space="preserve"> should not be acceptable to use for the purpose of determining treatment effectiveness of a technology unless the following conditions are met, or there is a strong justification that they cannot be met:</w:t>
            </w:r>
          </w:p>
          <w:p w14:paraId="00EF1E18" w14:textId="42302953" w:rsidR="00C041AF" w:rsidRPr="00C041AF" w:rsidRDefault="00142B7E" w:rsidP="008505D7">
            <w:pPr>
              <w:numPr>
                <w:ilvl w:val="0"/>
                <w:numId w:val="88"/>
              </w:numPr>
              <w:spacing w:line="259" w:lineRule="auto"/>
              <w:ind w:left="1456" w:hanging="357"/>
              <w:rPr>
                <w:rFonts w:eastAsia="Times New Roman" w:cs="Segoe UI"/>
                <w:lang w:eastAsia="en-AU"/>
              </w:rPr>
            </w:pPr>
            <w:r>
              <w:rPr>
                <w:rFonts w:eastAsia="Times New Roman" w:cs="Segoe UI"/>
                <w:lang w:eastAsia="en-AU"/>
              </w:rPr>
              <w:lastRenderedPageBreak/>
              <w:t>t</w:t>
            </w:r>
            <w:r w:rsidR="00C041AF" w:rsidRPr="00C041AF">
              <w:rPr>
                <w:rFonts w:eastAsia="Times New Roman" w:cs="Segoe UI"/>
                <w:lang w:eastAsia="en-AU"/>
              </w:rPr>
              <w:t xml:space="preserve">he technology is for use in a population with </w:t>
            </w:r>
            <w:r w:rsidR="00154B8D">
              <w:rPr>
                <w:rFonts w:eastAsia="Times New Roman" w:cs="Segoe UI"/>
                <w:lang w:eastAsia="en-AU"/>
              </w:rPr>
              <w:t>HUCN</w:t>
            </w:r>
            <w:r w:rsidR="00D027D9">
              <w:rPr>
                <w:rFonts w:eastAsia="Times New Roman" w:cs="Segoe UI"/>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lang w:eastAsia="en-AU"/>
              </w:rPr>
              <w:fldChar w:fldCharType="end"/>
            </w:r>
          </w:p>
          <w:p w14:paraId="70623437" w14:textId="7E3FC4E0" w:rsidR="00C041AF" w:rsidRPr="00C041AF" w:rsidRDefault="00142B7E" w:rsidP="008505D7">
            <w:pPr>
              <w:numPr>
                <w:ilvl w:val="0"/>
                <w:numId w:val="88"/>
              </w:numPr>
              <w:spacing w:line="259" w:lineRule="auto"/>
              <w:ind w:left="1456" w:hanging="357"/>
              <w:rPr>
                <w:rFonts w:eastAsia="Times New Roman" w:cs="Segoe UI"/>
                <w:lang w:eastAsia="en-AU"/>
              </w:rPr>
            </w:pPr>
            <w:r>
              <w:rPr>
                <w:rFonts w:eastAsia="Times New Roman" w:cs="Segoe UI"/>
                <w:lang w:eastAsia="en-AU"/>
              </w:rPr>
              <w:t>h</w:t>
            </w:r>
            <w:r w:rsidR="00C041AF" w:rsidRPr="00C041AF">
              <w:rPr>
                <w:rFonts w:eastAsia="Times New Roman" w:cs="Segoe UI"/>
                <w:lang w:eastAsia="en-AU"/>
              </w:rPr>
              <w:t xml:space="preserve">igher quality evidence cannot be generated, or will not be generated in a timely </w:t>
            </w:r>
            <w:proofErr w:type="gramStart"/>
            <w:r w:rsidR="00C041AF" w:rsidRPr="00C041AF">
              <w:rPr>
                <w:rFonts w:eastAsia="Times New Roman" w:cs="Segoe UI"/>
                <w:lang w:eastAsia="en-AU"/>
              </w:rPr>
              <w:t>fashion</w:t>
            </w:r>
            <w:proofErr w:type="gramEnd"/>
          </w:p>
          <w:p w14:paraId="027A1659" w14:textId="0D0B5D87" w:rsidR="00C041AF" w:rsidRDefault="00142B7E" w:rsidP="008505D7">
            <w:pPr>
              <w:numPr>
                <w:ilvl w:val="0"/>
                <w:numId w:val="88"/>
              </w:numPr>
              <w:spacing w:line="259" w:lineRule="auto"/>
              <w:ind w:left="1456" w:hanging="357"/>
              <w:rPr>
                <w:rFonts w:eastAsia="Times New Roman" w:cs="Segoe UI"/>
                <w:lang w:eastAsia="en-AU"/>
              </w:rPr>
            </w:pPr>
            <w:r>
              <w:rPr>
                <w:rFonts w:eastAsia="Times New Roman" w:cs="Segoe UI"/>
                <w:lang w:eastAsia="en-AU"/>
              </w:rPr>
              <w:t>m</w:t>
            </w:r>
            <w:r w:rsidR="00C041AF" w:rsidRPr="00C041AF">
              <w:rPr>
                <w:rFonts w:eastAsia="Times New Roman" w:cs="Segoe UI"/>
                <w:lang w:eastAsia="en-AU"/>
              </w:rPr>
              <w:t>ultiple sources of RWE</w:t>
            </w:r>
            <w:r w:rsidR="00C041AF" w:rsidRPr="00C041AF">
              <w:rPr>
                <w:rFonts w:eastAsia="Times New Roman" w:cs="Segoe UI"/>
                <w:lang w:eastAsia="en-AU"/>
              </w:rPr>
              <w:fldChar w:fldCharType="begin"/>
            </w:r>
            <w:r w:rsidR="00C041AF" w:rsidRPr="00C041AF">
              <w:rPr>
                <w:rFonts w:eastAsia="Times New Roman" w:cs="Segoe UI"/>
                <w:lang w:eastAsia="en-AU"/>
              </w:rPr>
              <w:instrText xml:space="preserve"> XE "real-world </w:instrText>
            </w:r>
            <w:proofErr w:type="spellStart"/>
            <w:r w:rsidR="00C041AF" w:rsidRPr="00C041AF">
              <w:rPr>
                <w:rFonts w:eastAsia="Times New Roman" w:cs="Segoe UI"/>
                <w:lang w:eastAsia="en-AU"/>
              </w:rPr>
              <w:instrText>evidence:RWE</w:instrText>
            </w:r>
            <w:proofErr w:type="spellEnd"/>
            <w:r w:rsidR="00C041AF" w:rsidRPr="00C041AF">
              <w:rPr>
                <w:rFonts w:eastAsia="Times New Roman" w:cs="Segoe UI"/>
                <w:lang w:eastAsia="en-AU"/>
              </w:rPr>
              <w:instrText xml:space="preserve">" \b </w:instrText>
            </w:r>
            <w:r w:rsidR="00C041AF" w:rsidRPr="00C041AF">
              <w:rPr>
                <w:rFonts w:eastAsia="Times New Roman" w:cs="Segoe UI"/>
                <w:lang w:eastAsia="en-AU"/>
              </w:rPr>
              <w:fldChar w:fldCharType="end"/>
            </w:r>
            <w:r w:rsidR="00C041AF" w:rsidRPr="00C041AF">
              <w:rPr>
                <w:rFonts w:eastAsia="Times New Roman" w:cs="Segoe UI"/>
                <w:lang w:eastAsia="en-AU"/>
              </w:rPr>
              <w:t xml:space="preserve"> are presented (including both methods of generating RWE</w:t>
            </w:r>
            <w:r w:rsidR="00C041AF" w:rsidRPr="00C041AF">
              <w:rPr>
                <w:rFonts w:eastAsia="Times New Roman" w:cs="Segoe UI"/>
                <w:lang w:eastAsia="en-AU"/>
              </w:rPr>
              <w:fldChar w:fldCharType="begin"/>
            </w:r>
            <w:r w:rsidR="00C041AF" w:rsidRPr="00C041AF">
              <w:rPr>
                <w:rFonts w:eastAsia="Times New Roman" w:cs="Segoe UI"/>
                <w:lang w:eastAsia="en-AU"/>
              </w:rPr>
              <w:instrText xml:space="preserve"> XE "real-world </w:instrText>
            </w:r>
            <w:proofErr w:type="spellStart"/>
            <w:r w:rsidR="00C041AF" w:rsidRPr="00C041AF">
              <w:rPr>
                <w:rFonts w:eastAsia="Times New Roman" w:cs="Segoe UI"/>
                <w:lang w:eastAsia="en-AU"/>
              </w:rPr>
              <w:instrText>evidence:RWE</w:instrText>
            </w:r>
            <w:proofErr w:type="spellEnd"/>
            <w:r w:rsidR="00C041AF" w:rsidRPr="00C041AF">
              <w:rPr>
                <w:rFonts w:eastAsia="Times New Roman" w:cs="Segoe UI"/>
                <w:lang w:eastAsia="en-AU"/>
              </w:rPr>
              <w:instrText xml:space="preserve">" \b </w:instrText>
            </w:r>
            <w:r w:rsidR="00C041AF" w:rsidRPr="00C041AF">
              <w:rPr>
                <w:rFonts w:eastAsia="Times New Roman" w:cs="Segoe UI"/>
                <w:lang w:eastAsia="en-AU"/>
              </w:rPr>
              <w:fldChar w:fldCharType="end"/>
            </w:r>
            <w:r w:rsidR="00C041AF" w:rsidRPr="00C041AF">
              <w:rPr>
                <w:rFonts w:eastAsia="Times New Roman" w:cs="Segoe UI"/>
                <w:lang w:eastAsia="en-AU"/>
              </w:rPr>
              <w:t xml:space="preserve"> from a source, and multiple RWD sources)</w:t>
            </w:r>
            <w:r>
              <w:rPr>
                <w:rFonts w:eastAsia="Times New Roman" w:cs="Segoe UI"/>
                <w:lang w:eastAsia="en-AU"/>
              </w:rPr>
              <w:t>, and</w:t>
            </w:r>
          </w:p>
          <w:p w14:paraId="356B82A3" w14:textId="317C8147" w:rsidR="00AD2B3C" w:rsidRPr="00E535E3" w:rsidRDefault="00142B7E" w:rsidP="008505D7">
            <w:pPr>
              <w:numPr>
                <w:ilvl w:val="0"/>
                <w:numId w:val="88"/>
              </w:numPr>
              <w:spacing w:line="259" w:lineRule="auto"/>
              <w:ind w:left="1456" w:hanging="357"/>
              <w:rPr>
                <w:rFonts w:eastAsia="Times New Roman" w:cs="Segoe UI"/>
                <w:lang w:eastAsia="en-AU"/>
              </w:rPr>
            </w:pPr>
            <w:r>
              <w:rPr>
                <w:rFonts w:eastAsia="Times New Roman" w:cs="Segoe UI"/>
                <w:lang w:eastAsia="en-AU"/>
              </w:rPr>
              <w:t>t</w:t>
            </w:r>
            <w:r w:rsidR="006872AE" w:rsidRPr="00C041AF">
              <w:rPr>
                <w:rFonts w:eastAsia="Times New Roman" w:cs="Segoe UI"/>
                <w:lang w:eastAsia="en-AU"/>
              </w:rPr>
              <w:t>he use of RWE</w:t>
            </w:r>
            <w:r w:rsidR="006872AE" w:rsidRPr="00C041AF">
              <w:rPr>
                <w:rFonts w:eastAsia="Times New Roman" w:cs="Segoe UI"/>
                <w:lang w:eastAsia="en-AU"/>
              </w:rPr>
              <w:fldChar w:fldCharType="begin"/>
            </w:r>
            <w:r w:rsidR="006872AE" w:rsidRPr="00C041AF">
              <w:rPr>
                <w:rFonts w:eastAsia="Times New Roman" w:cs="Segoe UI"/>
                <w:lang w:eastAsia="en-AU"/>
              </w:rPr>
              <w:instrText xml:space="preserve"> XE "real-world </w:instrText>
            </w:r>
            <w:proofErr w:type="spellStart"/>
            <w:r w:rsidR="006872AE" w:rsidRPr="00C041AF">
              <w:rPr>
                <w:rFonts w:eastAsia="Times New Roman" w:cs="Segoe UI"/>
                <w:lang w:eastAsia="en-AU"/>
              </w:rPr>
              <w:instrText>evidence:RWE</w:instrText>
            </w:r>
            <w:proofErr w:type="spellEnd"/>
            <w:r w:rsidR="006872AE" w:rsidRPr="00C041AF">
              <w:rPr>
                <w:rFonts w:eastAsia="Times New Roman" w:cs="Segoe UI"/>
                <w:lang w:eastAsia="en-AU"/>
              </w:rPr>
              <w:instrText xml:space="preserve">" \b </w:instrText>
            </w:r>
            <w:r w:rsidR="006872AE" w:rsidRPr="00C041AF">
              <w:rPr>
                <w:rFonts w:eastAsia="Times New Roman" w:cs="Segoe UI"/>
                <w:lang w:eastAsia="en-AU"/>
              </w:rPr>
              <w:fldChar w:fldCharType="end"/>
            </w:r>
            <w:r w:rsidR="006872AE" w:rsidRPr="00C041AF">
              <w:rPr>
                <w:rFonts w:eastAsia="Times New Roman" w:cs="Segoe UI"/>
                <w:lang w:eastAsia="en-AU"/>
              </w:rPr>
              <w:t xml:space="preserve"> is prespecified in the study protocol for the proposed technology</w:t>
            </w:r>
            <w:r w:rsidRPr="00C041AF">
              <w:rPr>
                <w:rFonts w:eastAsia="Times New Roman" w:cs="Segoe UI"/>
                <w:lang w:eastAsia="en-AU"/>
              </w:rPr>
              <w:t>.</w:t>
            </w:r>
          </w:p>
        </w:tc>
      </w:tr>
    </w:tbl>
    <w:p w14:paraId="5A833303" w14:textId="77777777" w:rsidR="003C1CAE" w:rsidRDefault="003C1CAE" w:rsidP="0036199B"/>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3C1CAE" w14:paraId="4C807002" w14:textId="77777777" w:rsidTr="007C2053">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1315F27" w14:textId="613574E0" w:rsidR="003C1CAE" w:rsidRPr="00613D35" w:rsidRDefault="003C1CAE" w:rsidP="008C10BB">
            <w:pPr>
              <w:spacing w:after="120" w:line="259" w:lineRule="auto"/>
              <w:rPr>
                <w:rFonts w:eastAsia="Times New Roman" w:cs="Segoe UI"/>
                <w:b/>
                <w:bCs/>
                <w:lang w:eastAsia="en-AU"/>
              </w:rPr>
            </w:pPr>
            <w:r w:rsidRPr="003C1CAE">
              <w:rPr>
                <w:rFonts w:eastAsia="Times New Roman" w:cs="Segoe UI"/>
                <w:b/>
                <w:bCs/>
                <w:lang w:eastAsia="en-AU"/>
              </w:rPr>
              <w:t xml:space="preserve">Methods for the assessment of surrogate endpoints </w:t>
            </w:r>
          </w:p>
          <w:p w14:paraId="68874CED" w14:textId="01AB32BC" w:rsidR="4CF00602" w:rsidRPr="003558E3" w:rsidRDefault="4CF00602" w:rsidP="008C10BB">
            <w:pPr>
              <w:spacing w:line="259" w:lineRule="auto"/>
            </w:pPr>
            <w:r w:rsidRPr="003558E3">
              <w:rPr>
                <w:rFonts w:eastAsia="Segoe UI" w:cs="Segoe UI"/>
                <w:color w:val="000000" w:themeColor="text1"/>
              </w:rPr>
              <w:t xml:space="preserve">Implement the options relating to the methods relating to the use of surrogate endpoints as outlined in the </w:t>
            </w:r>
            <w:hyperlink r:id="rId162" w:anchor="page=164">
              <w:r w:rsidRPr="003558E3">
                <w:rPr>
                  <w:rStyle w:val="Hyperlink"/>
                  <w:rFonts w:eastAsia="Segoe UI" w:cs="Segoe UI"/>
                </w:rPr>
                <w:t>HTA Review Paper on Clinical Evaluation Methods in HTA</w:t>
              </w:r>
            </w:hyperlink>
            <w:r w:rsidRPr="003558E3">
              <w:rPr>
                <w:rFonts w:eastAsia="Segoe UI" w:cs="Segoe UI"/>
                <w:color w:val="000000" w:themeColor="text1"/>
              </w:rPr>
              <w:t xml:space="preserve"> in line with the overarching principles mentioned above. Namely: </w:t>
            </w:r>
          </w:p>
          <w:p w14:paraId="1A857139" w14:textId="4432CF36" w:rsidR="28FFCD61" w:rsidRDefault="28FFCD61" w:rsidP="008C10BB">
            <w:pPr>
              <w:spacing w:after="120" w:line="259" w:lineRule="auto"/>
              <w:rPr>
                <w:rFonts w:eastAsia="Times New Roman" w:cs="Segoe UI"/>
                <w:lang w:eastAsia="en-AU"/>
              </w:rPr>
            </w:pPr>
          </w:p>
          <w:p w14:paraId="684127F9" w14:textId="6D868621" w:rsidR="00D20D18" w:rsidRDefault="00D20D18" w:rsidP="008505D7">
            <w:pPr>
              <w:numPr>
                <w:ilvl w:val="0"/>
                <w:numId w:val="89"/>
              </w:numPr>
              <w:spacing w:line="259" w:lineRule="auto"/>
              <w:rPr>
                <w:rFonts w:eastAsia="Times New Roman" w:cs="Segoe UI"/>
                <w:lang w:eastAsia="en-AU"/>
              </w:rPr>
            </w:pPr>
            <w:r w:rsidRPr="00E6762F">
              <w:rPr>
                <w:rFonts w:eastAsia="Times New Roman" w:cs="Segoe UI"/>
                <w:lang w:eastAsia="en-AU"/>
              </w:rPr>
              <w:t>Guidance for the use of surrogate endpoints in HTA should include circumstances where surrogates would be acceptable (and may include a list of previously accepted surrogate endpoints paired with use cases). Guidance should also revisit methods required to validate surrogates to ensure they are achievable by industry and include methods for describing the uncertainty in the use of surrogate endpoints, particularly where surrogate relationships are used in combination with other methods (such as indirect comparisons or model extrapolation) where uncertainty may be substantially increased.</w:t>
            </w:r>
          </w:p>
          <w:p w14:paraId="6E1C3DEC" w14:textId="617D274A" w:rsidR="00D20D18" w:rsidRPr="00DB623D" w:rsidRDefault="00D20D18" w:rsidP="008505D7">
            <w:pPr>
              <w:numPr>
                <w:ilvl w:val="0"/>
                <w:numId w:val="89"/>
              </w:numPr>
              <w:spacing w:line="259" w:lineRule="auto"/>
              <w:rPr>
                <w:rFonts w:eastAsia="Times New Roman" w:cs="Segoe UI"/>
                <w:lang w:eastAsia="en-AU"/>
              </w:rPr>
            </w:pPr>
            <w:r w:rsidRPr="00E6762F">
              <w:rPr>
                <w:rFonts w:eastAsia="Times New Roman" w:cs="Segoe UI"/>
                <w:lang w:eastAsia="en-AU"/>
              </w:rPr>
              <w:t>Guidance for the evaluation of evidence using surrogate endpoints is required and should include methods for identifying the use of surrogates in submissions (as surrogate relationships can be implicit in economic models but not adequately presented for clinical evaluation).</w:t>
            </w:r>
          </w:p>
        </w:tc>
      </w:tr>
    </w:tbl>
    <w:p w14:paraId="04DB8FE9" w14:textId="77777777" w:rsidR="00EC7978" w:rsidRDefault="00EC7978" w:rsidP="00E61E42">
      <w:pPr>
        <w:spacing w:after="0"/>
        <w:rPr>
          <w:rFonts w:eastAsia="Segoe UI" w:cs="Segoe UI"/>
          <w:color w:val="11427A"/>
        </w:rPr>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EC7978" w14:paraId="3CE78572" w14:textId="77777777" w:rsidTr="00810054">
        <w:trPr>
          <w:trHeight w:val="551"/>
        </w:trPr>
        <w:tc>
          <w:tcPr>
            <w:tcW w:w="9367" w:type="dxa"/>
            <w:tcBorders>
              <w:top w:val="single" w:sz="18" w:space="0" w:color="ACC02A" w:themeColor="accent5"/>
              <w:left w:val="nil"/>
              <w:bottom w:val="nil"/>
              <w:right w:val="nil"/>
            </w:tcBorders>
            <w:shd w:val="clear" w:color="auto" w:fill="F2F2F2" w:themeFill="background1" w:themeFillShade="F2"/>
          </w:tcPr>
          <w:p w14:paraId="68774BE9" w14:textId="2F17700B" w:rsidR="00EC7978" w:rsidRPr="00613D35" w:rsidRDefault="00EC7978" w:rsidP="008C10BB">
            <w:pPr>
              <w:spacing w:after="120" w:line="259" w:lineRule="auto"/>
              <w:rPr>
                <w:rFonts w:eastAsia="Times New Roman" w:cs="Segoe UI"/>
                <w:b/>
                <w:bCs/>
                <w:lang w:eastAsia="en-AU"/>
              </w:rPr>
            </w:pPr>
            <w:r w:rsidRPr="00EC7978">
              <w:rPr>
                <w:rFonts w:eastAsia="Times New Roman" w:cs="Segoe UI"/>
                <w:b/>
                <w:bCs/>
                <w:lang w:eastAsia="en-AU"/>
              </w:rPr>
              <w:t>Generate a curated list of methodologies that are preferred by decision-makers, in collaboration</w:t>
            </w:r>
            <w:r w:rsidR="00306661">
              <w:rPr>
                <w:rFonts w:eastAsia="Times New Roman" w:cs="Segoe UI"/>
                <w:b/>
                <w:bCs/>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b/>
                <w:bCs/>
                <w:lang w:eastAsia="en-AU"/>
              </w:rPr>
              <w:fldChar w:fldCharType="end"/>
            </w:r>
            <w:r w:rsidRPr="00EC7978">
              <w:rPr>
                <w:rFonts w:eastAsia="Times New Roman" w:cs="Segoe UI"/>
                <w:b/>
                <w:bCs/>
                <w:lang w:eastAsia="en-AU"/>
              </w:rPr>
              <w:t xml:space="preserve"> with evaluation groups and </w:t>
            </w:r>
            <w:proofErr w:type="gramStart"/>
            <w:r w:rsidRPr="00EC7978">
              <w:rPr>
                <w:rFonts w:eastAsia="Times New Roman" w:cs="Segoe UI"/>
                <w:b/>
                <w:bCs/>
                <w:lang w:eastAsia="en-AU"/>
              </w:rPr>
              <w:t>sponsors</w:t>
            </w:r>
            <w:proofErr w:type="gramEnd"/>
            <w:r w:rsidRPr="003C1CAE">
              <w:rPr>
                <w:rFonts w:eastAsia="Times New Roman" w:cs="Segoe UI"/>
                <w:b/>
                <w:bCs/>
                <w:lang w:eastAsia="en-AU"/>
              </w:rPr>
              <w:t xml:space="preserve"> </w:t>
            </w:r>
          </w:p>
          <w:p w14:paraId="4308D613" w14:textId="77777777" w:rsidR="00EC7978" w:rsidRPr="00DB623D" w:rsidRDefault="00EC7978" w:rsidP="008505D7">
            <w:pPr>
              <w:pStyle w:val="ListParagraph"/>
              <w:numPr>
                <w:ilvl w:val="0"/>
                <w:numId w:val="95"/>
              </w:numPr>
              <w:spacing w:after="120" w:line="259" w:lineRule="auto"/>
              <w:ind w:left="274"/>
              <w:rPr>
                <w:rFonts w:eastAsia="Times New Roman" w:cs="Segoe UI"/>
                <w:lang w:eastAsia="en-AU"/>
              </w:rPr>
            </w:pPr>
            <w:r w:rsidRPr="00DB623D">
              <w:rPr>
                <w:rFonts w:eastAsia="Times New Roman" w:cs="Segoe UI"/>
                <w:lang w:eastAsia="en-AU"/>
              </w:rPr>
              <w:t>For each method in the list, create a brief guidance paper that includes the following:</w:t>
            </w:r>
          </w:p>
          <w:p w14:paraId="4509814D" w14:textId="77777777" w:rsidR="00EC7978" w:rsidRPr="00DB623D" w:rsidRDefault="00EC7978" w:rsidP="008505D7">
            <w:pPr>
              <w:pStyle w:val="ListParagraph"/>
              <w:numPr>
                <w:ilvl w:val="0"/>
                <w:numId w:val="96"/>
              </w:numPr>
              <w:spacing w:line="259" w:lineRule="auto"/>
              <w:ind w:left="782" w:hanging="425"/>
              <w:rPr>
                <w:rFonts w:eastAsia="Times New Roman" w:cs="Segoe UI"/>
                <w:color w:val="222A35"/>
                <w:kern w:val="24"/>
                <w:lang w:eastAsia="en-AU"/>
              </w:rPr>
            </w:pPr>
            <w:r w:rsidRPr="00DB623D">
              <w:rPr>
                <w:rFonts w:eastAsia="Times New Roman" w:cs="Segoe UI"/>
                <w:color w:val="222A35"/>
                <w:kern w:val="24"/>
                <w:lang w:eastAsia="en-AU"/>
              </w:rPr>
              <w:t>Description of the method including links to key peer-reviewed articles</w:t>
            </w:r>
          </w:p>
          <w:p w14:paraId="18B23E1E" w14:textId="77777777" w:rsidR="00EC7978" w:rsidRPr="00DB623D" w:rsidRDefault="00EC7978" w:rsidP="008505D7">
            <w:pPr>
              <w:pStyle w:val="ListParagraph"/>
              <w:numPr>
                <w:ilvl w:val="0"/>
                <w:numId w:val="96"/>
              </w:numPr>
              <w:spacing w:line="259" w:lineRule="auto"/>
              <w:ind w:left="782" w:hanging="425"/>
              <w:rPr>
                <w:rFonts w:eastAsia="Times New Roman" w:cs="Segoe UI"/>
                <w:color w:val="222A35"/>
                <w:kern w:val="24"/>
                <w:lang w:eastAsia="en-AU"/>
              </w:rPr>
            </w:pPr>
            <w:r w:rsidRPr="00DB623D">
              <w:rPr>
                <w:rFonts w:eastAsia="Times New Roman" w:cs="Segoe UI"/>
                <w:color w:val="222A35"/>
                <w:kern w:val="24"/>
                <w:lang w:eastAsia="en-AU"/>
              </w:rPr>
              <w:t>Guidance for sponsors or evaluation groups on the presentation of the method and results in a submission or assessment report (including a checklist of what data may be required to validate the method) to ensure transparency</w:t>
            </w:r>
            <w:r w:rsidRPr="00DB623D">
              <w:rPr>
                <w:rFonts w:eastAsia="Times New Roman" w:cs="Segoe UI"/>
                <w:color w:val="222A35"/>
                <w:kern w:val="24"/>
                <w:lang w:eastAsia="en-AU"/>
              </w:rPr>
              <w:fldChar w:fldCharType="begin"/>
            </w:r>
            <w:r w:rsidRPr="00DB623D">
              <w:rPr>
                <w:rFonts w:eastAsia="Times New Roman" w:cs="Segoe UI"/>
                <w:color w:val="222A35"/>
                <w:kern w:val="24"/>
                <w:lang w:eastAsia="en-AU"/>
              </w:rPr>
              <w:instrText xml:space="preserve"> XE "transparency" </w:instrText>
            </w:r>
            <w:r w:rsidRPr="00DB623D">
              <w:rPr>
                <w:rFonts w:eastAsia="Times New Roman" w:cs="Segoe UI"/>
                <w:color w:val="222A35"/>
                <w:kern w:val="24"/>
                <w:lang w:eastAsia="en-AU"/>
              </w:rPr>
              <w:fldChar w:fldCharType="end"/>
            </w:r>
            <w:r w:rsidRPr="00DB623D">
              <w:rPr>
                <w:rFonts w:eastAsia="Times New Roman" w:cs="Segoe UI"/>
                <w:color w:val="222A35"/>
                <w:kern w:val="24"/>
                <w:lang w:eastAsia="en-AU"/>
              </w:rPr>
              <w:t>.</w:t>
            </w:r>
          </w:p>
          <w:p w14:paraId="0905C1E5" w14:textId="77777777" w:rsidR="00EC7978" w:rsidRPr="00DB623D" w:rsidRDefault="00EC7978" w:rsidP="008505D7">
            <w:pPr>
              <w:pStyle w:val="ListParagraph"/>
              <w:numPr>
                <w:ilvl w:val="0"/>
                <w:numId w:val="96"/>
              </w:numPr>
              <w:spacing w:line="259" w:lineRule="auto"/>
              <w:ind w:left="782" w:hanging="425"/>
              <w:rPr>
                <w:rFonts w:eastAsia="Times New Roman" w:cs="Segoe UI"/>
                <w:color w:val="222A35"/>
                <w:kern w:val="24"/>
                <w:lang w:eastAsia="en-AU"/>
              </w:rPr>
            </w:pPr>
            <w:r w:rsidRPr="00DB623D">
              <w:rPr>
                <w:rFonts w:eastAsia="Times New Roman" w:cs="Segoe UI"/>
                <w:color w:val="222A35"/>
                <w:kern w:val="24"/>
                <w:lang w:eastAsia="en-AU"/>
              </w:rPr>
              <w:lastRenderedPageBreak/>
              <w:t>Guidance for evaluation groups on how to evaluate the results generated by a method, and how to present uncertainty and the impact of the uncertainty on risk faced by decision-makers.</w:t>
            </w:r>
          </w:p>
          <w:p w14:paraId="3CEC1C1F" w14:textId="77777777" w:rsidR="00EC7978" w:rsidRPr="00DB623D" w:rsidRDefault="00EC7978" w:rsidP="008505D7">
            <w:pPr>
              <w:pStyle w:val="ListParagraph"/>
              <w:numPr>
                <w:ilvl w:val="0"/>
                <w:numId w:val="96"/>
              </w:numPr>
              <w:spacing w:line="259" w:lineRule="auto"/>
              <w:ind w:left="782" w:hanging="425"/>
              <w:rPr>
                <w:rFonts w:eastAsia="Times New Roman" w:cs="Segoe UI"/>
                <w:color w:val="222A35"/>
                <w:kern w:val="24"/>
                <w:lang w:eastAsia="en-AU"/>
              </w:rPr>
            </w:pPr>
            <w:r w:rsidRPr="00DB623D">
              <w:rPr>
                <w:rFonts w:eastAsia="Times New Roman" w:cs="Segoe UI"/>
                <w:color w:val="222A35"/>
                <w:kern w:val="24"/>
                <w:lang w:eastAsia="en-AU"/>
              </w:rPr>
              <w:t>Brief explanation for the decision-making committees about how to interpret the results derived by a method.</w:t>
            </w:r>
          </w:p>
          <w:p w14:paraId="48FFB85D" w14:textId="77777777" w:rsidR="00EC7978" w:rsidRPr="00DB623D" w:rsidRDefault="00EC7978" w:rsidP="008505D7">
            <w:pPr>
              <w:pStyle w:val="ListParagraph"/>
              <w:numPr>
                <w:ilvl w:val="0"/>
                <w:numId w:val="96"/>
              </w:numPr>
              <w:spacing w:line="259" w:lineRule="auto"/>
              <w:ind w:left="782" w:hanging="425"/>
              <w:rPr>
                <w:rFonts w:eastAsia="Times New Roman" w:cs="Segoe UI"/>
                <w:color w:val="222A35"/>
                <w:kern w:val="24"/>
                <w:lang w:eastAsia="en-AU"/>
              </w:rPr>
            </w:pPr>
            <w:r w:rsidRPr="00DB623D">
              <w:rPr>
                <w:rFonts w:eastAsia="Times New Roman" w:cs="Segoe UI"/>
                <w:color w:val="222A35"/>
                <w:kern w:val="24"/>
                <w:lang w:eastAsia="en-AU"/>
              </w:rPr>
              <w:t xml:space="preserve">Brief lay explanation of the method for the benefit of patients, </w:t>
            </w:r>
            <w:proofErr w:type="gramStart"/>
            <w:r w:rsidRPr="00DB623D">
              <w:rPr>
                <w:rFonts w:eastAsia="Times New Roman" w:cs="Segoe UI"/>
                <w:color w:val="222A35"/>
                <w:kern w:val="24"/>
                <w:lang w:eastAsia="en-AU"/>
              </w:rPr>
              <w:t>clinicians</w:t>
            </w:r>
            <w:proofErr w:type="gramEnd"/>
            <w:r w:rsidRPr="00DB623D">
              <w:rPr>
                <w:rFonts w:eastAsia="Times New Roman" w:cs="Segoe UI"/>
                <w:color w:val="222A35"/>
                <w:kern w:val="24"/>
                <w:lang w:eastAsia="en-AU"/>
              </w:rPr>
              <w:t xml:space="preserve"> and the broader public.</w:t>
            </w:r>
          </w:p>
          <w:p w14:paraId="739DBB90" w14:textId="77777777" w:rsidR="00EC7978" w:rsidRPr="00DB623D" w:rsidRDefault="00EC7978" w:rsidP="008505D7">
            <w:pPr>
              <w:pStyle w:val="ListParagraph"/>
              <w:numPr>
                <w:ilvl w:val="0"/>
                <w:numId w:val="95"/>
              </w:numPr>
              <w:spacing w:after="120" w:line="259" w:lineRule="auto"/>
              <w:ind w:left="274"/>
              <w:rPr>
                <w:rFonts w:eastAsia="Times New Roman" w:cs="Segoe UI"/>
                <w:lang w:eastAsia="en-AU"/>
              </w:rPr>
            </w:pPr>
            <w:r w:rsidRPr="00DB623D">
              <w:rPr>
                <w:rFonts w:eastAsia="Times New Roman" w:cs="Segoe UI"/>
                <w:lang w:eastAsia="en-AU"/>
              </w:rPr>
              <w:t>Provide training and guidance to evaluation groups when adopting new methods.</w:t>
            </w:r>
          </w:p>
          <w:p w14:paraId="5C7CDAEC" w14:textId="6EDEC7A3" w:rsidR="00EC7978" w:rsidRPr="00DB623D" w:rsidRDefault="00EC7978" w:rsidP="008505D7">
            <w:pPr>
              <w:pStyle w:val="ListParagraph"/>
              <w:numPr>
                <w:ilvl w:val="0"/>
                <w:numId w:val="95"/>
              </w:numPr>
              <w:spacing w:after="120" w:line="259" w:lineRule="auto"/>
              <w:ind w:left="274"/>
              <w:rPr>
                <w:rFonts w:eastAsia="Times New Roman" w:cs="Segoe UI"/>
                <w:sz w:val="20"/>
                <w:szCs w:val="20"/>
                <w:lang w:eastAsia="en-AU"/>
              </w:rPr>
            </w:pPr>
            <w:r w:rsidRPr="00DB623D">
              <w:rPr>
                <w:rFonts w:eastAsia="Times New Roman" w:cs="Segoe UI"/>
                <w:lang w:eastAsia="en-AU"/>
              </w:rPr>
              <w:t>Provide feedback to sponsors on their use and presentation of analyses based on more complex methods.</w:t>
            </w:r>
          </w:p>
        </w:tc>
      </w:tr>
    </w:tbl>
    <w:p w14:paraId="2D26E3CC" w14:textId="34530425" w:rsidR="01EF30A6" w:rsidRDefault="01EF30A6" w:rsidP="0036199B">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EC7978" w14:paraId="5EDFD95D" w14:textId="77777777" w:rsidTr="007C2053">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E5CC508" w14:textId="69FF63E5" w:rsidR="00EC7978" w:rsidRPr="00613D35" w:rsidRDefault="00EC7978" w:rsidP="008C10BB">
            <w:pPr>
              <w:spacing w:after="120" w:line="259" w:lineRule="auto"/>
              <w:rPr>
                <w:rFonts w:eastAsia="Times New Roman" w:cs="Segoe UI"/>
                <w:b/>
                <w:bCs/>
                <w:lang w:eastAsia="en-AU"/>
              </w:rPr>
            </w:pPr>
            <w:r w:rsidRPr="00EC7978">
              <w:rPr>
                <w:rFonts w:eastAsia="Times New Roman" w:cs="Segoe UI"/>
                <w:b/>
                <w:bCs/>
                <w:lang w:eastAsia="en-AU"/>
              </w:rPr>
              <w:t xml:space="preserve">Develop an explicit qualitative value </w:t>
            </w:r>
            <w:proofErr w:type="gramStart"/>
            <w:r w:rsidRPr="00EC7978">
              <w:rPr>
                <w:rFonts w:eastAsia="Times New Roman" w:cs="Segoe UI"/>
                <w:b/>
                <w:bCs/>
                <w:lang w:eastAsia="en-AU"/>
              </w:rPr>
              <w:t>framework</w:t>
            </w:r>
            <w:proofErr w:type="gramEnd"/>
          </w:p>
          <w:p w14:paraId="028944DC" w14:textId="14237722" w:rsidR="00EC7978" w:rsidRPr="00DB623D" w:rsidRDefault="00EB0629" w:rsidP="008505D7">
            <w:pPr>
              <w:numPr>
                <w:ilvl w:val="0"/>
                <w:numId w:val="97"/>
              </w:numPr>
              <w:spacing w:line="259" w:lineRule="auto"/>
              <w:rPr>
                <w:rFonts w:eastAsia="Times New Roman" w:cs="Segoe UI"/>
                <w:lang w:eastAsia="en-AU"/>
              </w:rPr>
            </w:pPr>
            <w:r>
              <w:rPr>
                <w:rFonts w:eastAsia="Times New Roman" w:cs="Segoe UI"/>
                <w:lang w:eastAsia="en-AU"/>
              </w:rPr>
              <w:t>The HTA Committee to d</w:t>
            </w:r>
            <w:r w:rsidR="00EC7978" w:rsidRPr="00DB623D">
              <w:rPr>
                <w:rFonts w:eastAsia="Times New Roman" w:cs="Segoe UI"/>
                <w:lang w:eastAsia="en-AU"/>
              </w:rPr>
              <w:t>evelop, in consultation with a range of stakeholders, explicit guidance regarding the elements (beyond clinical effectiveness, cost-effectiveness, and financial impact</w:t>
            </w:r>
            <w:r w:rsidR="00711027">
              <w:rPr>
                <w:rFonts w:eastAsia="Times New Roman" w:cs="Segoe UI"/>
                <w:lang w:eastAsia="en-AU"/>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rFonts w:eastAsia="Times New Roman" w:cs="Segoe UI"/>
                <w:lang w:eastAsia="en-AU"/>
              </w:rPr>
              <w:fldChar w:fldCharType="end"/>
            </w:r>
            <w:r w:rsidR="00EC7978" w:rsidRPr="00DB623D">
              <w:rPr>
                <w:rFonts w:eastAsia="Times New Roman" w:cs="Segoe UI"/>
                <w:lang w:eastAsia="en-AU"/>
              </w:rPr>
              <w:t>) that the committee will consider, how they will consider them, and what impact they have on decision-making.</w:t>
            </w:r>
          </w:p>
          <w:p w14:paraId="67235E46" w14:textId="77777777" w:rsidR="00EC7978" w:rsidRPr="00DB623D" w:rsidRDefault="00EC7978" w:rsidP="008505D7">
            <w:pPr>
              <w:numPr>
                <w:ilvl w:val="0"/>
                <w:numId w:val="97"/>
              </w:numPr>
              <w:spacing w:line="259" w:lineRule="auto"/>
              <w:rPr>
                <w:rFonts w:eastAsia="Times New Roman" w:cs="Segoe UI"/>
                <w:lang w:eastAsia="en-AU"/>
              </w:rPr>
            </w:pPr>
            <w:r w:rsidRPr="00DB623D">
              <w:rPr>
                <w:rFonts w:eastAsia="Times New Roman" w:cs="Segoe UI"/>
                <w:lang w:eastAsia="en-AU"/>
              </w:rPr>
              <w:t>The value framework</w:t>
            </w:r>
            <w:r w:rsidRPr="00DB623D">
              <w:rPr>
                <w:rFonts w:eastAsia="Times New Roman" w:cs="Segoe UI"/>
                <w:lang w:eastAsia="en-AU"/>
              </w:rPr>
              <w:fldChar w:fldCharType="begin"/>
            </w:r>
            <w:r w:rsidRPr="00DB623D">
              <w:rPr>
                <w:rFonts w:eastAsia="Times New Roman" w:cs="Segoe UI"/>
                <w:lang w:eastAsia="en-AU"/>
              </w:rPr>
              <w:instrText xml:space="preserve"> XE "value framework" \b </w:instrText>
            </w:r>
            <w:r w:rsidRPr="00DB623D">
              <w:rPr>
                <w:rFonts w:eastAsia="Times New Roman" w:cs="Segoe UI"/>
                <w:lang w:eastAsia="en-AU"/>
              </w:rPr>
              <w:fldChar w:fldCharType="end"/>
            </w:r>
            <w:r w:rsidRPr="00DB623D">
              <w:rPr>
                <w:rFonts w:eastAsia="Times New Roman" w:cs="Segoe UI"/>
                <w:lang w:eastAsia="en-AU"/>
              </w:rPr>
              <w:t xml:space="preserve"> would allow enough flexibility for the deliberation process itself to add value to the decisions </w:t>
            </w:r>
            <w:proofErr w:type="gramStart"/>
            <w:r w:rsidRPr="00DB623D">
              <w:rPr>
                <w:rFonts w:eastAsia="Times New Roman" w:cs="Segoe UI"/>
                <w:lang w:eastAsia="en-AU"/>
              </w:rPr>
              <w:t>i.e.</w:t>
            </w:r>
            <w:proofErr w:type="gramEnd"/>
            <w:r w:rsidRPr="00DB623D">
              <w:rPr>
                <w:rFonts w:eastAsia="Times New Roman" w:cs="Segoe UI"/>
                <w:lang w:eastAsia="en-AU"/>
              </w:rPr>
              <w:t xml:space="preserve"> not be pre-weighted and scored.</w:t>
            </w:r>
          </w:p>
          <w:p w14:paraId="52E47FAB" w14:textId="77777777" w:rsidR="00EC7978" w:rsidRPr="00DB623D" w:rsidRDefault="00EC7978" w:rsidP="008505D7">
            <w:pPr>
              <w:numPr>
                <w:ilvl w:val="0"/>
                <w:numId w:val="97"/>
              </w:numPr>
              <w:spacing w:line="259" w:lineRule="auto"/>
              <w:rPr>
                <w:rFonts w:eastAsia="Times New Roman" w:cs="Segoe UI"/>
                <w:lang w:eastAsia="en-AU"/>
              </w:rPr>
            </w:pPr>
            <w:r w:rsidRPr="00DB623D">
              <w:rPr>
                <w:rFonts w:eastAsia="Times New Roman" w:cs="Segoe UI"/>
                <w:lang w:eastAsia="en-AU"/>
              </w:rPr>
              <w:t>The consideration of the value elements would need to be explicit before, during and after consideration of a technology and be transparently communicated in Public Summary Documents.</w:t>
            </w:r>
          </w:p>
          <w:p w14:paraId="2302A49B" w14:textId="3BC99F09" w:rsidR="00EC7978" w:rsidRPr="00DB623D" w:rsidRDefault="00EC7978" w:rsidP="008505D7">
            <w:pPr>
              <w:numPr>
                <w:ilvl w:val="0"/>
                <w:numId w:val="97"/>
              </w:numPr>
              <w:spacing w:line="259" w:lineRule="auto"/>
              <w:rPr>
                <w:rFonts w:eastAsia="Times New Roman" w:cs="Segoe UI"/>
                <w:lang w:eastAsia="en-AU"/>
              </w:rPr>
            </w:pPr>
            <w:r w:rsidRPr="00DB623D">
              <w:rPr>
                <w:rFonts w:eastAsia="Times New Roman" w:cs="Segoe UI"/>
                <w:lang w:eastAsia="en-AU"/>
              </w:rPr>
              <w:t>Develop documentation regarding how the framework will be considered during committee deliberations and guidance explaining how sponsors could provide data to respond to additional value domains, and Patients or citizens could provide submissions to respond to additional value domains</w:t>
            </w:r>
            <w:r w:rsidR="005B3518" w:rsidRPr="00DB623D">
              <w:rPr>
                <w:rFonts w:eastAsia="Times New Roman" w:cs="Segoe UI"/>
                <w:lang w:eastAsia="en-AU"/>
              </w:rPr>
              <w:t>.</w:t>
            </w:r>
            <w:r w:rsidRPr="00DB623D">
              <w:rPr>
                <w:rFonts w:eastAsia="Times New Roman" w:cs="Segoe UI"/>
                <w:lang w:eastAsia="en-AU"/>
              </w:rPr>
              <w:t xml:space="preserve"> </w:t>
            </w:r>
          </w:p>
          <w:p w14:paraId="109929A8" w14:textId="5D994D9D" w:rsidR="00EC7978" w:rsidRPr="00E6762F" w:rsidRDefault="00EC7978" w:rsidP="008505D7">
            <w:pPr>
              <w:numPr>
                <w:ilvl w:val="0"/>
                <w:numId w:val="97"/>
              </w:numPr>
              <w:spacing w:line="259" w:lineRule="auto"/>
              <w:rPr>
                <w:rFonts w:eastAsia="Times New Roman" w:cs="Segoe UI"/>
                <w:lang w:eastAsia="en-AU"/>
              </w:rPr>
            </w:pPr>
            <w:r w:rsidRPr="00DB623D">
              <w:rPr>
                <w:rFonts w:eastAsia="Times New Roman" w:cs="Segoe UI"/>
                <w:lang w:eastAsia="en-AU"/>
              </w:rPr>
              <w:t>Informed by published research and public consultation, develop a checklist to assist HTA decision makers to integrate equity</w:t>
            </w:r>
            <w:r w:rsidRPr="00DB623D">
              <w:rPr>
                <w:rFonts w:eastAsia="Times New Roman" w:cs="Segoe UI"/>
                <w:lang w:eastAsia="en-AU"/>
              </w:rPr>
              <w:fldChar w:fldCharType="begin"/>
            </w:r>
            <w:r w:rsidRPr="00DB623D">
              <w:rPr>
                <w:rFonts w:eastAsia="Times New Roman" w:cs="Segoe UI"/>
                <w:lang w:eastAsia="en-AU"/>
              </w:rPr>
              <w:instrText xml:space="preserve"> XE "equity" </w:instrText>
            </w:r>
            <w:r w:rsidRPr="00DB623D">
              <w:rPr>
                <w:rFonts w:eastAsia="Times New Roman" w:cs="Segoe UI"/>
                <w:lang w:eastAsia="en-AU"/>
              </w:rPr>
              <w:fldChar w:fldCharType="end"/>
            </w:r>
            <w:r w:rsidRPr="00DB623D">
              <w:rPr>
                <w:rFonts w:eastAsia="Times New Roman" w:cs="Segoe UI"/>
                <w:lang w:eastAsia="en-AU"/>
              </w:rPr>
              <w:t xml:space="preserve"> considerations into their deliberations in a more comprehensive and systematic way. Noting that some new health technologies may have a negative impact on health equity also. This could include explicit consideration of priority populations such as First Nations </w:t>
            </w:r>
            <w:r w:rsidR="003F1975">
              <w:rPr>
                <w:rFonts w:eastAsia="Times New Roman" w:cs="Segoe UI"/>
                <w:lang w:eastAsia="en-AU"/>
              </w:rPr>
              <w:t>peoples</w:t>
            </w:r>
            <w:r w:rsidR="009950D4">
              <w:rPr>
                <w:rFonts w:eastAsia="Times New Roman" w:cs="Segoe UI"/>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lang w:eastAsia="en-AU"/>
              </w:rPr>
              <w:fldChar w:fldCharType="end"/>
            </w:r>
            <w:r w:rsidRPr="00DB623D">
              <w:rPr>
                <w:rFonts w:eastAsia="Times New Roman" w:cs="Segoe UI"/>
                <w:lang w:eastAsia="en-AU"/>
              </w:rPr>
              <w:t>.</w:t>
            </w:r>
          </w:p>
        </w:tc>
      </w:tr>
    </w:tbl>
    <w:p w14:paraId="0483ECAD" w14:textId="77777777" w:rsidR="0004297C" w:rsidRDefault="0004297C" w:rsidP="0004297C">
      <w:bookmarkStart w:id="163" w:name="_Toc775396256"/>
      <w:bookmarkStart w:id="164" w:name="_Toc154150690"/>
    </w:p>
    <w:tbl>
      <w:tblPr>
        <w:tblStyle w:val="TableGrid"/>
        <w:tblW w:w="0" w:type="auto"/>
        <w:tblLook w:val="04A0" w:firstRow="1" w:lastRow="0" w:firstColumn="1" w:lastColumn="0" w:noHBand="0" w:noVBand="1"/>
      </w:tblPr>
      <w:tblGrid>
        <w:gridCol w:w="9016"/>
      </w:tblGrid>
      <w:tr w:rsidR="0004297C" w14:paraId="1232A103" w14:textId="77777777" w:rsidTr="0004297C">
        <w:tc>
          <w:tcPr>
            <w:tcW w:w="9016" w:type="dxa"/>
            <w:tcBorders>
              <w:top w:val="single" w:sz="18" w:space="0" w:color="ACC02A" w:themeColor="accent5"/>
              <w:left w:val="nil"/>
              <w:bottom w:val="nil"/>
              <w:right w:val="nil"/>
            </w:tcBorders>
            <w:shd w:val="clear" w:color="auto" w:fill="F2F2F2" w:themeFill="background1" w:themeFillShade="F2"/>
          </w:tcPr>
          <w:p w14:paraId="244DA4CF" w14:textId="0F050841" w:rsidR="0004297C" w:rsidRDefault="0004297C" w:rsidP="0092393F">
            <w:pPr>
              <w:spacing w:before="120" w:after="160"/>
              <w:rPr>
                <w:lang w:eastAsia="en-AU"/>
              </w:rPr>
            </w:pPr>
            <w:r w:rsidRPr="0004297C">
              <w:rPr>
                <w:b/>
                <w:bCs/>
                <w:lang w:eastAsia="en-AU"/>
              </w:rPr>
              <w:t>Therapies that target biomarkers</w:t>
            </w:r>
            <w:r>
              <w:rPr>
                <w:b/>
                <w:bCs/>
                <w:lang w:eastAsia="en-AU"/>
              </w:rPr>
              <w:t xml:space="preserve"> </w:t>
            </w:r>
            <w:r>
              <w:rPr>
                <w:lang w:eastAsia="en-AU"/>
              </w:rPr>
              <w:t>(</w:t>
            </w:r>
            <w:proofErr w:type="gramStart"/>
            <w:r>
              <w:rPr>
                <w:lang w:eastAsia="en-AU"/>
              </w:rPr>
              <w:t>e.g.</w:t>
            </w:r>
            <w:proofErr w:type="gramEnd"/>
            <w:r>
              <w:rPr>
                <w:lang w:eastAsia="en-AU"/>
              </w:rPr>
              <w:t xml:space="preserve"> tumour agnostic cancer therapies, therapies that target particular gene alterations)</w:t>
            </w:r>
          </w:p>
          <w:p w14:paraId="43EA2B92" w14:textId="77777777" w:rsidR="0004297C" w:rsidRPr="0004297C" w:rsidRDefault="0004297C" w:rsidP="00CF4D98">
            <w:pPr>
              <w:pStyle w:val="ListParagraph"/>
              <w:numPr>
                <w:ilvl w:val="0"/>
                <w:numId w:val="170"/>
              </w:numPr>
              <w:spacing w:line="259" w:lineRule="auto"/>
              <w:rPr>
                <w:rFonts w:eastAsia="Times New Roman" w:cs="Segoe UI"/>
                <w:lang w:eastAsia="en-AU"/>
              </w:rPr>
            </w:pPr>
            <w:r w:rsidRPr="0004297C">
              <w:rPr>
                <w:rFonts w:eastAsia="Times New Roman" w:cs="Segoe UI"/>
                <w:lang w:eastAsia="en-AU"/>
              </w:rPr>
              <w:lastRenderedPageBreak/>
              <w:t>Develop a guideline on the assessment and appraisal of tumour agnostic therapies</w:t>
            </w:r>
            <w:r w:rsidRPr="0004297C">
              <w:rPr>
                <w:rFonts w:eastAsia="Times New Roman" w:cs="Segoe UI"/>
                <w:lang w:eastAsia="en-AU"/>
              </w:rPr>
              <w:fldChar w:fldCharType="begin"/>
            </w:r>
            <w:r w:rsidRPr="0004297C">
              <w:rPr>
                <w:sz w:val="32"/>
                <w:szCs w:val="32"/>
              </w:rPr>
              <w:instrText xml:space="preserve"> XE "</w:instrText>
            </w:r>
            <w:r w:rsidRPr="0004297C">
              <w:rPr>
                <w:rFonts w:eastAsia="Times New Roman" w:cs="Segoe UI"/>
                <w:lang w:eastAsia="en-AU"/>
              </w:rPr>
              <w:instrText>tumour agnostic therapies</w:instrText>
            </w:r>
            <w:r w:rsidRPr="0004297C">
              <w:rPr>
                <w:sz w:val="32"/>
                <w:szCs w:val="32"/>
              </w:rPr>
              <w:instrText xml:space="preserve">" \b </w:instrText>
            </w:r>
            <w:r w:rsidRPr="0004297C">
              <w:rPr>
                <w:rFonts w:eastAsia="Times New Roman" w:cs="Segoe UI"/>
                <w:lang w:eastAsia="en-AU"/>
              </w:rPr>
              <w:fldChar w:fldCharType="end"/>
            </w:r>
            <w:r w:rsidRPr="0004297C">
              <w:rPr>
                <w:rFonts w:eastAsia="Times New Roman" w:cs="Segoe UI"/>
                <w:lang w:eastAsia="en-AU"/>
              </w:rPr>
              <w:t xml:space="preserve"> as outlined at 6.6.4 of the </w:t>
            </w:r>
            <w:hyperlink r:id="rId163" w:anchor="page=151" w:history="1">
              <w:r w:rsidRPr="0004297C">
                <w:rPr>
                  <w:rStyle w:val="Hyperlink"/>
                  <w:rFonts w:eastAsia="Times New Roman" w:cs="Segoe UI"/>
                  <w:lang w:eastAsia="en-AU"/>
                </w:rPr>
                <w:t>HTA Review Paper on Clinical Evaluation Methods in HTA</w:t>
              </w:r>
            </w:hyperlink>
          </w:p>
          <w:p w14:paraId="09965337" w14:textId="77777777" w:rsidR="0004297C" w:rsidRPr="0004297C" w:rsidRDefault="0004297C" w:rsidP="00CF4D98">
            <w:pPr>
              <w:pStyle w:val="ListParagraph"/>
              <w:numPr>
                <w:ilvl w:val="0"/>
                <w:numId w:val="170"/>
              </w:numPr>
              <w:spacing w:line="259" w:lineRule="auto"/>
              <w:rPr>
                <w:rFonts w:eastAsia="Times New Roman" w:cs="Segoe UI"/>
                <w:lang w:eastAsia="en-AU"/>
              </w:rPr>
            </w:pPr>
            <w:r w:rsidRPr="0004297C">
              <w:rPr>
                <w:rFonts w:eastAsia="Times New Roman" w:cs="Segoe UI"/>
                <w:lang w:eastAsia="en-AU"/>
              </w:rPr>
              <w:t>Develop a guideline on the assessment and appraisal of genomic technologies and gene therapies for HTA decisions in Australia.</w:t>
            </w:r>
          </w:p>
          <w:p w14:paraId="670309EB" w14:textId="6033D37B" w:rsidR="0004297C" w:rsidRPr="0004297C" w:rsidRDefault="0004297C" w:rsidP="00CF4D98">
            <w:pPr>
              <w:pStyle w:val="ListParagraph"/>
              <w:numPr>
                <w:ilvl w:val="0"/>
                <w:numId w:val="94"/>
              </w:numPr>
              <w:spacing w:line="259" w:lineRule="auto"/>
              <w:ind w:left="782" w:hanging="425"/>
              <w:rPr>
                <w:rFonts w:eastAsia="Times New Roman" w:cs="Segoe UI"/>
                <w:color w:val="222A35"/>
                <w:kern w:val="24"/>
                <w:lang w:eastAsia="en-AU"/>
              </w:rPr>
            </w:pPr>
            <w:r w:rsidRPr="0004297C">
              <w:rPr>
                <w:rFonts w:eastAsia="Times New Roman" w:cs="Segoe UI"/>
                <w:color w:val="222A35"/>
                <w:kern w:val="24"/>
                <w:lang w:eastAsia="en-AU"/>
              </w:rPr>
              <w:t>This could be for pharmacogenomic technologies only, should PBAC’s remit remain as appraising medicines, vaccines</w:t>
            </w:r>
            <w:r w:rsidRPr="0004297C">
              <w:rPr>
                <w:rFonts w:eastAsia="Times New Roman" w:cs="Segoe UI"/>
                <w:color w:val="222A35"/>
                <w:kern w:val="24"/>
                <w:lang w:eastAsia="en-AU"/>
              </w:rPr>
              <w:fldChar w:fldCharType="begin"/>
            </w:r>
            <w:r w:rsidRPr="0004297C">
              <w:rPr>
                <w:rFonts w:eastAsia="Times New Roman" w:cs="Segoe UI"/>
                <w:color w:val="222A35"/>
                <w:kern w:val="24"/>
                <w:lang w:eastAsia="en-AU"/>
              </w:rPr>
              <w:instrText xml:space="preserve"> XE "vaccines" \b </w:instrText>
            </w:r>
            <w:r w:rsidRPr="0004297C">
              <w:rPr>
                <w:rFonts w:eastAsia="Times New Roman" w:cs="Segoe UI"/>
                <w:color w:val="222A35"/>
                <w:kern w:val="24"/>
                <w:lang w:eastAsia="en-AU"/>
              </w:rPr>
              <w:fldChar w:fldCharType="end"/>
            </w:r>
            <w:r w:rsidRPr="0004297C">
              <w:rPr>
                <w:rFonts w:eastAsia="Times New Roman" w:cs="Segoe UI"/>
                <w:color w:val="222A35"/>
                <w:kern w:val="24"/>
                <w:lang w:eastAsia="en-AU"/>
              </w:rPr>
              <w:t>, advanced therapies</w:t>
            </w:r>
            <w:r w:rsidRPr="0004297C">
              <w:rPr>
                <w:rFonts w:eastAsia="Times New Roman" w:cs="Segoe UI"/>
                <w:color w:val="222A35"/>
                <w:kern w:val="24"/>
                <w:lang w:eastAsia="en-AU"/>
              </w:rPr>
              <w:fldChar w:fldCharType="begin"/>
            </w:r>
            <w:r w:rsidRPr="0004297C">
              <w:rPr>
                <w:sz w:val="32"/>
                <w:szCs w:val="32"/>
              </w:rPr>
              <w:instrText xml:space="preserve"> XE "advanced therapies" </w:instrText>
            </w:r>
            <w:r w:rsidRPr="0004297C">
              <w:rPr>
                <w:rFonts w:eastAsia="Times New Roman" w:cs="Segoe UI"/>
                <w:color w:val="222A35"/>
                <w:kern w:val="24"/>
                <w:lang w:eastAsia="en-AU"/>
              </w:rPr>
              <w:fldChar w:fldCharType="end"/>
            </w:r>
            <w:r w:rsidRPr="0004297C">
              <w:rPr>
                <w:rFonts w:eastAsia="Times New Roman" w:cs="Segoe UI"/>
                <w:color w:val="222A35"/>
                <w:kern w:val="24"/>
                <w:lang w:eastAsia="en-AU"/>
              </w:rPr>
              <w:t>, and codependent technologies</w:t>
            </w:r>
            <w:r w:rsidR="00D64E29">
              <w:rPr>
                <w:rFonts w:eastAsia="Times New Roman" w:cs="Segoe UI"/>
                <w:color w:val="222A35"/>
                <w:kern w:val="24"/>
                <w:lang w:eastAsia="en-AU"/>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rFonts w:eastAsia="Times New Roman" w:cs="Segoe UI"/>
                <w:color w:val="222A35"/>
                <w:kern w:val="24"/>
                <w:lang w:eastAsia="en-AU"/>
              </w:rPr>
              <w:fldChar w:fldCharType="end"/>
            </w:r>
            <w:r w:rsidRPr="0004297C">
              <w:rPr>
                <w:rFonts w:eastAsia="Times New Roman" w:cs="Segoe UI"/>
                <w:color w:val="222A35"/>
                <w:kern w:val="24"/>
                <w:lang w:eastAsia="en-AU"/>
              </w:rPr>
              <w:t xml:space="preserve">. Alternatively, if the </w:t>
            </w:r>
            <w:hyperlink w:anchor="_Unified_HTA_pathway" w:history="1">
              <w:r w:rsidRPr="0004297C">
                <w:rPr>
                  <w:rStyle w:val="Hyperlink"/>
                  <w:rFonts w:eastAsia="Times New Roman" w:cs="Segoe UI"/>
                  <w:kern w:val="24"/>
                  <w:lang w:eastAsia="en-AU"/>
                </w:rPr>
                <w:t>Unified HTA pathway</w:t>
              </w:r>
            </w:hyperlink>
            <w:r w:rsidRPr="0004297C">
              <w:rPr>
                <w:rFonts w:eastAsia="Times New Roman" w:cs="Segoe UI"/>
                <w:color w:val="222A35"/>
                <w:kern w:val="24"/>
                <w:lang w:eastAsia="en-AU"/>
              </w:rPr>
              <w:t xml:space="preserve"> is adopted and a single HTA Committee is constituted in Australia, then it could also include genomic tests more generally (</w:t>
            </w:r>
            <w:proofErr w:type="gramStart"/>
            <w:r w:rsidRPr="0004297C">
              <w:rPr>
                <w:rFonts w:eastAsia="Times New Roman" w:cs="Segoe UI"/>
                <w:color w:val="222A35"/>
                <w:kern w:val="24"/>
                <w:lang w:eastAsia="en-AU"/>
              </w:rPr>
              <w:t>i.e.</w:t>
            </w:r>
            <w:proofErr w:type="gramEnd"/>
            <w:r w:rsidRPr="0004297C">
              <w:rPr>
                <w:rFonts w:eastAsia="Times New Roman" w:cs="Segoe UI"/>
                <w:color w:val="222A35"/>
                <w:kern w:val="24"/>
                <w:lang w:eastAsia="en-AU"/>
              </w:rPr>
              <w:t xml:space="preserve"> for Medicare Benefits Schedule funding decisions).</w:t>
            </w:r>
          </w:p>
          <w:p w14:paraId="7AA06B43" w14:textId="77777777" w:rsidR="0004297C" w:rsidRPr="0004297C" w:rsidRDefault="0004297C" w:rsidP="00CF4D98">
            <w:pPr>
              <w:pStyle w:val="ListParagraph"/>
              <w:numPr>
                <w:ilvl w:val="0"/>
                <w:numId w:val="94"/>
              </w:numPr>
              <w:spacing w:line="259" w:lineRule="auto"/>
              <w:ind w:left="782" w:hanging="425"/>
              <w:rPr>
                <w:rFonts w:eastAsia="Times New Roman" w:cs="Segoe UI"/>
                <w:color w:val="222A35"/>
                <w:kern w:val="24"/>
                <w:lang w:eastAsia="en-AU"/>
              </w:rPr>
            </w:pPr>
            <w:r w:rsidRPr="0004297C">
              <w:rPr>
                <w:rFonts w:eastAsia="Times New Roman" w:cs="Segoe UI"/>
                <w:color w:val="222A35"/>
                <w:kern w:val="24"/>
                <w:lang w:eastAsia="en-AU"/>
              </w:rPr>
              <w:t xml:space="preserve">As part of the guideline development, a Statement of Principles concerning the access and use of genomic technologies and gene therapies should be co-designed with the public. This would involve patients and clinicians but also citizens who do not have an immediate vested interest in these technologies. </w:t>
            </w:r>
          </w:p>
          <w:p w14:paraId="329B7DB7" w14:textId="762E4357" w:rsidR="0004297C" w:rsidRPr="00664E11" w:rsidRDefault="0004297C" w:rsidP="00CF4D98">
            <w:pPr>
              <w:spacing w:line="259" w:lineRule="auto"/>
              <w:rPr>
                <w:b/>
                <w:sz w:val="32"/>
                <w:szCs w:val="32"/>
                <w:lang w:eastAsia="en-AU"/>
              </w:rPr>
            </w:pPr>
            <w:r w:rsidRPr="0004297C">
              <w:rPr>
                <w:rFonts w:eastAsia="Times New Roman" w:cs="Segoe UI"/>
                <w:color w:val="222A35"/>
                <w:kern w:val="24"/>
                <w:lang w:eastAsia="en-AU"/>
              </w:rPr>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 making.</w:t>
            </w:r>
          </w:p>
        </w:tc>
      </w:tr>
    </w:tbl>
    <w:p w14:paraId="78C98597" w14:textId="77777777" w:rsidR="0004297C" w:rsidRDefault="0004297C" w:rsidP="0004297C"/>
    <w:tbl>
      <w:tblPr>
        <w:tblStyle w:val="TableGrid"/>
        <w:tblW w:w="0" w:type="auto"/>
        <w:tblLook w:val="04A0" w:firstRow="1" w:lastRow="0" w:firstColumn="1" w:lastColumn="0" w:noHBand="0" w:noVBand="1"/>
      </w:tblPr>
      <w:tblGrid>
        <w:gridCol w:w="9016"/>
      </w:tblGrid>
      <w:tr w:rsidR="00664E11" w14:paraId="6A85A4DC" w14:textId="77777777" w:rsidTr="00664E11">
        <w:tc>
          <w:tcPr>
            <w:tcW w:w="9016" w:type="dxa"/>
            <w:tcBorders>
              <w:top w:val="single" w:sz="18" w:space="0" w:color="ACC02A" w:themeColor="accent5"/>
              <w:left w:val="nil"/>
              <w:bottom w:val="nil"/>
              <w:right w:val="nil"/>
            </w:tcBorders>
            <w:shd w:val="clear" w:color="auto" w:fill="F2F2F2" w:themeFill="background1" w:themeFillShade="F2"/>
          </w:tcPr>
          <w:p w14:paraId="5C836A0F" w14:textId="77777777" w:rsidR="00664E11" w:rsidRDefault="00664E11" w:rsidP="007B718B">
            <w:pPr>
              <w:spacing w:before="160" w:line="22" w:lineRule="atLeast"/>
              <w:rPr>
                <w:b/>
                <w:bCs/>
                <w:lang w:eastAsia="en-AU"/>
              </w:rPr>
            </w:pPr>
            <w:r w:rsidRPr="00664E11">
              <w:rPr>
                <w:b/>
                <w:bCs/>
                <w:lang w:eastAsia="en-AU"/>
              </w:rPr>
              <w:t>Pharmacogenomic technologies</w:t>
            </w:r>
          </w:p>
          <w:p w14:paraId="765CAD9F" w14:textId="77777777" w:rsidR="00CF4D98" w:rsidRPr="00CF4D98" w:rsidRDefault="00CF4D98" w:rsidP="007B718B">
            <w:pPr>
              <w:spacing w:before="160" w:after="160" w:line="22" w:lineRule="atLeast"/>
              <w:rPr>
                <w:rFonts w:eastAsia="Times New Roman" w:cs="Segoe UI"/>
                <w:lang w:eastAsia="en-AU"/>
              </w:rPr>
            </w:pPr>
            <w:r w:rsidRPr="00CF4D98">
              <w:rPr>
                <w:rFonts w:eastAsia="Times New Roman" w:cs="Segoe UI"/>
                <w:lang w:eastAsia="en-AU"/>
              </w:rPr>
              <w:t>Develop a guideline on the assessment and appraisal of genomic technologies and gene therapies for HTA decisions in Australia.</w:t>
            </w:r>
          </w:p>
          <w:p w14:paraId="5C7D96DC" w14:textId="61B7417F" w:rsidR="00CF4D98" w:rsidRPr="00CF4D98" w:rsidRDefault="00CF4D98" w:rsidP="007B718B">
            <w:pPr>
              <w:spacing w:after="160" w:line="22" w:lineRule="atLeast"/>
            </w:pPr>
            <w:r w:rsidRPr="00CF4D98">
              <w:t>This could be for pharmacogenomic technologies only, should PBAC’s remit remain as appraising medicines, vaccines</w:t>
            </w:r>
            <w:r w:rsidRPr="00CF4D98">
              <w:fldChar w:fldCharType="begin"/>
            </w:r>
            <w:r w:rsidRPr="00CF4D98">
              <w:instrText xml:space="preserve"> XE "vaccines" \b </w:instrText>
            </w:r>
            <w:r w:rsidRPr="00CF4D98">
              <w:fldChar w:fldCharType="end"/>
            </w:r>
            <w:r w:rsidRPr="00CF4D98">
              <w:t>, Advanced Therapies and codependent technologies</w:t>
            </w:r>
            <w:r w:rsidR="00D64E29">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fldChar w:fldCharType="end"/>
            </w:r>
            <w:r w:rsidRPr="00CF4D98">
              <w:t xml:space="preserve">. Alternatively, if the </w:t>
            </w:r>
            <w:r w:rsidRPr="00CF4D98">
              <w:rPr>
                <w:color w:val="1D437F" w:themeColor="accent1"/>
                <w:u w:val="single"/>
              </w:rPr>
              <w:fldChar w:fldCharType="begin"/>
            </w:r>
            <w:r w:rsidRPr="00CF4D98">
              <w:rPr>
                <w:color w:val="1D437F" w:themeColor="accent1"/>
                <w:u w:val="single"/>
              </w:rPr>
              <w:instrText xml:space="preserve"> REF _Ref156862035 \h  \* MERGEFORMAT </w:instrText>
            </w:r>
            <w:r w:rsidRPr="00CF4D98">
              <w:rPr>
                <w:color w:val="1D437F" w:themeColor="accent1"/>
                <w:u w:val="single"/>
              </w:rPr>
            </w:r>
            <w:r w:rsidRPr="00CF4D98">
              <w:rPr>
                <w:color w:val="1D437F" w:themeColor="accent1"/>
                <w:u w:val="single"/>
              </w:rPr>
              <w:fldChar w:fldCharType="separate"/>
            </w:r>
            <w:r w:rsidR="00474ED6" w:rsidRPr="00474ED6">
              <w:rPr>
                <w:color w:val="1D437F" w:themeColor="accent1"/>
                <w:u w:val="single"/>
                <w:lang w:eastAsia="en-AU"/>
              </w:rPr>
              <w:t>Unified HTA pathway for all health technologies with Commonwealth funding</w:t>
            </w:r>
            <w:r w:rsidRPr="00CF4D98">
              <w:rPr>
                <w:color w:val="1D437F" w:themeColor="accent1"/>
                <w:u w:val="single"/>
              </w:rPr>
              <w:fldChar w:fldCharType="end"/>
            </w:r>
            <w:r w:rsidRPr="00CF4D98">
              <w:t xml:space="preserve"> is adopted and a single HTA Committee is constituted in Australia, then it could also include genomic tests more generally (i.e. for MBS funding decisions).</w:t>
            </w:r>
          </w:p>
          <w:p w14:paraId="5911578D" w14:textId="77777777" w:rsidR="00CF4D98" w:rsidRPr="00CF4D98" w:rsidRDefault="00CF4D98" w:rsidP="007B718B">
            <w:pPr>
              <w:spacing w:after="160" w:line="22" w:lineRule="atLeast"/>
            </w:pPr>
            <w:r w:rsidRPr="00CF4D98">
              <w:t xml:space="preserve">As part of the guideline development, a Statement of Principles concerning the access and use of genomic technologies and gene therapies should be co-designed with the public. This would involve patients and clinicians but also people who do not have an immediate vested interest in these technologies. </w:t>
            </w:r>
          </w:p>
          <w:p w14:paraId="0145B6E2" w14:textId="0958B011" w:rsidR="00664E11" w:rsidRPr="00664E11" w:rsidRDefault="00CF4D98" w:rsidP="007B718B">
            <w:pPr>
              <w:spacing w:after="160" w:line="22" w:lineRule="atLeast"/>
              <w:rPr>
                <w:b/>
                <w:bCs/>
              </w:rPr>
            </w:pPr>
            <w:r w:rsidRPr="00CF4D98">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decision-making.</w:t>
            </w:r>
          </w:p>
        </w:tc>
      </w:tr>
    </w:tbl>
    <w:p w14:paraId="2176C2A5" w14:textId="0976BDB1" w:rsidR="00977914" w:rsidRDefault="00977914" w:rsidP="00B01270">
      <w:pPr>
        <w:pStyle w:val="Heading2"/>
      </w:pPr>
      <w:bookmarkStart w:id="165" w:name="_Toc157029089"/>
      <w:bookmarkStart w:id="166" w:name="_Toc157029493"/>
      <w:bookmarkStart w:id="167" w:name="_Toc157030185"/>
      <w:r>
        <w:lastRenderedPageBreak/>
        <w:t xml:space="preserve">Approaches for </w:t>
      </w:r>
      <w:bookmarkEnd w:id="163"/>
      <w:bookmarkEnd w:id="164"/>
      <w:r w:rsidR="00E447CF">
        <w:t xml:space="preserve">therapies </w:t>
      </w:r>
      <w:r w:rsidR="00586E60">
        <w:t xml:space="preserve">that </w:t>
      </w:r>
      <w:r w:rsidR="00E447CF">
        <w:t xml:space="preserve">target </w:t>
      </w:r>
      <w:proofErr w:type="gramStart"/>
      <w:r w:rsidR="00E447CF">
        <w:t>biomarkers</w:t>
      </w:r>
      <w:bookmarkEnd w:id="165"/>
      <w:bookmarkEnd w:id="166"/>
      <w:bookmarkEnd w:id="167"/>
      <w:proofErr w:type="gramEnd"/>
    </w:p>
    <w:tbl>
      <w:tblPr>
        <w:tblStyle w:val="TableGrid"/>
        <w:tblW w:w="0" w:type="auto"/>
        <w:tblLook w:val="04A0" w:firstRow="1" w:lastRow="0" w:firstColumn="1" w:lastColumn="0" w:noHBand="0" w:noVBand="1"/>
      </w:tblPr>
      <w:tblGrid>
        <w:gridCol w:w="9003"/>
      </w:tblGrid>
      <w:tr w:rsidR="00142B9B" w14:paraId="20B51DD3" w14:textId="77777777" w:rsidTr="00142B9B">
        <w:tc>
          <w:tcPr>
            <w:tcW w:w="9016" w:type="dxa"/>
            <w:tcBorders>
              <w:top w:val="nil"/>
              <w:left w:val="single" w:sz="18" w:space="0" w:color="1D437F" w:themeColor="accent1"/>
              <w:bottom w:val="nil"/>
              <w:right w:val="nil"/>
            </w:tcBorders>
          </w:tcPr>
          <w:p w14:paraId="10AB8FB7" w14:textId="3106EDF2" w:rsidR="00142B9B" w:rsidRDefault="00142B9B" w:rsidP="008C10BB">
            <w:pPr>
              <w:spacing w:before="120" w:after="120" w:line="259" w:lineRule="auto"/>
              <w:ind w:left="147"/>
            </w:pPr>
            <w:r>
              <w:t>T</w:t>
            </w:r>
            <w:r w:rsidRPr="00B54B3A">
              <w:t xml:space="preserve">his section should be read in conjunction with </w:t>
            </w:r>
            <w:hyperlink r:id="rId164" w:anchor="page=173" w:history="1">
              <w:r w:rsidRPr="00D85FC7">
                <w:rPr>
                  <w:rStyle w:val="Hyperlink"/>
                </w:rPr>
                <w:t>HTA Methods: Clinical Evaluation (Paper 4</w:t>
              </w:r>
              <w:r w:rsidRPr="00CA5E8D">
                <w:rPr>
                  <w:rStyle w:val="Hyperlink"/>
                </w:rPr>
                <w:t>), section 7.9.3.</w:t>
              </w:r>
            </w:hyperlink>
          </w:p>
        </w:tc>
      </w:tr>
    </w:tbl>
    <w:p w14:paraId="6416040A" w14:textId="3077A31C" w:rsidR="00977914" w:rsidRPr="00BE48FE" w:rsidRDefault="00E66C33" w:rsidP="008E4F34">
      <w:pPr>
        <w:pStyle w:val="Heading3"/>
        <w:spacing w:before="240"/>
      </w:pPr>
      <w:bookmarkStart w:id="168" w:name="_Toc157029090"/>
      <w:r>
        <w:t>C</w:t>
      </w:r>
      <w:r w:rsidR="00977914">
        <w:t>urrent state</w:t>
      </w:r>
      <w:bookmarkEnd w:id="168"/>
    </w:p>
    <w:p w14:paraId="77ADCAC8" w14:textId="77777777" w:rsidR="00065C15" w:rsidRDefault="192A8977" w:rsidP="00F61259">
      <w:pPr>
        <w:spacing w:before="120"/>
        <w:ind w:left="-23" w:right="-23"/>
        <w:jc w:val="both"/>
        <w:rPr>
          <w:rFonts w:eastAsia="Arial" w:cs="Arial"/>
        </w:rPr>
      </w:pPr>
      <w:r w:rsidRPr="04BC0476">
        <w:rPr>
          <w:rFonts w:eastAsia="Arial" w:cs="Arial"/>
        </w:rPr>
        <w:t xml:space="preserve">The indication for most </w:t>
      </w:r>
      <w:r w:rsidRPr="70B9B269">
        <w:rPr>
          <w:rFonts w:eastAsia="Arial" w:cs="Arial"/>
        </w:rPr>
        <w:t xml:space="preserve">new </w:t>
      </w:r>
      <w:r w:rsidRPr="04BC0476">
        <w:rPr>
          <w:rFonts w:eastAsia="Arial" w:cs="Arial"/>
        </w:rPr>
        <w:t xml:space="preserve">products </w:t>
      </w:r>
      <w:r w:rsidRPr="70B9B269">
        <w:rPr>
          <w:rFonts w:eastAsia="Arial" w:cs="Arial"/>
        </w:rPr>
        <w:t xml:space="preserve">relates to a disease </w:t>
      </w:r>
      <w:r w:rsidRPr="1D74D705">
        <w:rPr>
          <w:rFonts w:eastAsia="Arial" w:cs="Arial"/>
        </w:rPr>
        <w:t>or d</w:t>
      </w:r>
      <w:r w:rsidR="7918665E" w:rsidRPr="1D74D705">
        <w:rPr>
          <w:rFonts w:eastAsia="Arial" w:cs="Arial"/>
        </w:rPr>
        <w:t xml:space="preserve">isease subtype. </w:t>
      </w:r>
      <w:r w:rsidR="7918665E" w:rsidRPr="7C1923DA">
        <w:rPr>
          <w:rFonts w:eastAsia="Arial" w:cs="Arial"/>
        </w:rPr>
        <w:t>However, it is recognised that many inn</w:t>
      </w:r>
      <w:r w:rsidR="57335CCE" w:rsidRPr="7C1923DA">
        <w:rPr>
          <w:rFonts w:eastAsia="Arial" w:cs="Arial"/>
        </w:rPr>
        <w:t>ovative</w:t>
      </w:r>
      <w:r w:rsidR="7918665E" w:rsidRPr="7C1923DA">
        <w:rPr>
          <w:rFonts w:eastAsia="Arial" w:cs="Arial"/>
        </w:rPr>
        <w:t xml:space="preserve"> therapies</w:t>
      </w:r>
      <w:r w:rsidR="34644439" w:rsidRPr="7C1923DA">
        <w:rPr>
          <w:rFonts w:eastAsia="Arial" w:cs="Arial"/>
        </w:rPr>
        <w:t xml:space="preserve"> work by targeting biomarkers that are present in multiple diseases and the clinical activity of these products may be more rationally considered </w:t>
      </w:r>
      <w:r w:rsidR="73F185FC" w:rsidRPr="3A404993">
        <w:rPr>
          <w:rFonts w:eastAsia="Arial" w:cs="Arial"/>
        </w:rPr>
        <w:t xml:space="preserve">for </w:t>
      </w:r>
      <w:r w:rsidR="73F185FC" w:rsidRPr="7B69F32F">
        <w:rPr>
          <w:rFonts w:eastAsia="Arial" w:cs="Arial"/>
        </w:rPr>
        <w:t>prescription</w:t>
      </w:r>
      <w:r w:rsidR="73F185FC" w:rsidRPr="3A404993">
        <w:rPr>
          <w:rFonts w:eastAsia="Arial" w:cs="Arial"/>
        </w:rPr>
        <w:t xml:space="preserve"> </w:t>
      </w:r>
      <w:r w:rsidR="5DB7A267" w:rsidRPr="7C1923DA">
        <w:rPr>
          <w:rFonts w:eastAsia="Arial" w:cs="Arial"/>
        </w:rPr>
        <w:t xml:space="preserve">according to whether the biomarker is present or </w:t>
      </w:r>
      <w:r w:rsidR="5DB7A267" w:rsidRPr="3A404993">
        <w:rPr>
          <w:rFonts w:eastAsia="Arial" w:cs="Arial"/>
        </w:rPr>
        <w:t xml:space="preserve">not. </w:t>
      </w:r>
      <w:r w:rsidR="1E0D6931" w:rsidRPr="04871A69">
        <w:rPr>
          <w:rFonts w:eastAsia="Arial" w:cs="Arial"/>
        </w:rPr>
        <w:t>Examples</w:t>
      </w:r>
      <w:r w:rsidR="1E0D6931" w:rsidRPr="4412FA6B">
        <w:rPr>
          <w:rFonts w:eastAsia="Arial" w:cs="Arial"/>
        </w:rPr>
        <w:t xml:space="preserve"> include</w:t>
      </w:r>
      <w:r w:rsidR="00065C15">
        <w:rPr>
          <w:rFonts w:eastAsia="Arial" w:cs="Arial"/>
        </w:rPr>
        <w:t>:</w:t>
      </w:r>
      <w:r w:rsidR="1E0D6931" w:rsidRPr="15CD4141">
        <w:rPr>
          <w:rFonts w:eastAsia="Arial" w:cs="Arial"/>
        </w:rPr>
        <w:t xml:space="preserve"> </w:t>
      </w:r>
    </w:p>
    <w:p w14:paraId="623171C9" w14:textId="11CEB4EE" w:rsidR="00635983" w:rsidRDefault="1E0D6931" w:rsidP="008505D7">
      <w:pPr>
        <w:pStyle w:val="ListParagraph"/>
        <w:numPr>
          <w:ilvl w:val="0"/>
          <w:numId w:val="38"/>
        </w:numPr>
        <w:spacing w:before="120"/>
        <w:ind w:right="-23"/>
        <w:jc w:val="both"/>
        <w:rPr>
          <w:rFonts w:eastAsia="Arial" w:cs="Arial"/>
        </w:rPr>
      </w:pPr>
      <w:r w:rsidRPr="00A91464">
        <w:rPr>
          <w:rFonts w:eastAsia="Arial" w:cs="Arial"/>
        </w:rPr>
        <w:t xml:space="preserve">the activity of small molecule inhibitors of cancer-causing genes </w:t>
      </w:r>
      <w:r w:rsidR="4D36AE0F" w:rsidRPr="00A91464">
        <w:rPr>
          <w:rFonts w:eastAsia="Arial" w:cs="Arial"/>
        </w:rPr>
        <w:t>in multiple rare distinct cancer type</w:t>
      </w:r>
      <w:r w:rsidR="4CAAF578" w:rsidRPr="00A91464">
        <w:rPr>
          <w:rFonts w:eastAsia="Arial" w:cs="Arial"/>
        </w:rPr>
        <w:t>s</w:t>
      </w:r>
      <w:r w:rsidR="4D36AE0F" w:rsidRPr="00A91464">
        <w:rPr>
          <w:rFonts w:eastAsia="Arial" w:cs="Arial"/>
        </w:rPr>
        <w:t xml:space="preserve">, all </w:t>
      </w:r>
      <w:r w:rsidR="5773D737" w:rsidRPr="00A91464">
        <w:rPr>
          <w:rFonts w:eastAsia="Arial" w:cs="Arial"/>
        </w:rPr>
        <w:t xml:space="preserve">of which are </w:t>
      </w:r>
      <w:r w:rsidR="4D36AE0F" w:rsidRPr="00A91464">
        <w:rPr>
          <w:rFonts w:eastAsia="Arial" w:cs="Arial"/>
        </w:rPr>
        <w:t>driven by t</w:t>
      </w:r>
      <w:r w:rsidR="4D19BE22" w:rsidRPr="00A91464">
        <w:rPr>
          <w:rFonts w:eastAsia="Arial" w:cs="Arial"/>
        </w:rPr>
        <w:t>he</w:t>
      </w:r>
      <w:r w:rsidR="71F82DC7" w:rsidRPr="00A91464">
        <w:rPr>
          <w:rFonts w:eastAsia="Arial" w:cs="Arial"/>
        </w:rPr>
        <w:t xml:space="preserve"> </w:t>
      </w:r>
      <w:r w:rsidR="4D36AE0F" w:rsidRPr="00A91464">
        <w:rPr>
          <w:rFonts w:eastAsia="Arial" w:cs="Arial"/>
        </w:rPr>
        <w:t>same cancer-causing genetic ab</w:t>
      </w:r>
      <w:r w:rsidR="4B9895CE" w:rsidRPr="00A91464">
        <w:rPr>
          <w:rFonts w:eastAsia="Arial" w:cs="Arial"/>
        </w:rPr>
        <w:t>normality</w:t>
      </w:r>
      <w:r w:rsidR="005B3518">
        <w:rPr>
          <w:rFonts w:eastAsia="Arial" w:cs="Arial"/>
        </w:rPr>
        <w:t>, and</w:t>
      </w:r>
    </w:p>
    <w:p w14:paraId="43BC6378" w14:textId="0C99D549" w:rsidR="00591E4A" w:rsidRPr="00A91464" w:rsidRDefault="71CA0155" w:rsidP="008505D7">
      <w:pPr>
        <w:pStyle w:val="ListParagraph"/>
        <w:numPr>
          <w:ilvl w:val="0"/>
          <w:numId w:val="38"/>
        </w:numPr>
        <w:spacing w:before="120"/>
        <w:ind w:right="-23"/>
        <w:jc w:val="both"/>
        <w:rPr>
          <w:rFonts w:eastAsia="Arial" w:cs="Arial"/>
        </w:rPr>
      </w:pPr>
      <w:r w:rsidRPr="00A91464">
        <w:rPr>
          <w:rFonts w:eastAsia="Arial" w:cs="Arial"/>
        </w:rPr>
        <w:t xml:space="preserve">the activity of biological agents that </w:t>
      </w:r>
      <w:r w:rsidR="3797C0B3" w:rsidRPr="00A91464">
        <w:rPr>
          <w:rFonts w:eastAsia="Arial" w:cs="Arial"/>
        </w:rPr>
        <w:t xml:space="preserve">can </w:t>
      </w:r>
      <w:r w:rsidRPr="00A91464">
        <w:rPr>
          <w:rFonts w:eastAsia="Arial" w:cs="Arial"/>
        </w:rPr>
        <w:t xml:space="preserve">unmask </w:t>
      </w:r>
      <w:r w:rsidR="5F1700D7" w:rsidRPr="00A91464">
        <w:rPr>
          <w:rFonts w:eastAsia="Arial" w:cs="Arial"/>
        </w:rPr>
        <w:t>multiple different cancer types so that the immune system can be better activated</w:t>
      </w:r>
      <w:r w:rsidR="4B9895CE" w:rsidRPr="00A91464">
        <w:rPr>
          <w:rFonts w:eastAsia="Arial" w:cs="Arial"/>
        </w:rPr>
        <w:t>.</w:t>
      </w:r>
      <w:r w:rsidR="4D36AE0F" w:rsidRPr="00A91464">
        <w:rPr>
          <w:rFonts w:eastAsia="Arial" w:cs="Arial"/>
        </w:rPr>
        <w:t xml:space="preserve"> </w:t>
      </w:r>
      <w:r w:rsidR="0B0B92D3" w:rsidRPr="00A91464">
        <w:rPr>
          <w:rFonts w:eastAsia="Arial" w:cs="Arial"/>
        </w:rPr>
        <w:t>These can be variously c</w:t>
      </w:r>
      <w:r w:rsidR="31176C91" w:rsidRPr="00A91464">
        <w:rPr>
          <w:rFonts w:eastAsia="Arial" w:cs="Arial"/>
        </w:rPr>
        <w:t>alled</w:t>
      </w:r>
      <w:r w:rsidR="00977914" w:rsidRPr="00A91464">
        <w:rPr>
          <w:rFonts w:eastAsia="Arial" w:cs="Arial"/>
        </w:rPr>
        <w:t xml:space="preserve"> tumour agnostic therapies</w:t>
      </w:r>
      <w:r w:rsidR="00F01EB7">
        <w:rPr>
          <w:rFonts w:eastAsia="Arial" w:cs="Arial"/>
        </w:rPr>
        <w:fldChar w:fldCharType="begin"/>
      </w:r>
      <w:r w:rsidR="00F01EB7">
        <w:instrText xml:space="preserve"> XE "</w:instrText>
      </w:r>
      <w:r w:rsidR="00F01EB7" w:rsidRPr="00530351">
        <w:rPr>
          <w:rFonts w:eastAsia="Times New Roman" w:cs="Segoe UI"/>
          <w:sz w:val="20"/>
          <w:szCs w:val="20"/>
          <w:lang w:eastAsia="en-AU"/>
        </w:rPr>
        <w:instrText>tumour agnostic therapies</w:instrText>
      </w:r>
      <w:r w:rsidR="00F01EB7">
        <w:instrText xml:space="preserve">" \b </w:instrText>
      </w:r>
      <w:r w:rsidR="00F01EB7">
        <w:rPr>
          <w:rFonts w:eastAsia="Arial" w:cs="Arial"/>
        </w:rPr>
        <w:fldChar w:fldCharType="end"/>
      </w:r>
      <w:r w:rsidR="00977914" w:rsidRPr="00A91464">
        <w:rPr>
          <w:rFonts w:eastAsia="Arial" w:cs="Arial"/>
        </w:rPr>
        <w:t xml:space="preserve"> (</w:t>
      </w:r>
      <w:r w:rsidR="18AFAC5C" w:rsidRPr="00A91464">
        <w:rPr>
          <w:rFonts w:eastAsia="Arial" w:cs="Arial"/>
        </w:rPr>
        <w:t>or</w:t>
      </w:r>
      <w:r w:rsidR="00977914" w:rsidRPr="00A91464">
        <w:rPr>
          <w:rFonts w:eastAsia="Arial" w:cs="Arial"/>
        </w:rPr>
        <w:t xml:space="preserve"> pan-tumour or histology independent therapies).  </w:t>
      </w:r>
    </w:p>
    <w:p w14:paraId="73B794A5" w14:textId="0AFEBD5C" w:rsidR="002641C5" w:rsidRDefault="00D2012B" w:rsidP="00F61259">
      <w:pPr>
        <w:spacing w:before="120"/>
        <w:ind w:left="-23" w:right="-23"/>
        <w:jc w:val="both"/>
        <w:rPr>
          <w:rFonts w:eastAsia="Arial" w:cs="Arial"/>
        </w:rPr>
      </w:pPr>
      <w:r>
        <w:rPr>
          <w:rFonts w:eastAsia="Arial" w:cs="Arial"/>
        </w:rPr>
        <w:t>Under current arrangements</w:t>
      </w:r>
      <w:r w:rsidR="002A0BB6">
        <w:rPr>
          <w:rFonts w:eastAsia="Arial" w:cs="Arial"/>
        </w:rPr>
        <w:t xml:space="preserve">, </w:t>
      </w:r>
      <w:r w:rsidR="001E7510">
        <w:rPr>
          <w:rFonts w:eastAsia="Arial" w:cs="Arial"/>
        </w:rPr>
        <w:t>health technologies</w:t>
      </w:r>
      <w:r w:rsidR="00516B48">
        <w:rPr>
          <w:rFonts w:eastAsia="Arial" w:cs="Arial"/>
        </w:rPr>
        <w:t xml:space="preserve"> that target </w:t>
      </w:r>
      <w:r w:rsidR="00F96560">
        <w:rPr>
          <w:rFonts w:eastAsia="Arial" w:cs="Arial"/>
        </w:rPr>
        <w:t xml:space="preserve">biomarkers </w:t>
      </w:r>
      <w:r w:rsidR="00BC67B9">
        <w:rPr>
          <w:rFonts w:eastAsia="Arial" w:cs="Arial"/>
        </w:rPr>
        <w:t>are assessed as</w:t>
      </w:r>
      <w:r w:rsidR="002A0BB6">
        <w:rPr>
          <w:rFonts w:eastAsia="Arial" w:cs="Arial"/>
        </w:rPr>
        <w:t xml:space="preserve"> </w:t>
      </w:r>
      <w:r w:rsidR="008B71AA">
        <w:rPr>
          <w:rFonts w:eastAsia="Arial" w:cs="Arial"/>
        </w:rPr>
        <w:t>codependent submission</w:t>
      </w:r>
      <w:r w:rsidR="001936C5">
        <w:rPr>
          <w:rFonts w:eastAsia="Arial" w:cs="Arial"/>
        </w:rPr>
        <w:t>s</w:t>
      </w:r>
      <w:r w:rsidR="008131E9">
        <w:rPr>
          <w:rFonts w:eastAsia="Arial" w:cs="Arial"/>
        </w:rPr>
        <w:t xml:space="preserve">. </w:t>
      </w:r>
      <w:r w:rsidR="003F3B6C">
        <w:rPr>
          <w:rFonts w:eastAsia="Arial" w:cs="Arial"/>
        </w:rPr>
        <w:t xml:space="preserve">These submissions seek </w:t>
      </w:r>
      <w:r w:rsidR="007C5EE6">
        <w:rPr>
          <w:rFonts w:eastAsia="Arial" w:cs="Arial"/>
        </w:rPr>
        <w:t xml:space="preserve">subsidy </w:t>
      </w:r>
      <w:r w:rsidR="003F3B6C">
        <w:rPr>
          <w:rFonts w:eastAsia="Arial" w:cs="Arial"/>
        </w:rPr>
        <w:t>for</w:t>
      </w:r>
      <w:r w:rsidR="007C5EE6">
        <w:rPr>
          <w:rFonts w:eastAsia="Arial" w:cs="Arial"/>
        </w:rPr>
        <w:t xml:space="preserve"> both the health technology and the test</w:t>
      </w:r>
      <w:r w:rsidR="007C5EE6" w:rsidRPr="54C875CA">
        <w:rPr>
          <w:rFonts w:eastAsia="Arial" w:cs="Arial"/>
        </w:rPr>
        <w:t xml:space="preserve"> for </w:t>
      </w:r>
      <w:r w:rsidR="007C5EE6" w:rsidRPr="5CBAF6CA">
        <w:rPr>
          <w:rFonts w:eastAsia="Arial" w:cs="Arial"/>
        </w:rPr>
        <w:t>the</w:t>
      </w:r>
      <w:r w:rsidR="007C5EE6" w:rsidRPr="54C875CA">
        <w:rPr>
          <w:rFonts w:eastAsia="Arial" w:cs="Arial"/>
        </w:rPr>
        <w:t xml:space="preserve"> biomarker</w:t>
      </w:r>
      <w:r w:rsidR="00F06BB6">
        <w:rPr>
          <w:rFonts w:eastAsia="Arial" w:cs="Arial"/>
        </w:rPr>
        <w:t xml:space="preserve">. </w:t>
      </w:r>
      <w:r w:rsidR="001445AF">
        <w:rPr>
          <w:rFonts w:eastAsia="Arial" w:cs="Arial"/>
        </w:rPr>
        <w:t xml:space="preserve">As the use of </w:t>
      </w:r>
      <w:r w:rsidR="00ED1744">
        <w:rPr>
          <w:rFonts w:eastAsia="Arial" w:cs="Arial"/>
        </w:rPr>
        <w:t xml:space="preserve">both the </w:t>
      </w:r>
      <w:r w:rsidR="001F2068">
        <w:rPr>
          <w:rFonts w:eastAsia="Arial" w:cs="Arial"/>
        </w:rPr>
        <w:t>therapy and the test for the molecular biomarker</w:t>
      </w:r>
      <w:r w:rsidR="001445AF">
        <w:rPr>
          <w:rFonts w:eastAsia="Arial" w:cs="Arial"/>
        </w:rPr>
        <w:t xml:space="preserve"> needs to be combined </w:t>
      </w:r>
      <w:r w:rsidR="008A4270">
        <w:rPr>
          <w:rFonts w:eastAsia="Arial" w:cs="Arial"/>
        </w:rPr>
        <w:t xml:space="preserve">to achieve the intended clinical effect, </w:t>
      </w:r>
      <w:r w:rsidR="004D5840">
        <w:rPr>
          <w:rFonts w:eastAsia="Arial" w:cs="Arial"/>
        </w:rPr>
        <w:t xml:space="preserve">the net clinical benefits </w:t>
      </w:r>
      <w:r w:rsidR="00090B18">
        <w:rPr>
          <w:rFonts w:eastAsia="Arial" w:cs="Arial"/>
        </w:rPr>
        <w:t xml:space="preserve">from the joint use of the </w:t>
      </w:r>
      <w:r w:rsidR="004D5840">
        <w:rPr>
          <w:rFonts w:eastAsia="Arial" w:cs="Arial"/>
        </w:rPr>
        <w:t xml:space="preserve">technologies are </w:t>
      </w:r>
      <w:r w:rsidR="00D85F35">
        <w:rPr>
          <w:rFonts w:eastAsia="Arial" w:cs="Arial"/>
        </w:rPr>
        <w:t xml:space="preserve">assessed. </w:t>
      </w:r>
      <w:r w:rsidR="00306561">
        <w:rPr>
          <w:rFonts w:eastAsia="Arial" w:cs="Arial"/>
        </w:rPr>
        <w:t>In the clinical evaluation</w:t>
      </w:r>
      <w:r w:rsidR="00AB0520">
        <w:rPr>
          <w:rFonts w:eastAsia="Arial" w:cs="Arial"/>
        </w:rPr>
        <w:t>,</w:t>
      </w:r>
      <w:r w:rsidR="00306561">
        <w:rPr>
          <w:rFonts w:eastAsia="Arial" w:cs="Arial"/>
        </w:rPr>
        <w:t xml:space="preserve"> </w:t>
      </w:r>
      <w:r w:rsidR="0095118A">
        <w:rPr>
          <w:rFonts w:eastAsia="Arial" w:cs="Arial"/>
        </w:rPr>
        <w:t>applicants</w:t>
      </w:r>
      <w:r w:rsidR="002641C5">
        <w:rPr>
          <w:rFonts w:eastAsia="Arial" w:cs="Arial"/>
        </w:rPr>
        <w:t xml:space="preserve"> are asked to provide information about the: </w:t>
      </w:r>
    </w:p>
    <w:p w14:paraId="40F6FBB0" w14:textId="07743D01" w:rsidR="00D2012B" w:rsidRDefault="00670D09" w:rsidP="008505D7">
      <w:pPr>
        <w:pStyle w:val="ListParagraph"/>
        <w:numPr>
          <w:ilvl w:val="0"/>
          <w:numId w:val="30"/>
        </w:numPr>
        <w:spacing w:after="0"/>
        <w:rPr>
          <w:rFonts w:eastAsia="Arial" w:cs="Arial"/>
        </w:rPr>
      </w:pPr>
      <w:r>
        <w:rPr>
          <w:rFonts w:eastAsia="Arial" w:cs="Arial"/>
        </w:rPr>
        <w:t>p</w:t>
      </w:r>
      <w:r w:rsidR="002641C5">
        <w:rPr>
          <w:rFonts w:eastAsia="Arial" w:cs="Arial"/>
        </w:rPr>
        <w:t>rognostic effect of the biomarker</w:t>
      </w:r>
    </w:p>
    <w:p w14:paraId="22C94F78" w14:textId="0446D032" w:rsidR="002641C5" w:rsidRDefault="00670D09" w:rsidP="008505D7">
      <w:pPr>
        <w:pStyle w:val="ListParagraph"/>
        <w:numPr>
          <w:ilvl w:val="0"/>
          <w:numId w:val="30"/>
        </w:numPr>
        <w:spacing w:after="0"/>
        <w:rPr>
          <w:rFonts w:eastAsia="Arial" w:cs="Arial"/>
        </w:rPr>
      </w:pPr>
      <w:r>
        <w:rPr>
          <w:rFonts w:eastAsia="Arial" w:cs="Arial"/>
        </w:rPr>
        <w:t>a</w:t>
      </w:r>
      <w:r w:rsidR="002641C5">
        <w:rPr>
          <w:rFonts w:eastAsia="Arial" w:cs="Arial"/>
        </w:rPr>
        <w:t>ccuracy and performance of the proposed test</w:t>
      </w:r>
    </w:p>
    <w:p w14:paraId="4EB2E58C" w14:textId="425D6C78" w:rsidR="002641C5" w:rsidRDefault="00670D09" w:rsidP="008505D7">
      <w:pPr>
        <w:pStyle w:val="ListParagraph"/>
        <w:numPr>
          <w:ilvl w:val="0"/>
          <w:numId w:val="30"/>
        </w:numPr>
        <w:spacing w:after="0"/>
        <w:rPr>
          <w:rFonts w:eastAsia="Arial" w:cs="Arial"/>
        </w:rPr>
      </w:pPr>
      <w:r>
        <w:rPr>
          <w:rFonts w:eastAsia="Arial" w:cs="Arial"/>
        </w:rPr>
        <w:t>c</w:t>
      </w:r>
      <w:r w:rsidR="00B803BF">
        <w:rPr>
          <w:rFonts w:eastAsia="Arial" w:cs="Arial"/>
        </w:rPr>
        <w:t xml:space="preserve">hange in clinical </w:t>
      </w:r>
      <w:r w:rsidR="00886CE6">
        <w:rPr>
          <w:rFonts w:eastAsia="Arial" w:cs="Arial"/>
        </w:rPr>
        <w:t>management</w:t>
      </w:r>
      <w:r w:rsidR="005B3518">
        <w:rPr>
          <w:rFonts w:eastAsia="Arial" w:cs="Arial"/>
        </w:rPr>
        <w:t>, and</w:t>
      </w:r>
    </w:p>
    <w:p w14:paraId="3584E899" w14:textId="513FDFEA" w:rsidR="00886CE6" w:rsidRDefault="00670D09" w:rsidP="008505D7">
      <w:pPr>
        <w:pStyle w:val="ListParagraph"/>
        <w:numPr>
          <w:ilvl w:val="0"/>
          <w:numId w:val="30"/>
        </w:numPr>
        <w:spacing w:after="0"/>
        <w:rPr>
          <w:rFonts w:eastAsia="Arial" w:cs="Arial"/>
        </w:rPr>
      </w:pPr>
      <w:r>
        <w:rPr>
          <w:rFonts w:eastAsia="Arial" w:cs="Arial"/>
        </w:rPr>
        <w:t>c</w:t>
      </w:r>
      <w:r w:rsidR="008D0453">
        <w:rPr>
          <w:rFonts w:eastAsia="Arial" w:cs="Arial"/>
        </w:rPr>
        <w:t>linical evaluation of the codependent technologies</w:t>
      </w:r>
      <w:r w:rsidR="00D64E29">
        <w:rPr>
          <w:rFonts w:eastAsia="Arial" w:cs="Arial"/>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rFonts w:eastAsia="Arial" w:cs="Arial"/>
        </w:rPr>
        <w:fldChar w:fldCharType="end"/>
      </w:r>
      <w:r w:rsidR="008D0453">
        <w:rPr>
          <w:rFonts w:eastAsia="Arial" w:cs="Arial"/>
        </w:rPr>
        <w:t xml:space="preserve"> whether separate or combined. </w:t>
      </w:r>
    </w:p>
    <w:p w14:paraId="11D83895" w14:textId="2EFF5C02" w:rsidR="00A8234F" w:rsidRDefault="00A8234F" w:rsidP="00A8234F">
      <w:r>
        <w:t>This approach is partly to assess the validity of the test, and partly to account for the cost of testing to identify a patient with a targetable biomarker.</w:t>
      </w:r>
    </w:p>
    <w:p w14:paraId="1E6D291B" w14:textId="46FA285E" w:rsidR="00805402" w:rsidRDefault="00147015" w:rsidP="00CA25D3">
      <w:r>
        <w:t xml:space="preserve">The </w:t>
      </w:r>
      <w:r w:rsidR="00BF4155">
        <w:t xml:space="preserve">PBAC and MSAC guidelines </w:t>
      </w:r>
      <w:r w:rsidR="005B199A">
        <w:t xml:space="preserve">instruct </w:t>
      </w:r>
      <w:r w:rsidR="00781D4C">
        <w:t>applicants</w:t>
      </w:r>
      <w:r>
        <w:t xml:space="preserve"> to </w:t>
      </w:r>
      <w:r w:rsidR="00E91417">
        <w:t>use different approach</w:t>
      </w:r>
      <w:r w:rsidR="00CA25D3">
        <w:t>es</w:t>
      </w:r>
      <w:r w:rsidR="00216236">
        <w:t>,</w:t>
      </w:r>
      <w:r w:rsidR="00327D71">
        <w:t xml:space="preserve"> depending on whether </w:t>
      </w:r>
      <w:r w:rsidR="0072172A">
        <w:t>‘</w:t>
      </w:r>
      <w:r w:rsidR="00327D71">
        <w:t>direct evidence</w:t>
      </w:r>
      <w:r w:rsidR="0072172A">
        <w:t>’</w:t>
      </w:r>
      <w:r w:rsidR="00327D71">
        <w:t xml:space="preserve"> or </w:t>
      </w:r>
      <w:r w:rsidR="0072172A">
        <w:t>‘</w:t>
      </w:r>
      <w:r w:rsidR="00327D71">
        <w:t>linked evidence</w:t>
      </w:r>
      <w:r w:rsidR="0072172A">
        <w:t>’</w:t>
      </w:r>
      <w:r w:rsidR="00327D71">
        <w:t xml:space="preserve"> is available.</w:t>
      </w:r>
      <w:r w:rsidR="00E91417">
        <w:t xml:space="preserve"> </w:t>
      </w:r>
    </w:p>
    <w:p w14:paraId="069F3231" w14:textId="5A06D9A6" w:rsidR="00877167" w:rsidRDefault="0072172A" w:rsidP="00CA25D3">
      <w:r>
        <w:t>‘</w:t>
      </w:r>
      <w:r w:rsidR="00805402" w:rsidRPr="00805402">
        <w:t xml:space="preserve">Direct evidence’ describes studies that compare groups of people receiving either the currently used diagnostic test/test strategy or the proposed diagnostic test/test strategy and measures the differential impact of the diagnostic method on patient health outcomes. If patients are randomised to receive the test, then biomarker status would be known and, on that basis, subsequent targeted therapy or usual care </w:t>
      </w:r>
      <w:r w:rsidR="00805402" w:rsidRPr="00805402">
        <w:lastRenderedPageBreak/>
        <w:t>could be decided. If patients are randomised to not having the test, then a treatment would be received that is not targeted by the biomarker result.</w:t>
      </w:r>
      <w:r w:rsidR="00327D71">
        <w:t xml:space="preserve"> </w:t>
      </w:r>
    </w:p>
    <w:p w14:paraId="4BFA0735" w14:textId="5499F8F5" w:rsidR="00CA25D3" w:rsidRPr="00CA25D3" w:rsidRDefault="0072172A" w:rsidP="00687095">
      <w:r>
        <w:t>‘</w:t>
      </w:r>
      <w:r w:rsidR="00904E65">
        <w:t>L</w:t>
      </w:r>
      <w:r w:rsidR="00CA25D3" w:rsidRPr="00CA25D3">
        <w:t>inked</w:t>
      </w:r>
      <w:r>
        <w:t xml:space="preserve"> </w:t>
      </w:r>
      <w:r w:rsidR="00CA25D3" w:rsidRPr="00CA25D3">
        <w:t>evidence</w:t>
      </w:r>
      <w:r>
        <w:t>’</w:t>
      </w:r>
      <w:r w:rsidR="00CA25D3" w:rsidRPr="00CA25D3">
        <w:t xml:space="preserve"> </w:t>
      </w:r>
      <w:r w:rsidR="00CA25D3">
        <w:t>describes</w:t>
      </w:r>
      <w:r w:rsidR="00CA25D3" w:rsidRPr="00CA25D3">
        <w:t xml:space="preserve"> </w:t>
      </w:r>
      <w:r w:rsidR="009D7F80">
        <w:t>an approach</w:t>
      </w:r>
      <w:r w:rsidR="00CA25D3" w:rsidRPr="00CA25D3">
        <w:t xml:space="preserve"> </w:t>
      </w:r>
      <w:r w:rsidR="005A5FAB">
        <w:t>whe</w:t>
      </w:r>
      <w:r w:rsidR="002A20D7">
        <w:t>reby</w:t>
      </w:r>
      <w:r w:rsidR="00CA25D3" w:rsidRPr="00CA25D3">
        <w:t xml:space="preserve"> evidence of test</w:t>
      </w:r>
      <w:r w:rsidR="00CA25D3">
        <w:t xml:space="preserve"> </w:t>
      </w:r>
      <w:r w:rsidR="00CA25D3" w:rsidRPr="00CA25D3">
        <w:t xml:space="preserve">accuracy </w:t>
      </w:r>
      <w:r w:rsidR="000F5846">
        <w:t xml:space="preserve">comparing </w:t>
      </w:r>
      <w:r w:rsidR="00CA25D3" w:rsidRPr="00CA25D3">
        <w:t>the proposed and current test/test strategy could be linked (if considered to be appropriately transferable) to separately sourced evidence of treatment effectiveness to approximate the likely clinical effectiveness of the proposed test/test strategy.</w:t>
      </w:r>
    </w:p>
    <w:p w14:paraId="323AD18F" w14:textId="3AB687BD" w:rsidR="00605102" w:rsidRPr="00605102" w:rsidRDefault="00CA25D3" w:rsidP="00687095">
      <w:r w:rsidRPr="00EF6EDC">
        <w:t>For example, this might involve linking evidence of the test’s performance (</w:t>
      </w:r>
      <w:proofErr w:type="gramStart"/>
      <w:r w:rsidR="00031FAB">
        <w:t>e.g.</w:t>
      </w:r>
      <w:proofErr w:type="gramEnd"/>
      <w:r w:rsidR="00506486" w:rsidRPr="00EF6EDC">
        <w:t xml:space="preserve"> </w:t>
      </w:r>
      <w:r w:rsidRPr="00EF6EDC">
        <w:t>diagnostic accuracy) with evidence demonstrating that the test result changes the medicines or treatment prescribed, and with evidence that the alternative medicines have different effectiveness and safety profiles.</w:t>
      </w:r>
    </w:p>
    <w:p w14:paraId="0A24FBC3" w14:textId="77777777" w:rsidR="00977914" w:rsidRPr="00BE48FE" w:rsidRDefault="00977914" w:rsidP="006D3484">
      <w:pPr>
        <w:pStyle w:val="Heading3"/>
      </w:pPr>
      <w:bookmarkStart w:id="169" w:name="_Toc157029091"/>
      <w:r>
        <w:t>What we heard from stakeholders</w:t>
      </w:r>
      <w:bookmarkEnd w:id="169"/>
      <w:r>
        <w:t xml:space="preserve"> </w:t>
      </w:r>
    </w:p>
    <w:p w14:paraId="47DB0C1B" w14:textId="7A08C8B8" w:rsidR="00977914" w:rsidRDefault="00A25C03" w:rsidP="008C10BB">
      <w:pPr>
        <w:ind w:left="-20" w:right="-20"/>
        <w:rPr>
          <w:rFonts w:eastAsia="Arial" w:cs="Arial"/>
        </w:rPr>
      </w:pPr>
      <w:r>
        <w:rPr>
          <w:rFonts w:eastAsia="Arial" w:cs="Arial"/>
        </w:rPr>
        <w:t>S</w:t>
      </w:r>
      <w:r w:rsidR="00DC0124">
        <w:rPr>
          <w:rFonts w:eastAsia="Arial" w:cs="Arial"/>
        </w:rPr>
        <w:t xml:space="preserve">takeholders </w:t>
      </w:r>
      <w:r w:rsidR="00F11BB1">
        <w:rPr>
          <w:rFonts w:eastAsia="Arial" w:cs="Arial"/>
        </w:rPr>
        <w:t>expressed a range of concerns about assessment of</w:t>
      </w:r>
      <w:r w:rsidR="00DC0124">
        <w:rPr>
          <w:rFonts w:eastAsia="Arial" w:cs="Arial"/>
        </w:rPr>
        <w:t xml:space="preserve"> </w:t>
      </w:r>
      <w:r w:rsidR="00AC2E9E">
        <w:rPr>
          <w:rFonts w:eastAsia="Arial" w:cs="Arial"/>
        </w:rPr>
        <w:t xml:space="preserve">therapies that target biomarkers. These sentiments included: </w:t>
      </w:r>
    </w:p>
    <w:p w14:paraId="3B748005" w14:textId="2A97E9F0" w:rsidR="00272DEA" w:rsidRPr="00687095" w:rsidRDefault="0052088D" w:rsidP="008505D7">
      <w:pPr>
        <w:pStyle w:val="ListParagraph"/>
        <w:numPr>
          <w:ilvl w:val="0"/>
          <w:numId w:val="30"/>
        </w:numPr>
        <w:spacing w:after="0"/>
        <w:rPr>
          <w:rFonts w:eastAsia="Arial" w:cs="Arial"/>
          <w:i/>
        </w:rPr>
      </w:pPr>
      <w:r w:rsidRPr="00C0668A">
        <w:rPr>
          <w:rFonts w:eastAsia="Arial" w:cs="Arial"/>
          <w:i/>
          <w:iCs/>
        </w:rPr>
        <w:t xml:space="preserve">the need to have them appraised by two committees </w:t>
      </w:r>
      <w:r>
        <w:rPr>
          <w:rFonts w:eastAsia="Arial" w:cs="Arial"/>
          <w:i/>
          <w:iCs/>
        </w:rPr>
        <w:t xml:space="preserve">causes </w:t>
      </w:r>
      <w:proofErr w:type="gramStart"/>
      <w:r>
        <w:rPr>
          <w:rFonts w:eastAsia="Arial" w:cs="Arial"/>
          <w:i/>
          <w:iCs/>
        </w:rPr>
        <w:t>delays</w:t>
      </w:r>
      <w:proofErr w:type="gramEnd"/>
    </w:p>
    <w:p w14:paraId="7F600F76" w14:textId="20F65D3A" w:rsidR="00364748" w:rsidRPr="00687095" w:rsidRDefault="0052088D" w:rsidP="008505D7">
      <w:pPr>
        <w:pStyle w:val="ListParagraph"/>
        <w:numPr>
          <w:ilvl w:val="0"/>
          <w:numId w:val="30"/>
        </w:numPr>
        <w:spacing w:after="0"/>
        <w:rPr>
          <w:rFonts w:eastAsia="Arial" w:cs="Arial"/>
          <w:i/>
        </w:rPr>
      </w:pPr>
      <w:r>
        <w:rPr>
          <w:rFonts w:eastAsia="Arial" w:cs="Arial"/>
          <w:i/>
          <w:iCs/>
        </w:rPr>
        <w:t>it can be difficult to</w:t>
      </w:r>
      <w:r w:rsidR="00977914" w:rsidRPr="00687095">
        <w:rPr>
          <w:rFonts w:eastAsia="Arial" w:cs="Arial"/>
          <w:i/>
        </w:rPr>
        <w:t xml:space="preserve"> develop a joint submission on a codependent technology </w:t>
      </w:r>
      <w:r>
        <w:rPr>
          <w:rFonts w:eastAsia="Arial" w:cs="Arial"/>
          <w:i/>
          <w:iCs/>
        </w:rPr>
        <w:t xml:space="preserve">marketed </w:t>
      </w:r>
      <w:r w:rsidR="00977914" w:rsidRPr="00687095">
        <w:rPr>
          <w:rFonts w:eastAsia="Arial" w:cs="Arial"/>
          <w:i/>
        </w:rPr>
        <w:t xml:space="preserve">by </w:t>
      </w:r>
      <w:r w:rsidR="00364748" w:rsidRPr="00687095">
        <w:rPr>
          <w:rFonts w:eastAsia="Arial" w:cs="Arial"/>
          <w:i/>
        </w:rPr>
        <w:t xml:space="preserve">2 </w:t>
      </w:r>
      <w:r w:rsidR="00977914" w:rsidRPr="00687095">
        <w:rPr>
          <w:rFonts w:eastAsia="Arial" w:cs="Arial"/>
          <w:i/>
        </w:rPr>
        <w:t xml:space="preserve">different </w:t>
      </w:r>
      <w:proofErr w:type="gramStart"/>
      <w:r w:rsidR="00977914" w:rsidRPr="00687095">
        <w:rPr>
          <w:rFonts w:eastAsia="Arial" w:cs="Arial"/>
          <w:i/>
        </w:rPr>
        <w:t>sponsors</w:t>
      </w:r>
      <w:proofErr w:type="gramEnd"/>
    </w:p>
    <w:p w14:paraId="233E254B" w14:textId="26634706" w:rsidR="00F81A31" w:rsidRPr="00687095" w:rsidRDefault="0052088D" w:rsidP="008505D7">
      <w:pPr>
        <w:pStyle w:val="ListParagraph"/>
        <w:numPr>
          <w:ilvl w:val="0"/>
          <w:numId w:val="30"/>
        </w:numPr>
        <w:spacing w:after="0"/>
        <w:rPr>
          <w:rFonts w:eastAsia="Arial" w:cs="Arial"/>
          <w:i/>
        </w:rPr>
      </w:pPr>
      <w:r>
        <w:rPr>
          <w:rFonts w:eastAsia="Arial" w:cs="Arial"/>
          <w:i/>
          <w:iCs/>
        </w:rPr>
        <w:t>unclear</w:t>
      </w:r>
      <w:r w:rsidR="00977914" w:rsidRPr="00687095">
        <w:rPr>
          <w:rFonts w:eastAsia="Arial" w:cs="Arial"/>
          <w:i/>
        </w:rPr>
        <w:t xml:space="preserve"> why the test needs to be evaluated in a codependent pairing, given the </w:t>
      </w:r>
      <w:proofErr w:type="gramStart"/>
      <w:r w:rsidR="00977914" w:rsidRPr="00687095">
        <w:rPr>
          <w:rFonts w:eastAsia="Arial" w:cs="Arial"/>
          <w:i/>
        </w:rPr>
        <w:t>often small</w:t>
      </w:r>
      <w:proofErr w:type="gramEnd"/>
      <w:r w:rsidR="00977914" w:rsidRPr="00687095">
        <w:rPr>
          <w:rFonts w:eastAsia="Arial" w:cs="Arial"/>
          <w:i/>
        </w:rPr>
        <w:t xml:space="preserve"> incremental cost of the test relative to the costs of the targeted treatment</w:t>
      </w:r>
    </w:p>
    <w:p w14:paraId="222978CD" w14:textId="3E522599" w:rsidR="00615204" w:rsidRPr="00687095" w:rsidRDefault="0088268D" w:rsidP="008505D7">
      <w:pPr>
        <w:pStyle w:val="ListParagraph"/>
        <w:numPr>
          <w:ilvl w:val="0"/>
          <w:numId w:val="30"/>
        </w:numPr>
        <w:spacing w:after="0"/>
        <w:rPr>
          <w:rFonts w:eastAsia="Arial" w:cs="Arial"/>
          <w:i/>
        </w:rPr>
      </w:pPr>
      <w:r>
        <w:rPr>
          <w:rFonts w:eastAsia="Arial" w:cs="Arial"/>
          <w:i/>
          <w:iCs/>
        </w:rPr>
        <w:t>unclear how</w:t>
      </w:r>
      <w:r w:rsidR="00977914" w:rsidRPr="00687095">
        <w:rPr>
          <w:rFonts w:eastAsia="Arial" w:cs="Arial"/>
          <w:i/>
        </w:rPr>
        <w:t xml:space="preserve"> the codependent technology framework</w:t>
      </w:r>
      <w:r w:rsidR="00977914">
        <w:rPr>
          <w:rFonts w:eastAsia="Arial" w:cs="Arial"/>
          <w:i/>
        </w:rPr>
        <w:t xml:space="preserve"> </w:t>
      </w:r>
      <w:r>
        <w:rPr>
          <w:rFonts w:eastAsia="Arial" w:cs="Arial"/>
          <w:i/>
          <w:iCs/>
        </w:rPr>
        <w:t>applies</w:t>
      </w:r>
      <w:r w:rsidR="00977914" w:rsidRPr="00687095">
        <w:rPr>
          <w:rFonts w:eastAsia="Arial" w:cs="Arial"/>
          <w:i/>
        </w:rPr>
        <w:t xml:space="preserve"> to genomic </w:t>
      </w:r>
      <w:proofErr w:type="gramStart"/>
      <w:r w:rsidR="00977914" w:rsidRPr="00687095">
        <w:rPr>
          <w:rFonts w:eastAsia="Arial" w:cs="Arial"/>
          <w:i/>
        </w:rPr>
        <w:t>tests</w:t>
      </w:r>
      <w:proofErr w:type="gramEnd"/>
    </w:p>
    <w:p w14:paraId="2C0C200C" w14:textId="507DAFFF" w:rsidR="00A00685" w:rsidRPr="00687095" w:rsidRDefault="00A00685" w:rsidP="008505D7">
      <w:pPr>
        <w:pStyle w:val="ListParagraph"/>
        <w:numPr>
          <w:ilvl w:val="0"/>
          <w:numId w:val="30"/>
        </w:numPr>
        <w:spacing w:after="0"/>
        <w:rPr>
          <w:rFonts w:eastAsia="Arial" w:cs="Arial"/>
          <w:i/>
        </w:rPr>
      </w:pPr>
      <w:r w:rsidRPr="00687095">
        <w:rPr>
          <w:rFonts w:eastAsia="Arial" w:cs="Arial"/>
          <w:i/>
        </w:rPr>
        <w:t>d</w:t>
      </w:r>
      <w:r w:rsidR="00977914" w:rsidRPr="00687095">
        <w:rPr>
          <w:rFonts w:eastAsia="Arial" w:cs="Arial"/>
          <w:i/>
        </w:rPr>
        <w:t>elays in processing gene therapies because of the HST</w:t>
      </w:r>
      <w:r w:rsidR="00D0068C">
        <w:rPr>
          <w:rFonts w:eastAsia="Arial" w:cs="Arial"/>
          <w:i/>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Fonts w:eastAsia="Arial" w:cs="Arial"/>
          <w:i/>
        </w:rPr>
        <w:fldChar w:fldCharType="end"/>
      </w:r>
      <w:r w:rsidR="00977914" w:rsidRPr="00687095">
        <w:rPr>
          <w:rFonts w:eastAsia="Arial" w:cs="Arial"/>
          <w:i/>
        </w:rPr>
        <w:t xml:space="preserve"> framework</w:t>
      </w:r>
    </w:p>
    <w:p w14:paraId="5A0B23CD" w14:textId="5E17FBB6" w:rsidR="00977914" w:rsidRPr="00687095" w:rsidRDefault="00977914" w:rsidP="008505D7">
      <w:pPr>
        <w:pStyle w:val="ListParagraph"/>
        <w:numPr>
          <w:ilvl w:val="0"/>
          <w:numId w:val="30"/>
        </w:numPr>
        <w:spacing w:after="0"/>
        <w:rPr>
          <w:rFonts w:eastAsia="Arial" w:cs="Arial"/>
          <w:i/>
        </w:rPr>
      </w:pPr>
      <w:r w:rsidRPr="00687095">
        <w:rPr>
          <w:rFonts w:eastAsia="Arial" w:cs="Arial"/>
          <w:i/>
        </w:rPr>
        <w:t>the need to develop evaluation methods and/or different ways of appraising the value of tumour-agnostic therapies</w:t>
      </w:r>
      <w:r w:rsidR="00A00685" w:rsidRPr="00687095">
        <w:rPr>
          <w:rFonts w:eastAsia="Arial" w:cs="Arial"/>
          <w:i/>
        </w:rPr>
        <w:t>.</w:t>
      </w:r>
    </w:p>
    <w:p w14:paraId="6DFCD72E" w14:textId="5C905CBD" w:rsidR="00C064FA" w:rsidRDefault="00C064FA" w:rsidP="00D85FC7">
      <w:pPr>
        <w:pStyle w:val="Heading3"/>
        <w:keepNext/>
        <w:keepLines/>
      </w:pPr>
      <w:bookmarkStart w:id="170" w:name="_Toc157029092"/>
      <w:r>
        <w:t>Issues</w:t>
      </w:r>
      <w:bookmarkEnd w:id="170"/>
    </w:p>
    <w:p w14:paraId="3CC01580" w14:textId="453110D9" w:rsidR="00C264DA" w:rsidRDefault="007C6CB2" w:rsidP="00C064FA">
      <w:pPr>
        <w:spacing w:before="120"/>
        <w:ind w:left="-23" w:right="-23"/>
        <w:jc w:val="both"/>
        <w:rPr>
          <w:rFonts w:eastAsia="Arial" w:cs="Arial"/>
        </w:rPr>
      </w:pPr>
      <w:r>
        <w:rPr>
          <w:rFonts w:eastAsia="Arial" w:cs="Arial"/>
        </w:rPr>
        <w:t xml:space="preserve">We </w:t>
      </w:r>
      <w:r w:rsidR="00736F7D">
        <w:rPr>
          <w:rFonts w:eastAsia="Arial" w:cs="Arial"/>
        </w:rPr>
        <w:t xml:space="preserve">note that </w:t>
      </w:r>
      <w:r w:rsidR="000A4F23">
        <w:rPr>
          <w:rFonts w:eastAsia="Arial" w:cs="Arial"/>
        </w:rPr>
        <w:t xml:space="preserve">precision medicine and genomic profiling </w:t>
      </w:r>
      <w:r w:rsidR="00354AFF">
        <w:rPr>
          <w:rFonts w:eastAsia="Arial" w:cs="Arial"/>
        </w:rPr>
        <w:t xml:space="preserve">present </w:t>
      </w:r>
      <w:proofErr w:type="gramStart"/>
      <w:r w:rsidR="00354AFF">
        <w:rPr>
          <w:rFonts w:eastAsia="Arial" w:cs="Arial"/>
        </w:rPr>
        <w:t>a number of</w:t>
      </w:r>
      <w:proofErr w:type="gramEnd"/>
      <w:r w:rsidR="00354AFF">
        <w:rPr>
          <w:rFonts w:eastAsia="Arial" w:cs="Arial"/>
        </w:rPr>
        <w:t xml:space="preserve"> challenges </w:t>
      </w:r>
      <w:r w:rsidR="000040F5">
        <w:rPr>
          <w:rFonts w:eastAsia="Arial" w:cs="Arial"/>
        </w:rPr>
        <w:t>to the e</w:t>
      </w:r>
      <w:r w:rsidR="00BC101E">
        <w:rPr>
          <w:rFonts w:eastAsia="Arial" w:cs="Arial"/>
        </w:rPr>
        <w:t xml:space="preserve">xisting </w:t>
      </w:r>
      <w:r w:rsidR="004767FA">
        <w:rPr>
          <w:rFonts w:eastAsia="Arial" w:cs="Arial"/>
        </w:rPr>
        <w:t>framework for assessing codependent technologies</w:t>
      </w:r>
      <w:r w:rsidR="00D64E29">
        <w:rPr>
          <w:rFonts w:eastAsia="Arial" w:cs="Arial"/>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rFonts w:eastAsia="Arial" w:cs="Arial"/>
        </w:rPr>
        <w:fldChar w:fldCharType="end"/>
      </w:r>
      <w:r w:rsidR="004767FA">
        <w:rPr>
          <w:rFonts w:eastAsia="Arial" w:cs="Arial"/>
        </w:rPr>
        <w:t xml:space="preserve">. These include: </w:t>
      </w:r>
    </w:p>
    <w:p w14:paraId="61DD9A68" w14:textId="755A6B10" w:rsidR="004767FA" w:rsidRDefault="009305C7" w:rsidP="008505D7">
      <w:pPr>
        <w:pStyle w:val="ListParagraph"/>
        <w:numPr>
          <w:ilvl w:val="0"/>
          <w:numId w:val="30"/>
        </w:numPr>
        <w:spacing w:before="120"/>
        <w:ind w:right="-23"/>
        <w:jc w:val="both"/>
        <w:rPr>
          <w:rFonts w:eastAsia="Arial" w:cs="Arial"/>
        </w:rPr>
      </w:pPr>
      <w:r>
        <w:rPr>
          <w:rFonts w:eastAsia="Arial" w:cs="Arial"/>
        </w:rPr>
        <w:t>evolution of testing methods</w:t>
      </w:r>
      <w:r w:rsidR="00DA337A">
        <w:rPr>
          <w:rFonts w:eastAsia="Arial" w:cs="Arial"/>
        </w:rPr>
        <w:t>,</w:t>
      </w:r>
      <w:r>
        <w:rPr>
          <w:rFonts w:eastAsia="Arial" w:cs="Arial"/>
        </w:rPr>
        <w:t xml:space="preserve"> </w:t>
      </w:r>
      <w:r w:rsidR="00896E61">
        <w:rPr>
          <w:rFonts w:eastAsia="Arial" w:cs="Arial"/>
        </w:rPr>
        <w:t xml:space="preserve">such that a single test may be used for multiple </w:t>
      </w:r>
      <w:proofErr w:type="gramStart"/>
      <w:r w:rsidR="00896E61">
        <w:rPr>
          <w:rFonts w:eastAsia="Arial" w:cs="Arial"/>
        </w:rPr>
        <w:t>treatments</w:t>
      </w:r>
      <w:proofErr w:type="gramEnd"/>
    </w:p>
    <w:p w14:paraId="589B4D16" w14:textId="0D710447" w:rsidR="000E015D" w:rsidRDefault="00E12336" w:rsidP="008505D7">
      <w:pPr>
        <w:pStyle w:val="ListParagraph"/>
        <w:numPr>
          <w:ilvl w:val="0"/>
          <w:numId w:val="30"/>
        </w:numPr>
        <w:spacing w:before="120"/>
        <w:ind w:right="-23"/>
        <w:jc w:val="both"/>
        <w:rPr>
          <w:rFonts w:eastAsia="Arial" w:cs="Arial"/>
        </w:rPr>
      </w:pPr>
      <w:r>
        <w:rPr>
          <w:rFonts w:eastAsia="Arial" w:cs="Arial"/>
        </w:rPr>
        <w:t xml:space="preserve">as </w:t>
      </w:r>
      <w:r w:rsidR="008B6EF4">
        <w:rPr>
          <w:rFonts w:eastAsia="Arial" w:cs="Arial"/>
        </w:rPr>
        <w:t xml:space="preserve">testing becomes more comprehensive, linking the cost of a test to a single medicine may no longer be </w:t>
      </w:r>
      <w:proofErr w:type="gramStart"/>
      <w:r w:rsidR="008B6EF4">
        <w:rPr>
          <w:rFonts w:eastAsia="Arial" w:cs="Arial"/>
        </w:rPr>
        <w:t>possible</w:t>
      </w:r>
      <w:proofErr w:type="gramEnd"/>
    </w:p>
    <w:p w14:paraId="171A62DB" w14:textId="757658E7" w:rsidR="00FA022F" w:rsidRPr="00687095" w:rsidRDefault="00441C7A" w:rsidP="008505D7">
      <w:pPr>
        <w:pStyle w:val="ListParagraph"/>
        <w:numPr>
          <w:ilvl w:val="0"/>
          <w:numId w:val="30"/>
        </w:numPr>
        <w:spacing w:before="120"/>
        <w:ind w:right="-23"/>
        <w:jc w:val="both"/>
        <w:rPr>
          <w:rFonts w:eastAsia="Arial" w:cs="Arial"/>
        </w:rPr>
      </w:pPr>
      <w:r>
        <w:rPr>
          <w:rFonts w:eastAsia="Arial" w:cs="Arial"/>
        </w:rPr>
        <w:t>tha</w:t>
      </w:r>
      <w:r w:rsidR="00C475EA">
        <w:rPr>
          <w:rFonts w:eastAsia="Arial" w:cs="Arial"/>
        </w:rPr>
        <w:t>t n</w:t>
      </w:r>
      <w:r w:rsidR="0020458C">
        <w:rPr>
          <w:rFonts w:eastAsia="Arial" w:cs="Arial"/>
        </w:rPr>
        <w:t>ew testing provides more information beyond targeting a treatment to a biomarker</w:t>
      </w:r>
      <w:r w:rsidR="001630C6">
        <w:rPr>
          <w:rFonts w:eastAsia="Arial" w:cs="Arial"/>
        </w:rPr>
        <w:t>,</w:t>
      </w:r>
      <w:r w:rsidR="0020458C">
        <w:rPr>
          <w:rFonts w:eastAsia="Arial" w:cs="Arial"/>
        </w:rPr>
        <w:t xml:space="preserve"> such as providing prognosis or value of knowing information. </w:t>
      </w:r>
    </w:p>
    <w:p w14:paraId="5FFE3335" w14:textId="11410E84" w:rsidR="00C064FA" w:rsidRDefault="007C6CB2" w:rsidP="00C064FA">
      <w:pPr>
        <w:spacing w:before="120"/>
        <w:ind w:left="-23" w:right="-23"/>
        <w:jc w:val="both"/>
        <w:rPr>
          <w:rFonts w:eastAsia="Arial" w:cs="Arial"/>
        </w:rPr>
      </w:pPr>
      <w:r>
        <w:rPr>
          <w:rFonts w:eastAsia="Arial" w:cs="Arial"/>
        </w:rPr>
        <w:t xml:space="preserve">We </w:t>
      </w:r>
      <w:r w:rsidR="00F24D76">
        <w:rPr>
          <w:rFonts w:eastAsia="Arial" w:cs="Arial"/>
        </w:rPr>
        <w:t xml:space="preserve">also </w:t>
      </w:r>
      <w:r>
        <w:rPr>
          <w:rFonts w:eastAsia="Arial" w:cs="Arial"/>
        </w:rPr>
        <w:t xml:space="preserve">note </w:t>
      </w:r>
      <w:r w:rsidR="00F24D76">
        <w:rPr>
          <w:rFonts w:eastAsia="Arial" w:cs="Arial"/>
        </w:rPr>
        <w:t xml:space="preserve">there are </w:t>
      </w:r>
      <w:proofErr w:type="gramStart"/>
      <w:r>
        <w:rPr>
          <w:rFonts w:eastAsia="Arial" w:cs="Arial"/>
        </w:rPr>
        <w:t>a number of</w:t>
      </w:r>
      <w:proofErr w:type="gramEnd"/>
      <w:r w:rsidR="00C064FA" w:rsidRPr="783D9C77">
        <w:rPr>
          <w:rFonts w:eastAsia="Arial" w:cs="Arial"/>
        </w:rPr>
        <w:t xml:space="preserve"> </w:t>
      </w:r>
      <w:r w:rsidR="001B25E6">
        <w:rPr>
          <w:rFonts w:eastAsia="Arial" w:cs="Arial"/>
        </w:rPr>
        <w:t>challenges</w:t>
      </w:r>
      <w:r w:rsidR="00591676">
        <w:rPr>
          <w:rFonts w:eastAsia="Arial" w:cs="Arial"/>
        </w:rPr>
        <w:t xml:space="preserve"> </w:t>
      </w:r>
      <w:r w:rsidR="00F24D76">
        <w:rPr>
          <w:rFonts w:eastAsia="Arial" w:cs="Arial"/>
        </w:rPr>
        <w:t xml:space="preserve">that have been identified </w:t>
      </w:r>
      <w:r w:rsidR="007B5AA0">
        <w:rPr>
          <w:rFonts w:eastAsia="Arial" w:cs="Arial"/>
        </w:rPr>
        <w:t>in relation to</w:t>
      </w:r>
      <w:r w:rsidR="00F24D76">
        <w:rPr>
          <w:rFonts w:eastAsia="Arial" w:cs="Arial"/>
        </w:rPr>
        <w:t xml:space="preserve"> the assessment of tumour agnostic cancer therapies. These include</w:t>
      </w:r>
      <w:r w:rsidR="00DE425B">
        <w:rPr>
          <w:rFonts w:eastAsia="Arial" w:cs="Arial"/>
        </w:rPr>
        <w:t>:</w:t>
      </w:r>
    </w:p>
    <w:p w14:paraId="35FF7310" w14:textId="43BDDB74" w:rsidR="00C064FA" w:rsidRDefault="00DE425B" w:rsidP="008C10BB">
      <w:pPr>
        <w:pStyle w:val="ListParagraph"/>
        <w:numPr>
          <w:ilvl w:val="0"/>
          <w:numId w:val="20"/>
        </w:numPr>
        <w:spacing w:after="0"/>
        <w:jc w:val="both"/>
        <w:rPr>
          <w:rFonts w:eastAsia="Arial" w:cs="Arial"/>
          <w:szCs w:val="22"/>
        </w:rPr>
      </w:pPr>
      <w:r>
        <w:rPr>
          <w:rFonts w:eastAsia="Arial" w:cs="Arial"/>
          <w:szCs w:val="22"/>
        </w:rPr>
        <w:lastRenderedPageBreak/>
        <w:t>t</w:t>
      </w:r>
      <w:r w:rsidR="00C064FA" w:rsidRPr="797F0D2D">
        <w:rPr>
          <w:rFonts w:eastAsia="Arial" w:cs="Arial"/>
          <w:szCs w:val="22"/>
        </w:rPr>
        <w:t xml:space="preserve">he use of basket trials (trials involving multiple </w:t>
      </w:r>
      <w:proofErr w:type="spellStart"/>
      <w:r w:rsidR="00C064FA" w:rsidRPr="797F0D2D">
        <w:rPr>
          <w:rFonts w:eastAsia="Arial" w:cs="Arial"/>
          <w:szCs w:val="22"/>
        </w:rPr>
        <w:t>histologies</w:t>
      </w:r>
      <w:proofErr w:type="spellEnd"/>
      <w:r w:rsidR="00C064FA" w:rsidRPr="797F0D2D">
        <w:rPr>
          <w:rFonts w:eastAsia="Arial" w:cs="Arial"/>
          <w:szCs w:val="22"/>
        </w:rPr>
        <w:t>, commonly with few patients in each basket) and lack of comparative studies</w:t>
      </w:r>
    </w:p>
    <w:p w14:paraId="23EDFB7D" w14:textId="6598CBCD" w:rsidR="00C064FA" w:rsidRDefault="00924DA8" w:rsidP="008C10BB">
      <w:pPr>
        <w:pStyle w:val="ListParagraph"/>
        <w:numPr>
          <w:ilvl w:val="0"/>
          <w:numId w:val="19"/>
        </w:numPr>
        <w:spacing w:after="0"/>
        <w:jc w:val="both"/>
        <w:rPr>
          <w:rFonts w:eastAsia="Arial" w:cs="Arial"/>
          <w:szCs w:val="22"/>
        </w:rPr>
      </w:pPr>
      <w:r>
        <w:rPr>
          <w:rFonts w:eastAsia="Arial" w:cs="Arial"/>
          <w:szCs w:val="22"/>
        </w:rPr>
        <w:t>h</w:t>
      </w:r>
      <w:r w:rsidR="00C064FA" w:rsidRPr="797F0D2D">
        <w:rPr>
          <w:rFonts w:eastAsia="Arial" w:cs="Arial"/>
          <w:szCs w:val="22"/>
        </w:rPr>
        <w:t xml:space="preserve">igh uncertainty related to small sample </w:t>
      </w:r>
      <w:proofErr w:type="gramStart"/>
      <w:r w:rsidR="00C064FA" w:rsidRPr="797F0D2D">
        <w:rPr>
          <w:rFonts w:eastAsia="Arial" w:cs="Arial"/>
          <w:szCs w:val="22"/>
        </w:rPr>
        <w:t>sizes</w:t>
      </w:r>
      <w:proofErr w:type="gramEnd"/>
    </w:p>
    <w:p w14:paraId="7BD5B99B" w14:textId="31CF6F6F" w:rsidR="00C064FA" w:rsidRDefault="009D74DF" w:rsidP="008C10BB">
      <w:pPr>
        <w:pStyle w:val="ListParagraph"/>
        <w:numPr>
          <w:ilvl w:val="0"/>
          <w:numId w:val="19"/>
        </w:numPr>
        <w:spacing w:after="0"/>
        <w:jc w:val="both"/>
        <w:rPr>
          <w:rFonts w:eastAsia="Arial" w:cs="Arial"/>
          <w:szCs w:val="22"/>
        </w:rPr>
      </w:pPr>
      <w:r>
        <w:rPr>
          <w:rFonts w:eastAsia="Arial" w:cs="Arial"/>
          <w:szCs w:val="22"/>
        </w:rPr>
        <w:t>t</w:t>
      </w:r>
      <w:r w:rsidR="00C064FA" w:rsidRPr="797F0D2D">
        <w:rPr>
          <w:rFonts w:eastAsia="Arial" w:cs="Arial"/>
          <w:szCs w:val="22"/>
        </w:rPr>
        <w:t xml:space="preserve">he inability to identify and quantify benefits of </w:t>
      </w:r>
      <w:r w:rsidR="008B1FEE">
        <w:rPr>
          <w:rFonts w:eastAsia="Arial" w:cs="Arial"/>
          <w:szCs w:val="22"/>
        </w:rPr>
        <w:t>SOC</w:t>
      </w:r>
      <w:r w:rsidR="00C064FA" w:rsidRPr="797F0D2D">
        <w:rPr>
          <w:rFonts w:eastAsia="Arial" w:cs="Arial"/>
          <w:szCs w:val="22"/>
        </w:rPr>
        <w:t xml:space="preserve"> when historical studies do not present information on the presence or absence of the </w:t>
      </w:r>
      <w:proofErr w:type="gramStart"/>
      <w:r w:rsidR="00C064FA" w:rsidRPr="797F0D2D">
        <w:rPr>
          <w:rFonts w:eastAsia="Arial" w:cs="Arial"/>
          <w:szCs w:val="22"/>
        </w:rPr>
        <w:t>biomarker</w:t>
      </w:r>
      <w:proofErr w:type="gramEnd"/>
    </w:p>
    <w:p w14:paraId="513E6F49" w14:textId="7DF2C7BE" w:rsidR="00C064FA" w:rsidRDefault="006F5F2E" w:rsidP="008C10BB">
      <w:pPr>
        <w:pStyle w:val="ListParagraph"/>
        <w:numPr>
          <w:ilvl w:val="0"/>
          <w:numId w:val="19"/>
        </w:numPr>
        <w:spacing w:after="0"/>
        <w:jc w:val="both"/>
        <w:rPr>
          <w:rFonts w:eastAsia="Arial" w:cs="Arial"/>
          <w:szCs w:val="22"/>
        </w:rPr>
      </w:pPr>
      <w:r>
        <w:rPr>
          <w:rFonts w:eastAsia="Arial" w:cs="Arial"/>
          <w:szCs w:val="22"/>
        </w:rPr>
        <w:t>t</w:t>
      </w:r>
      <w:r w:rsidR="00C064FA" w:rsidRPr="797F0D2D">
        <w:rPr>
          <w:rFonts w:eastAsia="Arial" w:cs="Arial"/>
          <w:szCs w:val="22"/>
        </w:rPr>
        <w:t xml:space="preserve">he inability to perform adjusted indirect comparisons if evidence of a comparator is </w:t>
      </w:r>
      <w:proofErr w:type="gramStart"/>
      <w:r w:rsidR="00C064FA" w:rsidRPr="797F0D2D">
        <w:rPr>
          <w:rFonts w:eastAsia="Arial" w:cs="Arial"/>
          <w:szCs w:val="22"/>
        </w:rPr>
        <w:t>available</w:t>
      </w:r>
      <w:proofErr w:type="gramEnd"/>
    </w:p>
    <w:p w14:paraId="634026A6" w14:textId="6CC730C7" w:rsidR="00C064FA" w:rsidRDefault="007A33DA" w:rsidP="008C10BB">
      <w:pPr>
        <w:pStyle w:val="ListParagraph"/>
        <w:numPr>
          <w:ilvl w:val="0"/>
          <w:numId w:val="19"/>
        </w:numPr>
        <w:spacing w:after="0"/>
        <w:jc w:val="both"/>
        <w:rPr>
          <w:rFonts w:eastAsia="Arial" w:cs="Arial"/>
          <w:szCs w:val="22"/>
        </w:rPr>
      </w:pPr>
      <w:r>
        <w:rPr>
          <w:rFonts w:eastAsia="Arial" w:cs="Arial"/>
          <w:szCs w:val="22"/>
        </w:rPr>
        <w:t>d</w:t>
      </w:r>
      <w:r w:rsidR="00C064FA" w:rsidRPr="797F0D2D">
        <w:rPr>
          <w:rFonts w:eastAsia="Arial" w:cs="Arial"/>
          <w:szCs w:val="22"/>
        </w:rPr>
        <w:t>ifficulty in determining the appropriate comparator</w:t>
      </w:r>
      <w:r w:rsidR="00444059">
        <w:rPr>
          <w:rFonts w:eastAsia="Arial" w:cs="Arial"/>
          <w:szCs w:val="22"/>
        </w:rPr>
        <w:t>,</w:t>
      </w:r>
    </w:p>
    <w:p w14:paraId="2F17940F" w14:textId="65E5BCBB" w:rsidR="00C064FA" w:rsidRDefault="007A33DA" w:rsidP="008C10BB">
      <w:pPr>
        <w:pStyle w:val="ListParagraph"/>
        <w:numPr>
          <w:ilvl w:val="0"/>
          <w:numId w:val="19"/>
        </w:numPr>
        <w:spacing w:after="0"/>
        <w:jc w:val="both"/>
        <w:rPr>
          <w:rFonts w:eastAsia="Arial" w:cs="Arial"/>
          <w:szCs w:val="22"/>
        </w:rPr>
      </w:pPr>
      <w:r>
        <w:rPr>
          <w:rFonts w:eastAsia="Arial" w:cs="Arial"/>
          <w:szCs w:val="22"/>
        </w:rPr>
        <w:t>u</w:t>
      </w:r>
      <w:r w:rsidR="00C064FA" w:rsidRPr="797F0D2D">
        <w:rPr>
          <w:rFonts w:eastAsia="Arial" w:cs="Arial"/>
          <w:szCs w:val="22"/>
        </w:rPr>
        <w:t>ncertain estimate of patient numbers (due to uncertain prevalence of biomarker</w:t>
      </w:r>
      <w:r w:rsidR="009363D9">
        <w:rPr>
          <w:rFonts w:eastAsia="Arial" w:cs="Arial"/>
          <w:szCs w:val="22"/>
        </w:rPr>
        <w:t>s</w:t>
      </w:r>
      <w:r w:rsidR="00C064FA" w:rsidRPr="797F0D2D">
        <w:rPr>
          <w:rFonts w:eastAsia="Arial" w:cs="Arial"/>
          <w:szCs w:val="22"/>
        </w:rPr>
        <w:t xml:space="preserve">) which results in uncertain cost of </w:t>
      </w:r>
      <w:proofErr w:type="gramStart"/>
      <w:r w:rsidR="00C064FA" w:rsidRPr="797F0D2D">
        <w:rPr>
          <w:rFonts w:eastAsia="Arial" w:cs="Arial"/>
          <w:szCs w:val="22"/>
        </w:rPr>
        <w:t>treatment</w:t>
      </w:r>
      <w:proofErr w:type="gramEnd"/>
    </w:p>
    <w:p w14:paraId="3697D08D" w14:textId="7A0EB4E1" w:rsidR="00C064FA" w:rsidRDefault="00155234" w:rsidP="008C10BB">
      <w:pPr>
        <w:pStyle w:val="ListParagraph"/>
        <w:numPr>
          <w:ilvl w:val="0"/>
          <w:numId w:val="19"/>
        </w:numPr>
        <w:jc w:val="both"/>
        <w:rPr>
          <w:rFonts w:eastAsia="Arial" w:cs="Arial"/>
          <w:szCs w:val="22"/>
        </w:rPr>
      </w:pPr>
      <w:r>
        <w:rPr>
          <w:rFonts w:eastAsia="Arial" w:cs="Arial"/>
        </w:rPr>
        <w:t>u</w:t>
      </w:r>
      <w:r w:rsidR="00C064FA" w:rsidRPr="43C513BA">
        <w:rPr>
          <w:rFonts w:eastAsia="Arial" w:cs="Arial"/>
        </w:rPr>
        <w:t>ncertain estimate of testing uptake.</w:t>
      </w:r>
      <w:r w:rsidR="00C064FA" w:rsidRPr="797F0D2D">
        <w:rPr>
          <w:rFonts w:eastAsia="Arial" w:cs="Arial"/>
        </w:rPr>
        <w:t xml:space="preserve"> </w:t>
      </w:r>
    </w:p>
    <w:p w14:paraId="79288789" w14:textId="40E8AC3B" w:rsidR="00C064FA" w:rsidRDefault="00E73C9F" w:rsidP="008C10BB">
      <w:pPr>
        <w:ind w:left="-20" w:right="-20"/>
        <w:rPr>
          <w:rFonts w:eastAsia="Arial" w:cs="Arial"/>
        </w:rPr>
      </w:pPr>
      <w:hyperlink r:id="rId165" w:history="1">
        <w:r w:rsidR="00CA67D7" w:rsidRPr="0091015A">
          <w:rPr>
            <w:rStyle w:val="Hyperlink"/>
            <w:rFonts w:eastAsia="Arial"/>
            <w:i/>
          </w:rPr>
          <w:t xml:space="preserve">Paper 4 </w:t>
        </w:r>
        <w:r w:rsidR="00CA67D7" w:rsidRPr="0091015A">
          <w:rPr>
            <w:rStyle w:val="Hyperlink"/>
            <w:rFonts w:eastAsia="Arial" w:cs="Arial"/>
            <w:i/>
          </w:rPr>
          <w:t>HTA Methods: Clinical Evaluation</w:t>
        </w:r>
      </w:hyperlink>
      <w:r w:rsidR="00C064FA">
        <w:rPr>
          <w:rFonts w:eastAsia="Arial" w:cs="Arial"/>
        </w:rPr>
        <w:t xml:space="preserve"> found t</w:t>
      </w:r>
      <w:r w:rsidR="00C064FA" w:rsidRPr="4376CE7F">
        <w:rPr>
          <w:rFonts w:eastAsia="Arial" w:cs="Arial"/>
        </w:rPr>
        <w:t xml:space="preserve">here is currently no preferred </w:t>
      </w:r>
      <w:r w:rsidR="00C064FA" w:rsidRPr="2F2F8584">
        <w:rPr>
          <w:rFonts w:eastAsia="Arial" w:cs="Arial"/>
        </w:rPr>
        <w:t xml:space="preserve">HTA </w:t>
      </w:r>
      <w:r w:rsidR="00C064FA" w:rsidRPr="4376CE7F">
        <w:rPr>
          <w:rFonts w:eastAsia="Arial" w:cs="Arial"/>
        </w:rPr>
        <w:t xml:space="preserve">approach for evaluating </w:t>
      </w:r>
      <w:r w:rsidR="00C064FA" w:rsidRPr="2F2F8584">
        <w:rPr>
          <w:rFonts w:eastAsia="Arial" w:cs="Arial"/>
        </w:rPr>
        <w:t>tumour agnostic therapies</w:t>
      </w:r>
      <w:r w:rsidR="00F01EB7">
        <w:rPr>
          <w:rFonts w:eastAsia="Arial" w:cs="Arial"/>
        </w:rPr>
        <w:fldChar w:fldCharType="begin"/>
      </w:r>
      <w:r w:rsidR="00F01EB7">
        <w:instrText xml:space="preserve"> XE "</w:instrText>
      </w:r>
      <w:r w:rsidR="00F01EB7" w:rsidRPr="00530351">
        <w:rPr>
          <w:rFonts w:eastAsia="Times New Roman" w:cs="Segoe UI"/>
          <w:sz w:val="20"/>
          <w:szCs w:val="20"/>
          <w:lang w:eastAsia="en-AU"/>
        </w:rPr>
        <w:instrText>tumour agnostic therapies</w:instrText>
      </w:r>
      <w:r w:rsidR="00F01EB7">
        <w:instrText xml:space="preserve">" \b </w:instrText>
      </w:r>
      <w:r w:rsidR="00F01EB7">
        <w:rPr>
          <w:rFonts w:eastAsia="Arial" w:cs="Arial"/>
        </w:rPr>
        <w:fldChar w:fldCharType="end"/>
      </w:r>
      <w:r w:rsidR="00C064FA" w:rsidRPr="7F902F65">
        <w:rPr>
          <w:rFonts w:eastAsia="Arial" w:cs="Arial"/>
        </w:rPr>
        <w:t xml:space="preserve">, and so there is variation in how these technologies </w:t>
      </w:r>
      <w:r w:rsidR="00C064FA" w:rsidRPr="3A9E9E35">
        <w:rPr>
          <w:rFonts w:eastAsia="Arial" w:cs="Arial"/>
        </w:rPr>
        <w:t xml:space="preserve">are addressed internationally. </w:t>
      </w:r>
      <w:r w:rsidR="00C064FA" w:rsidRPr="16165EFD">
        <w:rPr>
          <w:rFonts w:eastAsia="Arial" w:cs="Arial"/>
        </w:rPr>
        <w:t xml:space="preserve">Approaches in the literature for addressing these problems relate to improving the primary </w:t>
      </w:r>
      <w:r w:rsidR="00C064FA" w:rsidRPr="6E7963EF">
        <w:rPr>
          <w:rFonts w:eastAsia="Arial" w:cs="Arial"/>
        </w:rPr>
        <w:t>research that is conducted on these therapies</w:t>
      </w:r>
      <w:r w:rsidR="00C064FA" w:rsidRPr="1C8B61FD">
        <w:rPr>
          <w:rFonts w:eastAsia="Arial" w:cs="Arial"/>
        </w:rPr>
        <w:t xml:space="preserve">, </w:t>
      </w:r>
      <w:r w:rsidR="00C064FA" w:rsidRPr="582B468E">
        <w:rPr>
          <w:rFonts w:eastAsia="Arial" w:cs="Arial"/>
        </w:rPr>
        <w:t xml:space="preserve">generation of historical or </w:t>
      </w:r>
      <w:r w:rsidR="00C064FA" w:rsidRPr="1B2EC70F">
        <w:rPr>
          <w:rFonts w:eastAsia="Arial" w:cs="Arial"/>
        </w:rPr>
        <w:t xml:space="preserve">external control </w:t>
      </w:r>
      <w:r w:rsidR="00C064FA" w:rsidRPr="0E8EAF31">
        <w:rPr>
          <w:rFonts w:eastAsia="Arial" w:cs="Arial"/>
        </w:rPr>
        <w:t>arms</w:t>
      </w:r>
      <w:r w:rsidR="00C064FA" w:rsidRPr="0CF2FE71">
        <w:rPr>
          <w:rFonts w:eastAsia="Arial" w:cs="Arial"/>
        </w:rPr>
        <w:t xml:space="preserve"> </w:t>
      </w:r>
      <w:r w:rsidR="00C064FA" w:rsidRPr="0B4FB861">
        <w:rPr>
          <w:rFonts w:eastAsia="Arial" w:cs="Arial"/>
        </w:rPr>
        <w:t>(which requires data)</w:t>
      </w:r>
      <w:r w:rsidR="00C064FA" w:rsidRPr="0E8EAF31">
        <w:rPr>
          <w:rFonts w:eastAsia="Arial" w:cs="Arial"/>
        </w:rPr>
        <w:t xml:space="preserve"> </w:t>
      </w:r>
      <w:r w:rsidR="00C064FA" w:rsidRPr="5A5362AD">
        <w:rPr>
          <w:rFonts w:eastAsia="Arial" w:cs="Arial"/>
        </w:rPr>
        <w:t xml:space="preserve">and </w:t>
      </w:r>
      <w:r w:rsidR="00C064FA" w:rsidRPr="4CA78E6F">
        <w:rPr>
          <w:rFonts w:eastAsia="Arial" w:cs="Arial"/>
        </w:rPr>
        <w:t xml:space="preserve">making </w:t>
      </w:r>
      <w:r w:rsidR="00C064FA" w:rsidRPr="5A5362AD">
        <w:rPr>
          <w:rFonts w:eastAsia="Arial" w:cs="Arial"/>
        </w:rPr>
        <w:t>decisions</w:t>
      </w:r>
      <w:r w:rsidR="00C064FA" w:rsidRPr="1B02B846">
        <w:rPr>
          <w:rFonts w:eastAsia="Arial" w:cs="Arial"/>
        </w:rPr>
        <w:t xml:space="preserve"> </w:t>
      </w:r>
      <w:r w:rsidR="00C064FA" w:rsidRPr="1238DBDC">
        <w:rPr>
          <w:rFonts w:eastAsia="Arial" w:cs="Arial"/>
        </w:rPr>
        <w:t xml:space="preserve">conditional on the generation of </w:t>
      </w:r>
      <w:r w:rsidR="04C05B76" w:rsidRPr="03CCCB54">
        <w:rPr>
          <w:rFonts w:eastAsia="Arial" w:cs="Arial"/>
        </w:rPr>
        <w:t>RWD</w:t>
      </w:r>
      <w:r w:rsidR="00C064FA" w:rsidRPr="5AF9450C">
        <w:rPr>
          <w:rFonts w:eastAsia="Arial" w:cs="Arial"/>
        </w:rPr>
        <w:t xml:space="preserve"> to determine </w:t>
      </w:r>
      <w:r w:rsidR="00C064FA" w:rsidRPr="17D809A3">
        <w:rPr>
          <w:rFonts w:eastAsia="Arial" w:cs="Arial"/>
        </w:rPr>
        <w:t>treatment performance</w:t>
      </w:r>
      <w:r w:rsidR="00C064FA" w:rsidRPr="559E111A">
        <w:rPr>
          <w:rFonts w:eastAsia="Arial" w:cs="Arial"/>
        </w:rPr>
        <w:t xml:space="preserve"> for </w:t>
      </w:r>
      <w:r w:rsidR="00C064FA" w:rsidRPr="130DB3FB">
        <w:rPr>
          <w:rFonts w:eastAsia="Arial" w:cs="Arial"/>
        </w:rPr>
        <w:t>conditions that</w:t>
      </w:r>
      <w:r w:rsidR="00C064FA" w:rsidRPr="4D8B4480">
        <w:rPr>
          <w:rFonts w:eastAsia="Arial" w:cs="Arial"/>
        </w:rPr>
        <w:t xml:space="preserve"> are rare.</w:t>
      </w:r>
      <w:r w:rsidR="00C064FA" w:rsidRPr="5A5362AD">
        <w:rPr>
          <w:rFonts w:eastAsia="Arial" w:cs="Arial"/>
        </w:rPr>
        <w:t xml:space="preserve"> </w:t>
      </w:r>
      <w:r w:rsidR="00C064FA" w:rsidRPr="54A1CA24">
        <w:rPr>
          <w:rFonts w:eastAsia="Arial" w:cs="Arial"/>
        </w:rPr>
        <w:t>Of these, only the latter is within the control of a HTA organisation.</w:t>
      </w:r>
    </w:p>
    <w:p w14:paraId="15875F50" w14:textId="1C32A1DD" w:rsidR="00032FB3" w:rsidRDefault="00032FB3" w:rsidP="008C10BB">
      <w:pPr>
        <w:ind w:left="-20" w:right="-20"/>
        <w:rPr>
          <w:rFonts w:eastAsia="Arial" w:cs="Arial"/>
        </w:rPr>
      </w:pPr>
      <w:r>
        <w:rPr>
          <w:rFonts w:eastAsia="Arial" w:cs="Arial"/>
        </w:rPr>
        <w:t xml:space="preserve">We also note that there </w:t>
      </w:r>
      <w:r w:rsidR="008A3A72">
        <w:rPr>
          <w:rFonts w:eastAsia="Arial" w:cs="Arial"/>
        </w:rPr>
        <w:t>is sometimes</w:t>
      </w:r>
      <w:r>
        <w:rPr>
          <w:rFonts w:eastAsia="Arial" w:cs="Arial"/>
        </w:rPr>
        <w:t xml:space="preserve"> a lack of incentive </w:t>
      </w:r>
      <w:r w:rsidR="00195E42">
        <w:rPr>
          <w:rFonts w:eastAsia="Arial" w:cs="Arial"/>
        </w:rPr>
        <w:t>for health technology companies to seek approval for</w:t>
      </w:r>
      <w:r>
        <w:rPr>
          <w:rFonts w:eastAsia="Arial" w:cs="Arial"/>
        </w:rPr>
        <w:t xml:space="preserve"> </w:t>
      </w:r>
      <w:r w:rsidR="008B13AA">
        <w:rPr>
          <w:rFonts w:eastAsia="Arial" w:cs="Arial"/>
        </w:rPr>
        <w:t>rarer indications that could pl</w:t>
      </w:r>
      <w:r w:rsidR="00232348">
        <w:rPr>
          <w:rFonts w:eastAsia="Arial" w:cs="Arial"/>
        </w:rPr>
        <w:t xml:space="preserve">ausibly </w:t>
      </w:r>
      <w:r w:rsidR="00A2037A">
        <w:rPr>
          <w:rFonts w:eastAsia="Arial" w:cs="Arial"/>
        </w:rPr>
        <w:t xml:space="preserve">be </w:t>
      </w:r>
      <w:r w:rsidR="00B00D4C">
        <w:rPr>
          <w:rFonts w:eastAsia="Arial" w:cs="Arial"/>
        </w:rPr>
        <w:t xml:space="preserve">treated with </w:t>
      </w:r>
      <w:r w:rsidR="00B141CE">
        <w:rPr>
          <w:rFonts w:eastAsia="Arial" w:cs="Arial"/>
        </w:rPr>
        <w:t xml:space="preserve">a health technology already indicated for a more common condition. </w:t>
      </w:r>
      <w:r w:rsidR="007964A9">
        <w:rPr>
          <w:rFonts w:eastAsia="Arial" w:cs="Arial"/>
        </w:rPr>
        <w:t xml:space="preserve">This lack of incentive arises from </w:t>
      </w:r>
      <w:r w:rsidR="005E5D13">
        <w:rPr>
          <w:rFonts w:eastAsia="Arial" w:cs="Arial"/>
        </w:rPr>
        <w:t xml:space="preserve">poorer evidence </w:t>
      </w:r>
      <w:r w:rsidR="007D69FA">
        <w:rPr>
          <w:rFonts w:eastAsia="Arial" w:cs="Arial"/>
        </w:rPr>
        <w:t>demonstrating efficacy treating rarer indications</w:t>
      </w:r>
      <w:r w:rsidR="005E5D13">
        <w:rPr>
          <w:rFonts w:eastAsia="Arial" w:cs="Arial"/>
        </w:rPr>
        <w:t xml:space="preserve"> </w:t>
      </w:r>
      <w:r w:rsidR="006A1927">
        <w:rPr>
          <w:rFonts w:eastAsia="Arial" w:cs="Arial"/>
        </w:rPr>
        <w:t xml:space="preserve">and </w:t>
      </w:r>
      <w:r w:rsidR="00E15188">
        <w:rPr>
          <w:rFonts w:eastAsia="Arial" w:cs="Arial"/>
        </w:rPr>
        <w:t xml:space="preserve">the small market for such indications. </w:t>
      </w:r>
    </w:p>
    <w:p w14:paraId="141A5D87" w14:textId="77777777" w:rsidR="00977914" w:rsidRDefault="00977914" w:rsidP="006D3484">
      <w:pPr>
        <w:pStyle w:val="Heading3"/>
      </w:pPr>
      <w:bookmarkStart w:id="171" w:name="_Toc157029093"/>
      <w:r>
        <w:t>Options</w:t>
      </w:r>
      <w:bookmarkEnd w:id="171"/>
    </w:p>
    <w:p w14:paraId="1C4AC60E" w14:textId="452F1229" w:rsidR="00AB479F" w:rsidRDefault="00AB479F" w:rsidP="00AB479F">
      <w:r>
        <w:t>We consider that</w:t>
      </w:r>
      <w:r w:rsidR="001C6567">
        <w:t xml:space="preserve"> the</w:t>
      </w:r>
      <w:r>
        <w:t xml:space="preserve"> options </w:t>
      </w:r>
      <w:r w:rsidR="001C6567">
        <w:t>we present in this paper to streamline</w:t>
      </w:r>
      <w:r w:rsidR="0009643F">
        <w:t xml:space="preserve"> and align</w:t>
      </w:r>
      <w:r w:rsidR="001C6567">
        <w:t xml:space="preserve"> HTA </w:t>
      </w:r>
      <w:r w:rsidR="0009643F">
        <w:t>pathways and advisory committees</w:t>
      </w:r>
      <w:r w:rsidR="00032FB3">
        <w:t>,</w:t>
      </w:r>
      <w:r w:rsidR="00683073">
        <w:t xml:space="preserve"> more effectively manage uncertainty </w:t>
      </w:r>
      <w:r w:rsidR="00F65406">
        <w:t xml:space="preserve">though </w:t>
      </w:r>
      <w:r w:rsidR="00C17F23">
        <w:t>bridging funding</w:t>
      </w:r>
      <w:r w:rsidR="00E702C0">
        <w:t xml:space="preserve">, </w:t>
      </w:r>
      <w:r w:rsidR="00032FB3">
        <w:t>and proactive approaches to inviting submissions to address areas of unmet clinical need</w:t>
      </w:r>
      <w:r w:rsidR="00F65406">
        <w:t xml:space="preserve"> </w:t>
      </w:r>
      <w:r w:rsidR="00981202">
        <w:t>would</w:t>
      </w:r>
      <w:r w:rsidR="00683073">
        <w:t xml:space="preserve"> help to </w:t>
      </w:r>
      <w:r w:rsidR="000614EA">
        <w:t xml:space="preserve">address some of the above issues. </w:t>
      </w:r>
      <w:r w:rsidR="00757955">
        <w:t xml:space="preserve">We would also like to </w:t>
      </w:r>
      <w:r w:rsidR="00FA7380">
        <w:t xml:space="preserve">receive feedback on </w:t>
      </w:r>
      <w:r w:rsidR="00DD1EAF">
        <w:t xml:space="preserve">the following </w:t>
      </w:r>
      <w:r w:rsidR="00FA7380">
        <w:t>options</w:t>
      </w:r>
      <w:r w:rsidR="00096241">
        <w:t>.</w:t>
      </w:r>
      <w:r w:rsidR="00FA7380">
        <w:t xml:space="preserve"> </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9125EE" w14:paraId="0F0158D8" w14:textId="77777777" w:rsidTr="007C2053">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750FE7B3" w14:textId="77777777" w:rsidR="009125EE" w:rsidRPr="00613D35" w:rsidRDefault="009125EE" w:rsidP="008C10BB">
            <w:pPr>
              <w:spacing w:after="120" w:line="259" w:lineRule="auto"/>
              <w:rPr>
                <w:rFonts w:eastAsia="Times New Roman" w:cs="Segoe UI"/>
                <w:b/>
                <w:bCs/>
                <w:lang w:eastAsia="en-AU"/>
              </w:rPr>
            </w:pPr>
            <w:r w:rsidRPr="00094554">
              <w:rPr>
                <w:rFonts w:eastAsia="Times New Roman" w:cs="Segoe UI"/>
                <w:b/>
                <w:bCs/>
                <w:lang w:eastAsia="en-AU"/>
              </w:rPr>
              <w:t>Therapies that target biomarkers (</w:t>
            </w:r>
            <w:proofErr w:type="gramStart"/>
            <w:r w:rsidRPr="00094554">
              <w:rPr>
                <w:rFonts w:eastAsia="Times New Roman" w:cs="Segoe UI"/>
                <w:b/>
                <w:bCs/>
                <w:lang w:eastAsia="en-AU"/>
              </w:rPr>
              <w:t>e.g.</w:t>
            </w:r>
            <w:proofErr w:type="gramEnd"/>
            <w:r w:rsidRPr="00094554">
              <w:rPr>
                <w:rFonts w:eastAsia="Times New Roman" w:cs="Segoe UI"/>
                <w:b/>
                <w:bCs/>
                <w:lang w:eastAsia="en-AU"/>
              </w:rPr>
              <w:t xml:space="preserve"> tumour agnostic cancer therapies, therapies that target particular gene alterations) </w:t>
            </w:r>
          </w:p>
          <w:p w14:paraId="7E38C02D" w14:textId="77777777" w:rsidR="009125EE" w:rsidRPr="00E6762F" w:rsidRDefault="009125EE" w:rsidP="008505D7">
            <w:pPr>
              <w:numPr>
                <w:ilvl w:val="0"/>
                <w:numId w:val="98"/>
              </w:numPr>
              <w:spacing w:line="259" w:lineRule="auto"/>
              <w:rPr>
                <w:rFonts w:eastAsia="Times New Roman" w:cs="Segoe UI"/>
                <w:lang w:eastAsia="en-AU"/>
              </w:rPr>
            </w:pPr>
            <w:r w:rsidRPr="00E6762F">
              <w:rPr>
                <w:rFonts w:eastAsia="Times New Roman" w:cs="Segoe UI"/>
                <w:lang w:eastAsia="en-AU"/>
              </w:rPr>
              <w:t>Develop a guideline on the assessment and appraisal of tumour agnostic therapies</w:t>
            </w:r>
            <w:r w:rsidRPr="00E6762F">
              <w:rPr>
                <w:rFonts w:eastAsia="Times New Roman" w:cs="Segoe UI"/>
                <w:lang w:eastAsia="en-AU"/>
              </w:rPr>
              <w:fldChar w:fldCharType="begin"/>
            </w:r>
            <w:r w:rsidRPr="00E6762F">
              <w:rPr>
                <w:rFonts w:eastAsia="Times New Roman" w:cs="Segoe UI"/>
                <w:lang w:eastAsia="en-AU"/>
              </w:rPr>
              <w:instrText xml:space="preserve"> XE "tumour agnostic therapies" \b </w:instrText>
            </w:r>
            <w:r w:rsidRPr="00E6762F">
              <w:rPr>
                <w:rFonts w:eastAsia="Times New Roman" w:cs="Segoe UI"/>
                <w:lang w:eastAsia="en-AU"/>
              </w:rPr>
              <w:fldChar w:fldCharType="end"/>
            </w:r>
            <w:r w:rsidRPr="00E6762F">
              <w:rPr>
                <w:rFonts w:eastAsia="Times New Roman" w:cs="Segoe UI"/>
                <w:lang w:eastAsia="en-AU"/>
              </w:rPr>
              <w:t xml:space="preserve"> as outlined at 6.6.4 of the </w:t>
            </w:r>
            <w:hyperlink r:id="rId166" w:anchor="page=151" w:history="1">
              <w:r w:rsidRPr="00E6762F">
                <w:t>HTA Review Paper on Clinical Evaluation Methods in HTA</w:t>
              </w:r>
            </w:hyperlink>
          </w:p>
          <w:p w14:paraId="62316BD1" w14:textId="67D62CF5" w:rsidR="009125EE" w:rsidRPr="00E6762F" w:rsidRDefault="009125EE" w:rsidP="008505D7">
            <w:pPr>
              <w:numPr>
                <w:ilvl w:val="0"/>
                <w:numId w:val="98"/>
              </w:numPr>
              <w:spacing w:line="259" w:lineRule="auto"/>
              <w:rPr>
                <w:rFonts w:eastAsia="Times New Roman" w:cs="Segoe UI"/>
                <w:lang w:eastAsia="en-AU"/>
              </w:rPr>
            </w:pPr>
            <w:r w:rsidRPr="00E6762F">
              <w:rPr>
                <w:rFonts w:eastAsia="Times New Roman" w:cs="Segoe UI"/>
                <w:lang w:eastAsia="en-AU"/>
              </w:rPr>
              <w:t>Develop a guideline on the assessment and appraisal of genomic technologies and gene therapies for HTA decisions in Australia</w:t>
            </w:r>
            <w:r w:rsidR="00AB7A08" w:rsidRPr="00E6762F">
              <w:rPr>
                <w:rFonts w:eastAsia="Times New Roman" w:cs="Segoe UI"/>
                <w:lang w:eastAsia="en-AU"/>
              </w:rPr>
              <w:t>.</w:t>
            </w:r>
          </w:p>
          <w:p w14:paraId="1D02194E" w14:textId="28029BD5" w:rsidR="009125EE" w:rsidRPr="00E6762F" w:rsidRDefault="009125EE" w:rsidP="008505D7">
            <w:pPr>
              <w:pStyle w:val="ListParagraph"/>
              <w:numPr>
                <w:ilvl w:val="0"/>
                <w:numId w:val="99"/>
              </w:numPr>
              <w:spacing w:line="259" w:lineRule="auto"/>
              <w:ind w:left="782" w:hanging="425"/>
              <w:rPr>
                <w:rFonts w:eastAsia="Times New Roman" w:cs="Segoe UI"/>
                <w:color w:val="222A35"/>
                <w:kern w:val="24"/>
                <w:lang w:eastAsia="en-AU"/>
              </w:rPr>
            </w:pPr>
            <w:r w:rsidRPr="00E6762F">
              <w:rPr>
                <w:rFonts w:eastAsia="Times New Roman" w:cs="Segoe UI"/>
                <w:color w:val="222A35"/>
                <w:kern w:val="24"/>
                <w:lang w:eastAsia="en-AU"/>
              </w:rPr>
              <w:lastRenderedPageBreak/>
              <w:t>This could be for pharmacogenomic technologies only, should PBAC’s remit remain as appraising medicines, vaccines</w:t>
            </w:r>
            <w:r w:rsidRPr="00E6762F">
              <w:rPr>
                <w:rFonts w:eastAsia="Times New Roman" w:cs="Segoe UI"/>
                <w:color w:val="222A35"/>
                <w:kern w:val="24"/>
                <w:lang w:eastAsia="en-AU"/>
              </w:rPr>
              <w:fldChar w:fldCharType="begin"/>
            </w:r>
            <w:r w:rsidRPr="00E6762F">
              <w:rPr>
                <w:rFonts w:eastAsia="Times New Roman" w:cs="Segoe UI"/>
                <w:color w:val="222A35"/>
                <w:kern w:val="24"/>
                <w:lang w:eastAsia="en-AU"/>
              </w:rPr>
              <w:instrText xml:space="preserve"> XE "vaccines" \b </w:instrText>
            </w:r>
            <w:r w:rsidRPr="00E6762F">
              <w:rPr>
                <w:rFonts w:eastAsia="Times New Roman" w:cs="Segoe UI"/>
                <w:color w:val="222A35"/>
                <w:kern w:val="24"/>
                <w:lang w:eastAsia="en-AU"/>
              </w:rPr>
              <w:fldChar w:fldCharType="end"/>
            </w:r>
            <w:r w:rsidRPr="00E6762F">
              <w:rPr>
                <w:rFonts w:eastAsia="Times New Roman" w:cs="Segoe UI"/>
                <w:color w:val="222A35"/>
                <w:kern w:val="24"/>
                <w:lang w:eastAsia="en-AU"/>
              </w:rPr>
              <w:t xml:space="preserve">, </w:t>
            </w:r>
            <w:r w:rsidR="00BE75A2">
              <w:rPr>
                <w:rFonts w:eastAsia="Times New Roman" w:cs="Segoe UI"/>
                <w:color w:val="222A35"/>
                <w:kern w:val="24"/>
                <w:lang w:eastAsia="en-AU"/>
              </w:rPr>
              <w:t>advanced therapies</w:t>
            </w:r>
            <w:r w:rsidR="00700B73">
              <w:rPr>
                <w:rFonts w:eastAsia="Times New Roman" w:cs="Segoe UI"/>
                <w:color w:val="222A35"/>
                <w:kern w:val="24"/>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lang w:eastAsia="en-AU"/>
              </w:rPr>
              <w:fldChar w:fldCharType="end"/>
            </w:r>
            <w:r w:rsidRPr="00E6762F">
              <w:rPr>
                <w:rFonts w:eastAsia="Times New Roman" w:cs="Segoe UI"/>
                <w:color w:val="222A35"/>
                <w:kern w:val="24"/>
                <w:lang w:eastAsia="en-AU"/>
              </w:rPr>
              <w:t xml:space="preserve"> and codependent technologies</w:t>
            </w:r>
            <w:r w:rsidR="00D64E29">
              <w:rPr>
                <w:rFonts w:eastAsia="Times New Roman" w:cs="Segoe UI"/>
                <w:color w:val="222A35"/>
                <w:kern w:val="24"/>
                <w:lang w:eastAsia="en-AU"/>
              </w:rPr>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rPr>
                <w:rFonts w:eastAsia="Times New Roman" w:cs="Segoe UI"/>
                <w:color w:val="222A35"/>
                <w:kern w:val="24"/>
                <w:lang w:eastAsia="en-AU"/>
              </w:rPr>
              <w:fldChar w:fldCharType="end"/>
            </w:r>
            <w:r w:rsidRPr="00E6762F">
              <w:rPr>
                <w:rFonts w:eastAsia="Times New Roman" w:cs="Segoe UI"/>
                <w:color w:val="222A35"/>
                <w:kern w:val="24"/>
                <w:lang w:eastAsia="en-AU"/>
              </w:rPr>
              <w:t xml:space="preserve">. Alternatively, if the Unified HTA pathway is adopted and a single HTA Committee is constituted in Australia, then it could also include genomic tests more generally </w:t>
            </w:r>
            <w:proofErr w:type="gramStart"/>
            <w:r w:rsidRPr="00E6762F">
              <w:rPr>
                <w:rFonts w:eastAsia="Times New Roman" w:cs="Segoe UI"/>
                <w:color w:val="222A35"/>
                <w:kern w:val="24"/>
                <w:lang w:eastAsia="en-AU"/>
              </w:rPr>
              <w:t>i.e.</w:t>
            </w:r>
            <w:proofErr w:type="gramEnd"/>
            <w:r w:rsidRPr="00E6762F">
              <w:rPr>
                <w:rFonts w:eastAsia="Times New Roman" w:cs="Segoe UI"/>
                <w:color w:val="222A35"/>
                <w:kern w:val="24"/>
                <w:lang w:eastAsia="en-AU"/>
              </w:rPr>
              <w:t xml:space="preserve"> for MBS funding decisions.</w:t>
            </w:r>
          </w:p>
          <w:p w14:paraId="749179C8" w14:textId="77777777" w:rsidR="009125EE" w:rsidRPr="00E6762F" w:rsidRDefault="009125EE" w:rsidP="008505D7">
            <w:pPr>
              <w:pStyle w:val="ListParagraph"/>
              <w:numPr>
                <w:ilvl w:val="0"/>
                <w:numId w:val="99"/>
              </w:numPr>
              <w:spacing w:line="259" w:lineRule="auto"/>
              <w:ind w:left="782" w:hanging="425"/>
              <w:rPr>
                <w:rFonts w:eastAsia="Times New Roman" w:cs="Segoe UI"/>
                <w:color w:val="222A35"/>
                <w:kern w:val="24"/>
                <w:lang w:eastAsia="en-AU"/>
              </w:rPr>
            </w:pPr>
            <w:r w:rsidRPr="00E6762F">
              <w:rPr>
                <w:rFonts w:eastAsia="Times New Roman" w:cs="Segoe UI"/>
                <w:color w:val="222A35"/>
                <w:kern w:val="24"/>
                <w:lang w:eastAsia="en-AU"/>
              </w:rPr>
              <w:t xml:space="preserve">As part of the guideline development, a Statement of Principles concerning the access and use of genomic technologies and gene therapies should be co-designed with the public. This would involve patients and clinicians but also citizens who do not have an immediate vested interest in these technologies. </w:t>
            </w:r>
          </w:p>
          <w:p w14:paraId="0BF9F38E" w14:textId="77777777" w:rsidR="009125EE" w:rsidRPr="00E6762F" w:rsidRDefault="009125EE" w:rsidP="008505D7">
            <w:pPr>
              <w:pStyle w:val="ListParagraph"/>
              <w:numPr>
                <w:ilvl w:val="0"/>
                <w:numId w:val="99"/>
              </w:numPr>
              <w:spacing w:line="259" w:lineRule="auto"/>
              <w:ind w:left="782" w:hanging="425"/>
              <w:rPr>
                <w:rFonts w:eastAsia="Times New Roman" w:cs="Segoe UI"/>
                <w:lang w:eastAsia="en-AU"/>
              </w:rPr>
            </w:pPr>
            <w:r w:rsidRPr="00E6762F">
              <w:rPr>
                <w:rFonts w:eastAsia="Times New Roman" w:cs="Segoe UI"/>
                <w:color w:val="222A35"/>
                <w:kern w:val="24"/>
                <w:lang w:eastAsia="en-AU"/>
              </w:rPr>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 making.</w:t>
            </w:r>
          </w:p>
        </w:tc>
      </w:tr>
    </w:tbl>
    <w:p w14:paraId="66B5E576" w14:textId="601508F8" w:rsidR="3B00C8E0" w:rsidRDefault="3B00C8E0" w:rsidP="0036199B">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36199B" w14:paraId="6FA610F7" w14:textId="77777777" w:rsidTr="007C2053">
        <w:trPr>
          <w:trHeight w:val="738"/>
        </w:trPr>
        <w:tc>
          <w:tcPr>
            <w:tcW w:w="9367" w:type="dxa"/>
            <w:tcBorders>
              <w:top w:val="single" w:sz="18" w:space="0" w:color="ACC02A" w:themeColor="accent5"/>
              <w:left w:val="nil"/>
              <w:bottom w:val="nil"/>
              <w:right w:val="nil"/>
            </w:tcBorders>
            <w:shd w:val="clear" w:color="auto" w:fill="F2F2F2" w:themeFill="background1" w:themeFillShade="F2"/>
          </w:tcPr>
          <w:p w14:paraId="376E3538" w14:textId="77777777" w:rsidR="0036199B" w:rsidRDefault="0036199B" w:rsidP="008C10BB">
            <w:pPr>
              <w:spacing w:after="120" w:line="259" w:lineRule="auto"/>
              <w:rPr>
                <w:b/>
                <w:bCs/>
              </w:rPr>
            </w:pPr>
            <w:r w:rsidRPr="001A3E95">
              <w:rPr>
                <w:b/>
                <w:bCs/>
              </w:rPr>
              <w:t xml:space="preserve">Develop a guideline on the assessment and appraisal of genomic technologies and gene therapies for HTA decisions in </w:t>
            </w:r>
            <w:proofErr w:type="gramStart"/>
            <w:r w:rsidRPr="001A3E95">
              <w:rPr>
                <w:b/>
                <w:bCs/>
              </w:rPr>
              <w:t>Australia</w:t>
            </w:r>
            <w:proofErr w:type="gramEnd"/>
          </w:p>
          <w:p w14:paraId="19FC7765" w14:textId="7C5664AC" w:rsidR="0036199B" w:rsidRDefault="0036199B" w:rsidP="0036199B">
            <w:pPr>
              <w:spacing w:after="160" w:line="259" w:lineRule="auto"/>
            </w:pPr>
            <w:r>
              <w:t>This could be for pharmacogenomic technologies only, should PBAC’s remit remain as appraising medicines, vaccines</w:t>
            </w:r>
            <w:r>
              <w:fldChar w:fldCharType="begin"/>
            </w:r>
            <w:r>
              <w:instrText xml:space="preserve"> XE "</w:instrText>
            </w:r>
            <w:r w:rsidRPr="0001709C">
              <w:instrText>vaccines</w:instrText>
            </w:r>
            <w:r>
              <w:instrText xml:space="preserve">" \b </w:instrText>
            </w:r>
            <w:r>
              <w:fldChar w:fldCharType="end"/>
            </w:r>
            <w:r>
              <w:t>, advanced therapies and codependent technologies</w:t>
            </w:r>
            <w:r w:rsidR="00D64E29">
              <w:fldChar w:fldCharType="begin"/>
            </w:r>
            <w:r w:rsidR="00D64E29">
              <w:instrText xml:space="preserve"> XE "</w:instrText>
            </w:r>
            <w:r w:rsidR="00D64E29" w:rsidRPr="00EF4CA4">
              <w:rPr>
                <w:rFonts w:eastAsia="Arial" w:cs="Arial"/>
              </w:rPr>
              <w:instrText>codependent technologies</w:instrText>
            </w:r>
            <w:r w:rsidR="00D64E29">
              <w:instrText xml:space="preserve">" </w:instrText>
            </w:r>
            <w:r w:rsidR="00D64E29">
              <w:fldChar w:fldCharType="end"/>
            </w:r>
            <w:r>
              <w:t>. Alternatively, if the Unified HTA pathway is adopted and a single HTA Committee is constituted in Australia, then it could also include genomic tests more generally (</w:t>
            </w:r>
            <w:proofErr w:type="gramStart"/>
            <w:r>
              <w:t>i.e.</w:t>
            </w:r>
            <w:proofErr w:type="gramEnd"/>
            <w:r>
              <w:t xml:space="preserve"> for MBS funding decisions).</w:t>
            </w:r>
          </w:p>
          <w:p w14:paraId="057D0D33" w14:textId="77777777" w:rsidR="0036199B" w:rsidRDefault="0036199B" w:rsidP="0036199B">
            <w:pPr>
              <w:spacing w:after="160" w:line="259" w:lineRule="auto"/>
            </w:pPr>
            <w:r>
              <w:t xml:space="preserve">As part of the guideline development, a Statement of Principles concerning the access and use of genomic technologies and gene therapies should be co-designed with the public. This would involve patients and clinicians but also people who do not have an immediate vested interest in these technologies. </w:t>
            </w:r>
          </w:p>
          <w:p w14:paraId="06BF3021" w14:textId="29701726" w:rsidR="0036199B" w:rsidRPr="0036199B" w:rsidRDefault="0036199B" w:rsidP="008C10BB">
            <w:pPr>
              <w:spacing w:line="259" w:lineRule="auto"/>
              <w:rPr>
                <w:rFonts w:eastAsia="Times New Roman" w:cs="Segoe UI"/>
                <w:lang w:eastAsia="en-AU"/>
              </w:rPr>
            </w:pPr>
            <w:r>
              <w:t>The guideline would need to be consistent with the Statement of Principles but be primarily directed at “how” the evidence should be compiled and considered. It would need to be drafted by technical experts and outline the HTA methods that could be feasibly used to inform decision-making.</w:t>
            </w:r>
          </w:p>
        </w:tc>
      </w:tr>
    </w:tbl>
    <w:p w14:paraId="3F3BD881" w14:textId="4341169B" w:rsidR="000E625D" w:rsidRDefault="000E625D" w:rsidP="008C10BB">
      <w:pPr>
        <w:pStyle w:val="Heading2"/>
        <w:spacing w:line="259" w:lineRule="auto"/>
        <w:ind w:left="709"/>
      </w:pPr>
      <w:bookmarkStart w:id="172" w:name="_Economic_evaluation_1"/>
      <w:bookmarkStart w:id="173" w:name="_Ref156896822"/>
      <w:bookmarkStart w:id="174" w:name="_Toc157029094"/>
      <w:bookmarkStart w:id="175" w:name="_Toc157029494"/>
      <w:bookmarkStart w:id="176" w:name="_Toc157030186"/>
      <w:bookmarkEnd w:id="172"/>
      <w:r w:rsidRPr="006647C5">
        <w:t>Economic evaluation</w:t>
      </w:r>
      <w:bookmarkEnd w:id="173"/>
      <w:bookmarkEnd w:id="174"/>
      <w:bookmarkEnd w:id="175"/>
      <w:bookmarkEnd w:id="176"/>
      <w:r w:rsidRPr="006647C5">
        <w:t xml:space="preserve"> </w:t>
      </w:r>
    </w:p>
    <w:p w14:paraId="74F3C0A2" w14:textId="069A0781" w:rsidR="00A5127B" w:rsidRPr="00117D66" w:rsidRDefault="004068A1" w:rsidP="00117D66">
      <w:pPr>
        <w:ind w:left="284"/>
        <w:rPr>
          <w:rStyle w:val="Hyperlink"/>
        </w:rPr>
      </w:pPr>
      <w:r>
        <w:rPr>
          <w:noProof/>
        </w:rPr>
        <mc:AlternateContent>
          <mc:Choice Requires="wps">
            <w:drawing>
              <wp:anchor distT="0" distB="0" distL="114300" distR="114300" simplePos="0" relativeHeight="251659776" behindDoc="0" locked="0" layoutInCell="1" allowOverlap="1" wp14:anchorId="075EFA26" wp14:editId="3F27C69A">
                <wp:simplePos x="0" y="0"/>
                <wp:positionH relativeFrom="column">
                  <wp:posOffset>0</wp:posOffset>
                </wp:positionH>
                <wp:positionV relativeFrom="paragraph">
                  <wp:posOffset>24130</wp:posOffset>
                </wp:positionV>
                <wp:extent cx="0" cy="428625"/>
                <wp:effectExtent l="19050" t="0" r="19050" b="28575"/>
                <wp:wrapNone/>
                <wp:docPr id="1423232225" name="Straight Connector 1423232225"/>
                <wp:cNvGraphicFramePr/>
                <a:graphic xmlns:a="http://schemas.openxmlformats.org/drawingml/2006/main">
                  <a:graphicData uri="http://schemas.microsoft.com/office/word/2010/wordprocessingShape">
                    <wps:wsp>
                      <wps:cNvCnPr/>
                      <wps:spPr>
                        <a:xfrm>
                          <a:off x="0" y="0"/>
                          <a:ext cx="0" cy="428625"/>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73CF0ED5" id="Straight Connector 1423232225"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9pt" to="0,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" strokecolor="#1d437f [3204]" strokeweight="2.25pt">
                <v:stroke joinstyle="miter"/>
              </v:line>
            </w:pict>
          </mc:Fallback>
        </mc:AlternateContent>
      </w:r>
      <w:r>
        <w:t>T</w:t>
      </w:r>
      <w:r w:rsidR="00A5127B" w:rsidRPr="009D14F6">
        <w:t xml:space="preserve">his section should be read in conjunction with </w:t>
      </w:r>
      <w:r>
        <w:fldChar w:fldCharType="begin"/>
      </w:r>
      <w:r>
        <w:instrText xml:space="preserve"> HYPERLINK "https://www.health.gov.au/resources/publications/hta-policy-and-methods-review-draft-paper-hta-methods-economic-evaluation?language=en" </w:instrText>
      </w:r>
      <w:r>
        <w:fldChar w:fldCharType="separate"/>
      </w:r>
      <w:r w:rsidR="00655165" w:rsidRPr="00117D66">
        <w:rPr>
          <w:rStyle w:val="Hyperlink"/>
        </w:rPr>
        <w:t>HTA Methods: Economic evaluation</w:t>
      </w:r>
      <w:r w:rsidR="005A1AC5" w:rsidRPr="00117D66">
        <w:rPr>
          <w:rStyle w:val="Hyperlink"/>
        </w:rPr>
        <w:t xml:space="preserve"> (Paper 5)</w:t>
      </w:r>
      <w:r w:rsidR="00A5127B" w:rsidRPr="00117D66">
        <w:rPr>
          <w:rStyle w:val="Hyperlink"/>
        </w:rPr>
        <w:t>.</w:t>
      </w:r>
    </w:p>
    <w:p w14:paraId="37F2000A" w14:textId="32549BC5" w:rsidR="004E65F6" w:rsidRDefault="004068A1" w:rsidP="00117D66">
      <w:pPr>
        <w:pStyle w:val="Heading3"/>
        <w:keepNext/>
        <w:keepLines/>
      </w:pPr>
      <w:r>
        <w:rPr>
          <w:rFonts w:cs="Times New Roman"/>
          <w:color w:val="auto"/>
          <w:sz w:val="24"/>
          <w:szCs w:val="24"/>
        </w:rPr>
        <w:lastRenderedPageBreak/>
        <w:fldChar w:fldCharType="end"/>
      </w:r>
      <w:bookmarkStart w:id="177" w:name="_Toc157029095"/>
      <w:r w:rsidR="00D430DF">
        <w:t>C</w:t>
      </w:r>
      <w:r w:rsidR="004E65F6">
        <w:t>urrent state</w:t>
      </w:r>
      <w:bookmarkEnd w:id="177"/>
    </w:p>
    <w:p w14:paraId="559975E9" w14:textId="77777777" w:rsidR="007B3D5D" w:rsidRDefault="007B3D5D" w:rsidP="00117D66">
      <w:pPr>
        <w:keepNext/>
        <w:keepLines/>
      </w:pPr>
      <w:r>
        <w:t xml:space="preserve">The PBAC and MSAC guidelines instruct applicants to present an economic evaluation of substituting the proposed therapy with the main comparator in the context of the listing requested. </w:t>
      </w:r>
    </w:p>
    <w:p w14:paraId="7B4D554A" w14:textId="77777777" w:rsidR="007B3D5D" w:rsidRPr="00A214FA" w:rsidRDefault="007B3D5D" w:rsidP="00E666F4">
      <w:pPr>
        <w:pStyle w:val="Heading5"/>
      </w:pPr>
      <w:r w:rsidRPr="00A214FA">
        <w:t>Why d</w:t>
      </w:r>
      <w:r w:rsidRPr="00A214FA">
        <w:rPr>
          <w:color w:val="153A6E" w:themeColor="text2"/>
        </w:rPr>
        <w:t xml:space="preserve">o we </w:t>
      </w:r>
      <w:r>
        <w:rPr>
          <w:color w:val="153A6E" w:themeColor="text2"/>
        </w:rPr>
        <w:t>request</w:t>
      </w:r>
      <w:r w:rsidRPr="00A214FA">
        <w:rPr>
          <w:color w:val="153A6E" w:themeColor="text2"/>
        </w:rPr>
        <w:t xml:space="preserve"> economic evaluations?</w:t>
      </w:r>
    </w:p>
    <w:p w14:paraId="60CDFC6E" w14:textId="77777777" w:rsidR="007B3D5D" w:rsidRDefault="007B3D5D" w:rsidP="007B3D5D">
      <w:r>
        <w:t>In Australia, economic evaluations support the Government’s Fiscal Strategy objective of improving living standards for all Australians (Budget 2023</w:t>
      </w:r>
      <w:r w:rsidR="00D4799D">
        <w:t>–</w:t>
      </w:r>
      <w:r>
        <w:t xml:space="preserve">24, Paper 1, 87). They are a tool that is used to assist </w:t>
      </w:r>
      <w:r w:rsidR="005A4C95">
        <w:t>m</w:t>
      </w:r>
      <w:r>
        <w:t xml:space="preserve">inisters and government entities </w:t>
      </w:r>
      <w:r w:rsidR="00825958">
        <w:t xml:space="preserve">to </w:t>
      </w:r>
      <w:r>
        <w:t xml:space="preserve">develop their portfolio priorities and manage their budget estimates by helping to ensure quality spending and responsible budget management </w:t>
      </w:r>
      <w:r w:rsidRPr="00DE259C">
        <w:rPr>
          <w:rStyle w:val="Hyperlink"/>
        </w:rPr>
        <w:t>(</w:t>
      </w:r>
      <w:r w:rsidR="007C36A0" w:rsidRPr="004C55E7">
        <w:rPr>
          <w:rStyle w:val="Hyperlink"/>
        </w:rPr>
        <w:t>Budget Process Operational Rules (</w:t>
      </w:r>
      <w:hyperlink r:id="rId167" w:history="1">
        <w:r w:rsidRPr="00D92128">
          <w:rPr>
            <w:rStyle w:val="Hyperlink"/>
          </w:rPr>
          <w:t>BPORs</w:t>
        </w:r>
        <w:r w:rsidR="00C36707">
          <w:rPr>
            <w:rStyle w:val="Hyperlink"/>
          </w:rPr>
          <w:t>)</w:t>
        </w:r>
        <w:r w:rsidRPr="00D92128">
          <w:rPr>
            <w:rStyle w:val="Hyperlink"/>
          </w:rPr>
          <w:t>, Dec 2022, 4</w:t>
        </w:r>
      </w:hyperlink>
      <w:r>
        <w:t xml:space="preserve">). In particular, they help </w:t>
      </w:r>
      <w:r w:rsidR="00AF586B">
        <w:t>m</w:t>
      </w:r>
      <w:r>
        <w:t>inisters and entities uphold the principle that all expenditure should constitute a proper use and management of public resources, and the most efficient, effective economic and ethical way to achieve the maximum economic benefit for Australians (</w:t>
      </w:r>
      <w:hyperlink r:id="rId168" w:history="1">
        <w:r w:rsidRPr="00D92128">
          <w:rPr>
            <w:rStyle w:val="Hyperlink"/>
          </w:rPr>
          <w:t>BPORs, Dec 2022, 4</w:t>
        </w:r>
      </w:hyperlink>
      <w:r>
        <w:t xml:space="preserve">). </w:t>
      </w:r>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16"/>
      </w:tblGrid>
      <w:tr w:rsidR="00400BDE" w14:paraId="76216858" w14:textId="77777777" w:rsidTr="000C321B">
        <w:tc>
          <w:tcPr>
            <w:tcW w:w="9016" w:type="dxa"/>
            <w:tcBorders>
              <w:top w:val="nil"/>
              <w:left w:val="nil"/>
              <w:bottom w:val="nil"/>
              <w:right w:val="nil"/>
            </w:tcBorders>
            <w:shd w:val="clear" w:color="auto" w:fill="F2F2F2" w:themeFill="background1" w:themeFillShade="F2"/>
          </w:tcPr>
          <w:p w14:paraId="4C92E4F6" w14:textId="7572D7CA" w:rsidR="00284589" w:rsidRPr="00284589" w:rsidRDefault="00952DB6" w:rsidP="008C10BB">
            <w:pPr>
              <w:pStyle w:val="Heading5"/>
              <w:spacing w:before="0" w:after="160" w:line="259" w:lineRule="auto"/>
              <w:rPr>
                <w:lang w:eastAsia="en-AU"/>
              </w:rPr>
            </w:pPr>
            <w:bookmarkStart w:id="178" w:name="_Ref156833982"/>
            <w:r w:rsidRPr="00952DB6">
              <w:rPr>
                <w:lang w:eastAsia="en-AU"/>
              </w:rPr>
              <w:t>T</w:t>
            </w:r>
            <w:r w:rsidR="00182BFF" w:rsidRPr="00952DB6">
              <w:rPr>
                <w:lang w:eastAsia="en-AU"/>
              </w:rPr>
              <w:t>he operation of section 101(3B) of the National Health Act 1953 – the selection of the comparator</w:t>
            </w:r>
            <w:bookmarkEnd w:id="178"/>
          </w:p>
          <w:p w14:paraId="64066133" w14:textId="12FC475C" w:rsidR="00845375" w:rsidRDefault="00845375" w:rsidP="008C10BB">
            <w:pPr>
              <w:spacing w:line="259" w:lineRule="auto"/>
            </w:pPr>
            <w:r>
              <w:t>Whenever it is assessing an application for a new medicine, s</w:t>
            </w:r>
            <w:r w:rsidR="00851EB8">
              <w:t xml:space="preserve">ection </w:t>
            </w:r>
            <w:r>
              <w:t xml:space="preserve">101(3B) requires the PBAC to consider: </w:t>
            </w:r>
          </w:p>
          <w:p w14:paraId="63CBD0CB" w14:textId="56071488" w:rsidR="00845375" w:rsidRDefault="00845375" w:rsidP="008505D7">
            <w:pPr>
              <w:pStyle w:val="ListParagraph"/>
              <w:numPr>
                <w:ilvl w:val="0"/>
                <w:numId w:val="164"/>
              </w:numPr>
              <w:spacing w:line="259" w:lineRule="auto"/>
              <w:ind w:left="1077" w:hanging="357"/>
              <w:contextualSpacing w:val="0"/>
            </w:pPr>
            <w:r>
              <w:t xml:space="preserve">what are the alternative therapies to the new </w:t>
            </w:r>
            <w:proofErr w:type="gramStart"/>
            <w:r>
              <w:t>medicine</w:t>
            </w:r>
            <w:proofErr w:type="gramEnd"/>
          </w:p>
          <w:p w14:paraId="1D15F1D6" w14:textId="721BCEF6" w:rsidR="00845375" w:rsidRDefault="00845375" w:rsidP="008505D7">
            <w:pPr>
              <w:pStyle w:val="ListParagraph"/>
              <w:numPr>
                <w:ilvl w:val="0"/>
                <w:numId w:val="164"/>
              </w:numPr>
              <w:spacing w:line="259" w:lineRule="auto"/>
              <w:ind w:left="1077" w:hanging="357"/>
              <w:contextualSpacing w:val="0"/>
            </w:pPr>
            <w:r>
              <w:t>whether the new medicine is substantially more costly than an alternative therapy or therapies</w:t>
            </w:r>
            <w:r w:rsidR="006A4F54">
              <w:t>,</w:t>
            </w:r>
            <w:r>
              <w:t xml:space="preserve"> and </w:t>
            </w:r>
          </w:p>
          <w:p w14:paraId="7944EE6D" w14:textId="40B13A8B" w:rsidR="00845375" w:rsidRDefault="00845375" w:rsidP="008505D7">
            <w:pPr>
              <w:pStyle w:val="ListParagraph"/>
              <w:numPr>
                <w:ilvl w:val="0"/>
                <w:numId w:val="164"/>
              </w:numPr>
              <w:spacing w:line="259" w:lineRule="auto"/>
              <w:contextualSpacing w:val="0"/>
            </w:pPr>
            <w:r>
              <w:t xml:space="preserve">if so, whether it is significantly more effective, or safer. </w:t>
            </w:r>
          </w:p>
          <w:p w14:paraId="78B9F215" w14:textId="56213B70" w:rsidR="00845375" w:rsidRDefault="00845375" w:rsidP="008C10BB">
            <w:pPr>
              <w:spacing w:line="259" w:lineRule="auto"/>
              <w:jc w:val="both"/>
            </w:pPr>
            <w:r>
              <w:t>Where the lowest cost comparator is an alternative therapy to the new medicine, it cannot be ignored by the PBAC. Doing so could result in recommendation of a medicine that is substantially more costly but not significantly more effective or safer than an alternative therapy, in contravention of s</w:t>
            </w:r>
            <w:r w:rsidR="00851EB8">
              <w:t xml:space="preserve">ection </w:t>
            </w:r>
            <w:r>
              <w:t xml:space="preserve">101(3B). </w:t>
            </w:r>
          </w:p>
          <w:p w14:paraId="75DAC891" w14:textId="3C9AFE65" w:rsidR="00845375" w:rsidRDefault="00845375" w:rsidP="008C10BB">
            <w:pPr>
              <w:spacing w:line="259" w:lineRule="auto"/>
              <w:jc w:val="both"/>
            </w:pPr>
            <w:r>
              <w:t xml:space="preserve">The PBAC can consider the lowest cost alternative directly or indirectly. An example of an indirect way would be if a new medicine is claimed to be more effective or safer than alternatives on the market, which would include a medicine previously assessed to be more effective or safe than the least cost alternative, the PBAC can use the comparison against that medicine to form a view that the new medicine is also safer and more effective than the least costly alternative. </w:t>
            </w:r>
          </w:p>
          <w:p w14:paraId="623714AF" w14:textId="1637A94A" w:rsidR="00400BDE" w:rsidRDefault="00845375" w:rsidP="008C10BB">
            <w:pPr>
              <w:spacing w:after="160" w:line="259" w:lineRule="auto"/>
              <w:jc w:val="both"/>
            </w:pPr>
            <w:r>
              <w:t>As described in the second reading speech made when s</w:t>
            </w:r>
            <w:r w:rsidR="00851EB8">
              <w:t xml:space="preserve">ection </w:t>
            </w:r>
            <w:r>
              <w:t>101(3B) was introduced in 1987, the then Minister said the provision was included because the Government “did not believe the taxpayer should foot the bill for very expensive drugs that offer only minimal advantages over much cheaper alternatives”. If the PBAC were not required to consider the lowest cost alternative therapy,</w:t>
            </w:r>
            <w:r w:rsidR="00CF7C54">
              <w:t xml:space="preserve"> v</w:t>
            </w:r>
            <w:r>
              <w:t xml:space="preserve">ery </w:t>
            </w:r>
            <w:r>
              <w:lastRenderedPageBreak/>
              <w:t>expensive drugs could be recommended for listing despite offering only minimal advantages over much cheaper alternatives.</w:t>
            </w:r>
          </w:p>
        </w:tc>
      </w:tr>
    </w:tbl>
    <w:p w14:paraId="5959EE3D" w14:textId="77777777" w:rsidR="007B3D5D" w:rsidRDefault="007B3D5D" w:rsidP="007B3D5D">
      <w:r>
        <w:lastRenderedPageBreak/>
        <w:t xml:space="preserve">When providing their advice that supports funding decisions for a health technology that costs more than alternative therapies, advisory committees like the PBAC and MSAC need to be satisfied that it also provides an improvement in efficacy or reduction in toxicity over alternative therapies for some patients. For the PBAC, this requirement is set out at section 101(3B) of the </w:t>
      </w:r>
      <w:r>
        <w:rPr>
          <w:i/>
          <w:iCs/>
        </w:rPr>
        <w:t>National Health Act 1953</w:t>
      </w:r>
      <w:r>
        <w:t xml:space="preserve">. </w:t>
      </w:r>
    </w:p>
    <w:p w14:paraId="6A1571AD" w14:textId="2B91EB16" w:rsidR="007B3D5D" w:rsidRDefault="007B3D5D" w:rsidP="007B3D5D">
      <w:r>
        <w:t xml:space="preserve">This requirement supports the principle that all expenditure should seek to achieve the maximum economic benefit for Australians by ensuring that where public resources are used to fund a health technology that is more expensive than an alternative therapy, it is because that health technology provides a clinically important advantage over that alternative therapy. </w:t>
      </w:r>
    </w:p>
    <w:p w14:paraId="53B6D9AE" w14:textId="1C0F5371" w:rsidR="007B3D5D" w:rsidRPr="003E00C9" w:rsidRDefault="007B3D5D" w:rsidP="007B3D5D">
      <w:r>
        <w:t>The economic evaluation is the tool that is used to help advisory committees meet this requirement and ensure that any additional cost associated with a health technology is commensurate with the extent of improvement that the health technology provides over alternative therapies.</w:t>
      </w:r>
    </w:p>
    <w:p w14:paraId="28C9CE44" w14:textId="77777777" w:rsidR="007B3D5D" w:rsidRPr="00C97F83" w:rsidRDefault="007B3D5D" w:rsidP="00E666F4">
      <w:pPr>
        <w:pStyle w:val="Heading5"/>
        <w:rPr>
          <w:i w:val="0"/>
          <w:color w:val="153A6E" w:themeColor="text2"/>
        </w:rPr>
      </w:pPr>
      <w:r w:rsidRPr="00C97F83">
        <w:t xml:space="preserve">How do </w:t>
      </w:r>
      <w:r>
        <w:rPr>
          <w:color w:val="153A6E" w:themeColor="text2"/>
        </w:rPr>
        <w:t>economic evaluations in HTA assist decision makers</w:t>
      </w:r>
      <w:r w:rsidRPr="00C97F83">
        <w:rPr>
          <w:color w:val="153A6E" w:themeColor="text2"/>
        </w:rPr>
        <w:t>?</w:t>
      </w:r>
    </w:p>
    <w:p w14:paraId="60FAC950" w14:textId="5E68C41A" w:rsidR="007B3D5D" w:rsidRDefault="007B3D5D" w:rsidP="007B3D5D">
      <w:r>
        <w:t>Economic evaluations are a common feature of government priority setting</w:t>
      </w:r>
      <w:r w:rsidR="00BB5B3B">
        <w:t>,</w:t>
      </w:r>
      <w:r>
        <w:t xml:space="preserve"> globally</w:t>
      </w:r>
      <w:r w:rsidR="00BB5B3B">
        <w:t>,</w:t>
      </w:r>
      <w:r>
        <w:t xml:space="preserve"> including in HTA. The </w:t>
      </w:r>
      <w:hyperlink r:id="rId169" w:history="1">
        <w:r w:rsidRPr="00BA07C1">
          <w:rPr>
            <w:rStyle w:val="Hyperlink"/>
          </w:rPr>
          <w:t>literature review on economic evaluation</w:t>
        </w:r>
      </w:hyperlink>
      <w:r>
        <w:t xml:space="preserve"> found that economic evaluations are considered by HTA bodies and funding authorities in most other countries to assist decisions about whether to fund health technologies (p</w:t>
      </w:r>
      <w:r w:rsidR="00B1778C">
        <w:t>age</w:t>
      </w:r>
      <w:r>
        <w:t xml:space="preserve"> 5).</w:t>
      </w:r>
    </w:p>
    <w:p w14:paraId="1009EE43" w14:textId="371D82EC" w:rsidR="007B3D5D" w:rsidRDefault="007B3D5D" w:rsidP="007B3D5D">
      <w:r>
        <w:t xml:space="preserve">In practice, economic evaluations in </w:t>
      </w:r>
      <w:r w:rsidR="0A00FBAD">
        <w:t>HTA</w:t>
      </w:r>
      <w:r w:rsidR="00704496">
        <w:t>s</w:t>
      </w:r>
      <w:r>
        <w:t xml:space="preserve"> </w:t>
      </w:r>
      <w:r w:rsidR="00661832">
        <w:t>have the following purposes</w:t>
      </w:r>
      <w:r>
        <w:t xml:space="preserve">: </w:t>
      </w:r>
    </w:p>
    <w:p w14:paraId="68063EE7" w14:textId="77777777" w:rsidR="007B3D5D" w:rsidRDefault="007B3D5D" w:rsidP="008C10BB">
      <w:pPr>
        <w:pStyle w:val="ListParagraph"/>
        <w:numPr>
          <w:ilvl w:val="0"/>
          <w:numId w:val="9"/>
        </w:numPr>
        <w:spacing w:after="120"/>
      </w:pPr>
      <w:r>
        <w:t xml:space="preserve">provide an estimate of the value for money of a health technology based on the health outcomes delivered and costs compared to alternative </w:t>
      </w:r>
      <w:proofErr w:type="gramStart"/>
      <w:r>
        <w:t>therapies</w:t>
      </w:r>
      <w:proofErr w:type="gramEnd"/>
    </w:p>
    <w:p w14:paraId="52A81775" w14:textId="7BDB0EBB" w:rsidR="007B3D5D" w:rsidRDefault="007B3D5D" w:rsidP="008C10BB">
      <w:pPr>
        <w:pStyle w:val="ListParagraph"/>
        <w:numPr>
          <w:ilvl w:val="0"/>
          <w:numId w:val="9"/>
        </w:numPr>
        <w:spacing w:after="120"/>
      </w:pPr>
      <w:r>
        <w:t>help decision</w:t>
      </w:r>
      <w:r w:rsidR="00EB2ED5">
        <w:t>-</w:t>
      </w:r>
      <w:r>
        <w:t xml:space="preserve">makers understand how confident they should be in those </w:t>
      </w:r>
      <w:proofErr w:type="gramStart"/>
      <w:r>
        <w:t>estimates</w:t>
      </w:r>
      <w:proofErr w:type="gramEnd"/>
    </w:p>
    <w:p w14:paraId="1598C0CB" w14:textId="2E2863D7" w:rsidR="007B3D5D" w:rsidRDefault="007B3D5D" w:rsidP="008C10BB">
      <w:pPr>
        <w:pStyle w:val="ListParagraph"/>
        <w:numPr>
          <w:ilvl w:val="0"/>
          <w:numId w:val="9"/>
        </w:numPr>
        <w:spacing w:after="120"/>
      </w:pPr>
      <w:r>
        <w:t xml:space="preserve">are the main </w:t>
      </w:r>
      <w:r w:rsidR="000B4B73">
        <w:t xml:space="preserve">mechanism to determine </w:t>
      </w:r>
      <w:r>
        <w:t xml:space="preserve">the </w:t>
      </w:r>
      <w:r w:rsidR="006E6B49">
        <w:t xml:space="preserve">agreed </w:t>
      </w:r>
      <w:r>
        <w:t xml:space="preserve">price paid between the payer and the </w:t>
      </w:r>
      <w:proofErr w:type="gramStart"/>
      <w:r>
        <w:t>supplier</w:t>
      </w:r>
      <w:proofErr w:type="gramEnd"/>
    </w:p>
    <w:p w14:paraId="2028E4B2" w14:textId="77777777" w:rsidR="007B3D5D" w:rsidRDefault="007B3D5D" w:rsidP="008C10BB">
      <w:pPr>
        <w:pStyle w:val="ListParagraph"/>
        <w:numPr>
          <w:ilvl w:val="0"/>
          <w:numId w:val="9"/>
        </w:numPr>
        <w:spacing w:after="120"/>
      </w:pPr>
      <w:r>
        <w:t xml:space="preserve">help determine what arrangements should be put in place to manage the risk that estimated benefits are not realised or that costs are greater than estimated. </w:t>
      </w:r>
    </w:p>
    <w:p w14:paraId="5BDA35F0" w14:textId="77777777" w:rsidR="007B3D5D" w:rsidRDefault="007B3D5D" w:rsidP="00E666F4">
      <w:pPr>
        <w:pStyle w:val="Heading5"/>
      </w:pPr>
      <w:r>
        <w:t xml:space="preserve">How is </w:t>
      </w:r>
      <w:r>
        <w:rPr>
          <w:color w:val="153A6E" w:themeColor="text2"/>
        </w:rPr>
        <w:t>the value for money of health technologies estimated in Australia?</w:t>
      </w:r>
    </w:p>
    <w:p w14:paraId="5D5417A5" w14:textId="784C3B4C" w:rsidR="007B3D5D" w:rsidRDefault="007B3D5D" w:rsidP="007B3D5D">
      <w:r>
        <w:t xml:space="preserve">There are </w:t>
      </w:r>
      <w:r w:rsidR="002A152C">
        <w:t xml:space="preserve">2 </w:t>
      </w:r>
      <w:r>
        <w:t>primary types of economic evaluation that applicants are instructed to present</w:t>
      </w:r>
      <w:r w:rsidR="00F115A9">
        <w:t>,</w:t>
      </w:r>
      <w:r>
        <w:t xml:space="preserve"> depending on the outcome of the clinical evaluation. </w:t>
      </w:r>
    </w:p>
    <w:p w14:paraId="7E1BFE83" w14:textId="6C96D4DE" w:rsidR="007B3D5D" w:rsidRDefault="007B3D5D" w:rsidP="007B3D5D">
      <w:r>
        <w:t xml:space="preserve">The PBAC and MSAC guidelines instruct applicants to present a </w:t>
      </w:r>
      <w:r w:rsidRPr="003550FA">
        <w:rPr>
          <w:b/>
          <w:bCs/>
        </w:rPr>
        <w:t>full cost-effectiveness analysis</w:t>
      </w:r>
      <w:r w:rsidR="003A0169">
        <w:rPr>
          <w:b/>
          <w:bCs/>
        </w:rPr>
        <w:fldChar w:fldCharType="begin"/>
      </w:r>
      <w:r w:rsidR="003A0169">
        <w:instrText xml:space="preserve"> XE "</w:instrText>
      </w:r>
      <w:r w:rsidR="003A0169" w:rsidRPr="007F69FE">
        <w:instrText>cost-effectiveness analysis</w:instrText>
      </w:r>
      <w:r w:rsidR="003A0169">
        <w:instrText xml:space="preserve">" </w:instrText>
      </w:r>
      <w:r w:rsidR="003A0169">
        <w:rPr>
          <w:b/>
          <w:bCs/>
        </w:rPr>
        <w:fldChar w:fldCharType="end"/>
      </w:r>
      <w:r w:rsidRPr="7B4B70C4">
        <w:rPr>
          <w:b/>
        </w:rPr>
        <w:t xml:space="preserve"> </w:t>
      </w:r>
      <w:r w:rsidR="2EC2493A" w:rsidRPr="5CFB834D">
        <w:rPr>
          <w:b/>
          <w:bCs/>
        </w:rPr>
        <w:t>(CEA</w:t>
      </w:r>
      <w:r w:rsidR="00E54B6A">
        <w:rPr>
          <w:b/>
          <w:bCs/>
        </w:rPr>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rPr>
          <w:b/>
          <w:bCs/>
        </w:rPr>
        <w:fldChar w:fldCharType="end"/>
      </w:r>
      <w:r w:rsidR="2EC2493A" w:rsidRPr="5CFB834D">
        <w:rPr>
          <w:b/>
          <w:bCs/>
        </w:rPr>
        <w:t>)</w:t>
      </w:r>
      <w:r>
        <w:t xml:space="preserve"> where the clinical evaluation has concluded that the proposed medicine is: </w:t>
      </w:r>
    </w:p>
    <w:p w14:paraId="675812E2" w14:textId="04AE521F" w:rsidR="00B5516A" w:rsidRPr="00942FCC" w:rsidRDefault="007B3D5D" w:rsidP="008505D7">
      <w:pPr>
        <w:pStyle w:val="ListParagraph"/>
        <w:numPr>
          <w:ilvl w:val="0"/>
          <w:numId w:val="31"/>
        </w:numPr>
        <w:spacing w:after="120"/>
      </w:pPr>
      <w:r w:rsidRPr="00942FCC">
        <w:lastRenderedPageBreak/>
        <w:t>therapeutically superior to the main comparator, but likely to result in additional costs to the health system</w:t>
      </w:r>
      <w:r w:rsidR="00B5516A">
        <w:t xml:space="preserve">, </w:t>
      </w:r>
      <w:r w:rsidRPr="00942FCC">
        <w:t>or</w:t>
      </w:r>
    </w:p>
    <w:p w14:paraId="7E078CF1" w14:textId="0B25500D" w:rsidR="007B3D5D" w:rsidRPr="00942FCC" w:rsidRDefault="007B3D5D" w:rsidP="008505D7">
      <w:pPr>
        <w:pStyle w:val="ListParagraph"/>
        <w:numPr>
          <w:ilvl w:val="0"/>
          <w:numId w:val="31"/>
        </w:numPr>
        <w:spacing w:after="120"/>
      </w:pPr>
      <w:r w:rsidRPr="00942FCC">
        <w:t>therapeutically inferior to the main comparator, but likely to result in lower costs to the health system</w:t>
      </w:r>
      <w:r w:rsidR="00AE3354">
        <w:t xml:space="preserve"> (although this latter circumstance is rarely seen)</w:t>
      </w:r>
      <w:r w:rsidRPr="00942FCC">
        <w:t>.</w:t>
      </w:r>
    </w:p>
    <w:p w14:paraId="195C5DCC" w14:textId="01D4623B" w:rsidR="00E82E5B" w:rsidRDefault="007B3D5D" w:rsidP="007B3D5D">
      <w:r>
        <w:t xml:space="preserve">The PBAC and MSAC guidelines instruct applicants to present a </w:t>
      </w:r>
      <w:r>
        <w:rPr>
          <w:b/>
          <w:bCs/>
        </w:rPr>
        <w:t>cost</w:t>
      </w:r>
      <w:r w:rsidR="00444D8E">
        <w:rPr>
          <w:b/>
          <w:bCs/>
        </w:rPr>
        <w:t>-</w:t>
      </w:r>
      <w:r>
        <w:rPr>
          <w:b/>
          <w:bCs/>
        </w:rPr>
        <w:t>minimisation</w:t>
      </w:r>
      <w:r w:rsidR="007A17DF">
        <w:rPr>
          <w:b/>
          <w:bCs/>
        </w:rPr>
        <w:fldChar w:fldCharType="begin"/>
      </w:r>
      <w:r w:rsidR="007A17DF">
        <w:instrText xml:space="preserve"> XE "</w:instrText>
      </w:r>
      <w:r w:rsidR="007A17DF" w:rsidRPr="00B423D2">
        <w:rPr>
          <w:lang w:eastAsia="en-AU"/>
        </w:rPr>
        <w:instrText>cost-minimisation</w:instrText>
      </w:r>
      <w:r w:rsidR="007A17DF">
        <w:instrText xml:space="preserve">" \b </w:instrText>
      </w:r>
      <w:r w:rsidR="007A17DF">
        <w:rPr>
          <w:b/>
          <w:bCs/>
        </w:rPr>
        <w:fldChar w:fldCharType="end"/>
      </w:r>
      <w:r>
        <w:rPr>
          <w:b/>
          <w:bCs/>
        </w:rPr>
        <w:t xml:space="preserve"> analysis</w:t>
      </w:r>
      <w:r>
        <w:t xml:space="preserve"> </w:t>
      </w:r>
      <w:r w:rsidR="00286A7A" w:rsidRPr="00286A7A">
        <w:rPr>
          <w:b/>
          <w:bCs/>
        </w:rPr>
        <w:t>(CMA)</w:t>
      </w:r>
      <w:r w:rsidR="00286A7A">
        <w:t xml:space="preserve"> </w:t>
      </w:r>
      <w:r>
        <w:t>where</w:t>
      </w:r>
      <w:r w:rsidR="00E82E5B">
        <w:t>:</w:t>
      </w:r>
      <w:r>
        <w:t xml:space="preserve"> </w:t>
      </w:r>
    </w:p>
    <w:p w14:paraId="4C488487" w14:textId="77777777" w:rsidR="00E82E5B" w:rsidRDefault="007B3D5D" w:rsidP="008505D7">
      <w:pPr>
        <w:pStyle w:val="ListParagraph"/>
        <w:numPr>
          <w:ilvl w:val="0"/>
          <w:numId w:val="32"/>
        </w:numPr>
      </w:pPr>
      <w:r>
        <w:t>there is a t</w:t>
      </w:r>
      <w:r w:rsidRPr="00BD543B">
        <w:t>herapeutic claim of noninferiority (or superiority)</w:t>
      </w:r>
    </w:p>
    <w:p w14:paraId="74D50384" w14:textId="5E8AF90F" w:rsidR="00952C17" w:rsidRDefault="007B3D5D" w:rsidP="008505D7">
      <w:pPr>
        <w:pStyle w:val="ListParagraph"/>
        <w:numPr>
          <w:ilvl w:val="0"/>
          <w:numId w:val="32"/>
        </w:numPr>
      </w:pPr>
      <w:r w:rsidRPr="00BD543B">
        <w:t>the safety profile is equivalent or superior (in both nature and magnitude)</w:t>
      </w:r>
    </w:p>
    <w:p w14:paraId="02B6F017" w14:textId="5504538C" w:rsidR="007B3D5D" w:rsidRDefault="007B3D5D" w:rsidP="008505D7">
      <w:pPr>
        <w:pStyle w:val="ListParagraph"/>
        <w:numPr>
          <w:ilvl w:val="0"/>
          <w:numId w:val="32"/>
        </w:numPr>
      </w:pPr>
      <w:r w:rsidRPr="00BD543B">
        <w:t>use of the proposed medicine is anticipated to result in equivalent or lesser costs to the health system</w:t>
      </w:r>
      <w:r>
        <w:t xml:space="preserve">. </w:t>
      </w:r>
    </w:p>
    <w:tbl>
      <w:tblPr>
        <w:tblStyle w:val="TableGrid"/>
        <w:tblW w:w="0" w:type="auto"/>
        <w:tblLook w:val="04A0" w:firstRow="1" w:lastRow="0" w:firstColumn="1" w:lastColumn="0" w:noHBand="0" w:noVBand="1"/>
      </w:tblPr>
      <w:tblGrid>
        <w:gridCol w:w="9026"/>
      </w:tblGrid>
      <w:tr w:rsidR="007B3D5D" w14:paraId="5D603C05" w14:textId="77777777" w:rsidTr="00DE259C">
        <w:tc>
          <w:tcPr>
            <w:tcW w:w="9607" w:type="dxa"/>
            <w:tcBorders>
              <w:top w:val="nil"/>
              <w:left w:val="nil"/>
              <w:bottom w:val="nil"/>
              <w:right w:val="nil"/>
            </w:tcBorders>
            <w:shd w:val="clear" w:color="auto" w:fill="F2F2F2" w:themeFill="background1" w:themeFillShade="F2"/>
          </w:tcPr>
          <w:p w14:paraId="3F25639E" w14:textId="6FE85199" w:rsidR="007B3D5D" w:rsidRPr="00F75038" w:rsidRDefault="007B3D5D" w:rsidP="008C10BB">
            <w:pPr>
              <w:spacing w:after="160" w:line="259" w:lineRule="auto"/>
              <w:rPr>
                <w:color w:val="153A6E" w:themeColor="text2"/>
              </w:rPr>
            </w:pPr>
            <w:r w:rsidRPr="00F75038">
              <w:rPr>
                <w:b/>
                <w:bCs/>
                <w:color w:val="153A6E" w:themeColor="text2"/>
              </w:rPr>
              <w:t xml:space="preserve">Full </w:t>
            </w:r>
            <w:r w:rsidR="5D89BB20" w:rsidRPr="2BDE17B7">
              <w:rPr>
                <w:b/>
                <w:bCs/>
                <w:color w:val="153A6E" w:themeColor="text2"/>
              </w:rPr>
              <w:t>CEA</w:t>
            </w:r>
            <w:r w:rsidR="00E54B6A">
              <w:rPr>
                <w:b/>
                <w:bCs/>
                <w:color w:val="153A6E" w:themeColor="text2"/>
              </w:rPr>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rPr>
                <w:b/>
                <w:bCs/>
                <w:color w:val="153A6E" w:themeColor="text2"/>
              </w:rPr>
              <w:fldChar w:fldCharType="end"/>
            </w:r>
          </w:p>
          <w:p w14:paraId="186B8643" w14:textId="495C2B63" w:rsidR="007B3D5D" w:rsidRDefault="007B3D5D" w:rsidP="008C10BB">
            <w:pPr>
              <w:spacing w:after="160" w:line="259" w:lineRule="auto"/>
            </w:pPr>
            <w:r w:rsidRPr="0067396A">
              <w:t>For health technologies that</w:t>
            </w:r>
            <w:r>
              <w:t xml:space="preserve"> applicants</w:t>
            </w:r>
            <w:r w:rsidRPr="0067396A">
              <w:t xml:space="preserve"> claim </w:t>
            </w:r>
            <w:r>
              <w:t xml:space="preserve">are </w:t>
            </w:r>
            <w:r w:rsidRPr="0067396A">
              <w:t xml:space="preserve">superior </w:t>
            </w:r>
            <w:r w:rsidR="7BE34E13">
              <w:t>(</w:t>
            </w:r>
            <w:r w:rsidR="0032624C">
              <w:t>i.e.</w:t>
            </w:r>
            <w:r w:rsidR="7BE34E13">
              <w:t xml:space="preserve"> </w:t>
            </w:r>
            <w:r w:rsidRPr="0067396A">
              <w:t>substantial improvement in efficacy or safety for the technology compared to alternatives</w:t>
            </w:r>
            <w:r w:rsidR="1943DF7F">
              <w:t>)</w:t>
            </w:r>
            <w:r>
              <w:t>,</w:t>
            </w:r>
            <w:r w:rsidRPr="0067396A">
              <w:t xml:space="preserve"> the preferred economic evaluation approaches are 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fldChar w:fldCharType="end"/>
            </w:r>
            <w:r w:rsidRPr="0067396A">
              <w:t xml:space="preserve"> and </w:t>
            </w:r>
            <w:r w:rsidRPr="000A180F">
              <w:rPr>
                <w:b/>
                <w:bCs/>
              </w:rPr>
              <w:t>cost-utility analyses (CUA</w:t>
            </w:r>
            <w:r w:rsidR="00F80646">
              <w:rPr>
                <w:b/>
                <w:bCs/>
              </w:rPr>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r w:rsidR="00F80646">
              <w:instrText xml:space="preserve">" </w:instrText>
            </w:r>
            <w:r w:rsidR="00F80646">
              <w:rPr>
                <w:b/>
                <w:bCs/>
              </w:rPr>
              <w:fldChar w:fldCharType="end"/>
            </w:r>
            <w:r>
              <w:t>)</w:t>
            </w:r>
            <w:r w:rsidR="09D8B48F">
              <w:t xml:space="preserve"> which have similar approaches</w:t>
            </w:r>
            <w:r>
              <w:t>.</w:t>
            </w:r>
            <w:r w:rsidRPr="0067396A">
              <w:t xml:space="preserve"> The approach taken by Australia is consistent with most </w:t>
            </w:r>
            <w:r w:rsidR="5B4E0099">
              <w:t>countries</w:t>
            </w:r>
            <w:r w:rsidRPr="0067396A">
              <w:t>, where the perspective of the analysis is that of the healthcare funder and there is a reliance on CUA</w:t>
            </w:r>
            <w:r w:rsidR="00F80646">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r w:rsidR="00F80646">
              <w:instrText xml:space="preserve">" </w:instrText>
            </w:r>
            <w:r w:rsidR="00F80646">
              <w:fldChar w:fldCharType="end"/>
            </w:r>
            <w:r w:rsidRPr="0067396A">
              <w:t>/CEA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fldChar w:fldCharType="end"/>
            </w:r>
            <w:r w:rsidRPr="0067396A">
              <w:t xml:space="preserve"> to </w:t>
            </w:r>
            <w:r w:rsidR="0044113B">
              <w:t>estimate the value for money of</w:t>
            </w:r>
            <w:r w:rsidR="00192F96">
              <w:t xml:space="preserve"> </w:t>
            </w:r>
            <w:r w:rsidRPr="0067396A">
              <w:t>health technologies.</w:t>
            </w:r>
          </w:p>
          <w:p w14:paraId="700A64FF" w14:textId="2E99B1AF" w:rsidR="007B3D5D" w:rsidRPr="00852C80" w:rsidRDefault="007B3D5D" w:rsidP="008C10BB">
            <w:pPr>
              <w:spacing w:after="160" w:line="259" w:lineRule="auto"/>
              <w:rPr>
                <w:color w:val="153A6E" w:themeColor="text2"/>
              </w:rPr>
            </w:pPr>
            <w:r>
              <w:rPr>
                <w:color w:val="153A6E" w:themeColor="text2"/>
              </w:rPr>
              <w:t xml:space="preserve">Main output of the </w:t>
            </w:r>
            <w:r w:rsidR="5911B036" w:rsidRPr="376EAAF2">
              <w:rPr>
                <w:color w:val="153A6E" w:themeColor="text2"/>
              </w:rPr>
              <w:t>CEA</w:t>
            </w:r>
            <w:r w:rsidR="00E54B6A">
              <w:rPr>
                <w:color w:val="153A6E" w:themeColor="text2"/>
              </w:rPr>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rPr>
                <w:color w:val="153A6E" w:themeColor="text2"/>
              </w:rPr>
              <w:fldChar w:fldCharType="end"/>
            </w:r>
          </w:p>
          <w:p w14:paraId="59D16E5D" w14:textId="31F20667" w:rsidR="007B3D5D" w:rsidRDefault="007B3D5D" w:rsidP="008C10BB">
            <w:pPr>
              <w:spacing w:after="160" w:line="259" w:lineRule="auto"/>
            </w:pPr>
            <w:r>
              <w:t xml:space="preserve">The main output of a </w:t>
            </w:r>
            <w:r w:rsidR="2A1129EF">
              <w:t>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fldChar w:fldCharType="end"/>
            </w:r>
            <w:r>
              <w:t xml:space="preserve"> is an estimate of the additional cost for a specified gain in health outcomes </w:t>
            </w:r>
            <w:r w:rsidR="269C0E7D">
              <w:t>(</w:t>
            </w:r>
            <w:proofErr w:type="gramStart"/>
            <w:r w:rsidR="269C0E7D">
              <w:t>e</w:t>
            </w:r>
            <w:r w:rsidR="009B5C5D">
              <w:t>.</w:t>
            </w:r>
            <w:r w:rsidR="269C0E7D">
              <w:t>g</w:t>
            </w:r>
            <w:r w:rsidR="009B5C5D">
              <w:t>.</w:t>
            </w:r>
            <w:proofErr w:type="gramEnd"/>
            <w:r w:rsidR="269C0E7D">
              <w:t xml:space="preserve"> years of life) </w:t>
            </w:r>
            <w:r>
              <w:t xml:space="preserve">from use of the proposed health technology compared to the main comparator. This estimate is referred to as an ICER. </w:t>
            </w:r>
            <w:r w:rsidR="7272E092">
              <w:t>In</w:t>
            </w:r>
            <w:r>
              <w:t xml:space="preserve"> a CUA</w:t>
            </w:r>
            <w:r w:rsidR="00F80646">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r w:rsidR="00F80646">
              <w:instrText xml:space="preserve">" </w:instrText>
            </w:r>
            <w:r w:rsidR="00F80646">
              <w:fldChar w:fldCharType="end"/>
            </w:r>
            <w:r>
              <w:t xml:space="preserve">, the ICER is typically expressed as the cost for each quality adjusted life year (QALY) gained by patients if they use the proposed health technology instead of the comparator. </w:t>
            </w:r>
          </w:p>
          <w:p w14:paraId="5283DCFF" w14:textId="4285C725" w:rsidR="007B3D5D" w:rsidRDefault="007B3D5D" w:rsidP="008C10BB">
            <w:pPr>
              <w:spacing w:after="160" w:line="259" w:lineRule="auto"/>
            </w:pPr>
            <w:r>
              <w:t xml:space="preserve">When preparing a </w:t>
            </w:r>
            <w:r w:rsidR="1A3BEECD">
              <w:t>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fldChar w:fldCharType="end"/>
            </w:r>
            <w:r>
              <w:t xml:space="preserve">, applicants are instructed to compare the differences in the streams of outcomes and resources that will occur when the proposed medicine or its main comparator are used. These are expressed as the incremental outcomes and incremental costs between these alternatives in the Australian setting. </w:t>
            </w:r>
          </w:p>
          <w:p w14:paraId="27C1FC1A" w14:textId="27249756" w:rsidR="007B3D5D" w:rsidRDefault="007B3D5D" w:rsidP="008C10BB">
            <w:pPr>
              <w:spacing w:after="160" w:line="259" w:lineRule="auto"/>
            </w:pPr>
            <w:r>
              <w:t>In some jurisdictions</w:t>
            </w:r>
            <w:r w:rsidR="00BB5FFD">
              <w:t>,</w:t>
            </w:r>
            <w:r>
              <w:t xml:space="preserve"> the ICER determines whether a health technology is funded. In those jurisdictions, if the ICER is below a fixed threshold, the health technology will be funded, and if above, it will not be funded. In Australia, advisory committees do not use a fixed ICER threshold.</w:t>
            </w:r>
          </w:p>
          <w:p w14:paraId="57F146A3" w14:textId="4B2F61BA" w:rsidR="007B3D5D" w:rsidRDefault="007B3D5D" w:rsidP="008C10BB">
            <w:pPr>
              <w:spacing w:after="160" w:line="259" w:lineRule="auto"/>
              <w:rPr>
                <w:color w:val="153A6E" w:themeColor="text2"/>
              </w:rPr>
            </w:pPr>
            <w:r w:rsidRPr="00E16623">
              <w:rPr>
                <w:color w:val="153A6E" w:themeColor="text2"/>
              </w:rPr>
              <w:lastRenderedPageBreak/>
              <w:t xml:space="preserve">Costs and outcomes </w:t>
            </w:r>
            <w:r>
              <w:rPr>
                <w:color w:val="153A6E" w:themeColor="text2"/>
              </w:rPr>
              <w:t>used to calculate</w:t>
            </w:r>
            <w:r w:rsidRPr="00E16623">
              <w:rPr>
                <w:color w:val="153A6E" w:themeColor="text2"/>
              </w:rPr>
              <w:t xml:space="preserve"> the </w:t>
            </w:r>
            <w:proofErr w:type="gramStart"/>
            <w:r w:rsidRPr="00E16623">
              <w:rPr>
                <w:color w:val="153A6E" w:themeColor="text2"/>
              </w:rPr>
              <w:t>ICER</w:t>
            </w:r>
            <w:proofErr w:type="gramEnd"/>
          </w:p>
          <w:p w14:paraId="5E2FC935" w14:textId="221AD7F0" w:rsidR="007B3D5D" w:rsidRDefault="007B3D5D" w:rsidP="008C10BB">
            <w:pPr>
              <w:spacing w:after="160" w:line="259" w:lineRule="auto"/>
            </w:pPr>
            <w:r>
              <w:t>The PBAC and MSAC guidelines instruct applicants to include costs related to health and health-related resource use and health</w:t>
            </w:r>
            <w:r w:rsidR="00803701">
              <w:t>-</w:t>
            </w:r>
            <w:r>
              <w:t xml:space="preserve">related outcomes. This is often referred to as the “perspective” of the economic evaluation. </w:t>
            </w:r>
          </w:p>
          <w:p w14:paraId="6A46E8F8" w14:textId="7ADAE475" w:rsidR="007B3D5D" w:rsidRDefault="007B3D5D" w:rsidP="008C10BB">
            <w:pPr>
              <w:spacing w:after="160" w:line="259" w:lineRule="auto"/>
            </w:pPr>
            <w:r>
              <w:t xml:space="preserve">The guidelines advise applicants not to include costs and outcomes that are not specifically related to health and/or provision of healthcare in the base case. Such additional costs </w:t>
            </w:r>
            <w:r w:rsidR="0050443B">
              <w:t>and outcomes</w:t>
            </w:r>
            <w:r>
              <w:t xml:space="preserve"> (such as</w:t>
            </w:r>
            <w:r w:rsidR="00660232">
              <w:t xml:space="preserve"> </w:t>
            </w:r>
            <w:r w:rsidR="00136DB5">
              <w:t xml:space="preserve">indirect and </w:t>
            </w:r>
            <w:r w:rsidR="00660232">
              <w:t xml:space="preserve">non-health benefits, </w:t>
            </w:r>
            <w:r w:rsidR="00136DB5">
              <w:t>and</w:t>
            </w:r>
            <w:r>
              <w:t xml:space="preserve"> societal implications) can be presented as a supplementary analysis in addition to the base case. </w:t>
            </w:r>
          </w:p>
          <w:p w14:paraId="3D644F74" w14:textId="14E4EDFD" w:rsidR="007B3D5D" w:rsidRDefault="007B3D5D" w:rsidP="008C10BB">
            <w:pPr>
              <w:spacing w:after="160" w:line="259" w:lineRule="auto"/>
            </w:pPr>
            <w:r>
              <w:t xml:space="preserve">The </w:t>
            </w:r>
            <w:r w:rsidR="467199D6">
              <w:t>economic evaluation literature review</w:t>
            </w:r>
            <w:r>
              <w:t xml:space="preserve"> found that this approach was consistent with approaches used in most other comparable </w:t>
            </w:r>
            <w:r w:rsidR="009F30BB">
              <w:t>countries</w:t>
            </w:r>
            <w:r>
              <w:t xml:space="preserve">. </w:t>
            </w:r>
            <w:r w:rsidR="0E914453">
              <w:t xml:space="preserve">In most countries reviewed, indirect and non-health benefits were not included in the base-case evaluation. </w:t>
            </w:r>
            <w:r w:rsidR="00B23458">
              <w:t>T</w:t>
            </w:r>
            <w:r>
              <w:t xml:space="preserve">he Netherlands, Taiwan and Sweden state the societal perspective is used in economic evaluation for the reference case. </w:t>
            </w:r>
          </w:p>
          <w:p w14:paraId="4C48FB6B" w14:textId="654DB5E7" w:rsidR="007B3D5D" w:rsidRDefault="007B3D5D" w:rsidP="008C10BB">
            <w:pPr>
              <w:spacing w:after="160" w:line="259" w:lineRule="auto"/>
              <w:rPr>
                <w:color w:val="153A6E" w:themeColor="text2"/>
              </w:rPr>
            </w:pPr>
            <w:r>
              <w:rPr>
                <w:color w:val="153A6E" w:themeColor="text2"/>
              </w:rPr>
              <w:t>Extrapolation</w:t>
            </w:r>
          </w:p>
          <w:p w14:paraId="26E20F64" w14:textId="61FD359F" w:rsidR="007B3D5D" w:rsidRPr="00201D1B" w:rsidRDefault="32E5B551" w:rsidP="008C10BB">
            <w:pPr>
              <w:spacing w:after="160" w:line="259" w:lineRule="auto"/>
            </w:pPr>
            <w:r>
              <w:t>Trials are generally shorter than patients’ lives with a disease. Conseque</w:t>
            </w:r>
            <w:r w:rsidR="61B26CB6">
              <w:t>ntly, t</w:t>
            </w:r>
            <w:r w:rsidR="007B3D5D">
              <w:t>he</w:t>
            </w:r>
            <w:r w:rsidR="4CD01EDB">
              <w:t>re is a</w:t>
            </w:r>
            <w:r w:rsidR="007B3D5D" w:rsidRPr="00201D1B">
              <w:t xml:space="preserve"> need for extrapolation </w:t>
            </w:r>
            <w:r w:rsidR="78AFEF10">
              <w:t>of the</w:t>
            </w:r>
            <w:r w:rsidR="007B3D5D">
              <w:t xml:space="preserve"> </w:t>
            </w:r>
            <w:r w:rsidR="007B3D5D" w:rsidRPr="00201D1B">
              <w:t xml:space="preserve">clinical trial evidence, </w:t>
            </w:r>
            <w:r w:rsidR="40185B8B">
              <w:t>so it</w:t>
            </w:r>
            <w:r w:rsidR="007B3D5D" w:rsidRPr="00201D1B">
              <w:t xml:space="preserve"> may be used to construct a model</w:t>
            </w:r>
            <w:r w:rsidR="007B3D5D">
              <w:t>-</w:t>
            </w:r>
            <w:r w:rsidR="007B3D5D" w:rsidRPr="00201D1B">
              <w:t xml:space="preserve">based assessment of cost-effectiveness, </w:t>
            </w:r>
            <w:r w:rsidR="660B12C2">
              <w:t>that</w:t>
            </w:r>
            <w:r w:rsidR="007B3D5D">
              <w:t xml:space="preserve"> reflect</w:t>
            </w:r>
            <w:r w:rsidR="5609DAC9">
              <w:t>s</w:t>
            </w:r>
            <w:r w:rsidR="007B3D5D">
              <w:t xml:space="preserve"> the </w:t>
            </w:r>
            <w:r w:rsidR="354A1231">
              <w:t>longer</w:t>
            </w:r>
            <w:r w:rsidR="007B3D5D" w:rsidRPr="00201D1B">
              <w:t xml:space="preserve"> anticipated time horizon over which costs and </w:t>
            </w:r>
            <w:r w:rsidR="1B96B051">
              <w:t>benefits</w:t>
            </w:r>
            <w:r w:rsidR="007B3D5D" w:rsidRPr="00201D1B">
              <w:t xml:space="preserve"> may accrue when the intervention is used in practice. </w:t>
            </w:r>
            <w:r w:rsidR="007B3D5D">
              <w:t xml:space="preserve">In most countries, including Australia, applicants are instructed to extrapolate by fitting parametric survival models to the observed time-to-event data. </w:t>
            </w:r>
          </w:p>
          <w:p w14:paraId="497528CC" w14:textId="7CD2A3D5" w:rsidR="007B3D5D" w:rsidRDefault="007B3D5D" w:rsidP="008C10BB">
            <w:pPr>
              <w:spacing w:after="160" w:line="259" w:lineRule="auto"/>
              <w:rPr>
                <w:color w:val="153A6E" w:themeColor="text2"/>
              </w:rPr>
            </w:pPr>
            <w:r w:rsidRPr="008974E4">
              <w:rPr>
                <w:color w:val="153A6E" w:themeColor="text2"/>
              </w:rPr>
              <w:t>Discounting</w:t>
            </w:r>
          </w:p>
          <w:p w14:paraId="2EAB002A" w14:textId="07157CCA" w:rsidR="007B3D5D" w:rsidRDefault="007B3D5D" w:rsidP="008C10BB">
            <w:pPr>
              <w:spacing w:after="160" w:line="259" w:lineRule="auto"/>
            </w:pPr>
            <w:r w:rsidRPr="00E24959">
              <w:t xml:space="preserve">The PBAC and </w:t>
            </w:r>
            <w:r>
              <w:t xml:space="preserve">MSAC guidelines instruct applicants to discount costs and benefits incurred or received in future years at a uniform compounding rate of 5% per year. </w:t>
            </w:r>
            <w:r w:rsidR="00D73505">
              <w:t xml:space="preserve">Discounting is a </w:t>
            </w:r>
            <w:r w:rsidR="000864AB">
              <w:t>method</w:t>
            </w:r>
            <w:r w:rsidR="00940CF9">
              <w:t xml:space="preserve"> </w:t>
            </w:r>
            <w:r w:rsidR="000864AB">
              <w:t xml:space="preserve">commonly used in </w:t>
            </w:r>
            <w:r w:rsidR="00E15792">
              <w:t xml:space="preserve">economic evaluations to account for </w:t>
            </w:r>
            <w:r w:rsidR="005930ED">
              <w:t xml:space="preserve">society’s </w:t>
            </w:r>
            <w:r w:rsidR="009E3785">
              <w:t xml:space="preserve">preference for </w:t>
            </w:r>
            <w:r w:rsidR="00940EE4">
              <w:t xml:space="preserve">costs and benefits now relative to the future. </w:t>
            </w:r>
            <w:r>
              <w:t xml:space="preserve">Applicants are also instructed to present sensitivity analyses using </w:t>
            </w:r>
            <w:r w:rsidRPr="00372E25">
              <w:t xml:space="preserve">fixed discount rates of 3.5% and 0% per year (applied to both costs and outcomes). If relevant, </w:t>
            </w:r>
            <w:r>
              <w:t xml:space="preserve">applicants can </w:t>
            </w:r>
            <w:r w:rsidRPr="00372E25">
              <w:t>present supplementary analyses using other discounting methodologies (</w:t>
            </w:r>
            <w:proofErr w:type="gramStart"/>
            <w:r w:rsidR="00031FAB">
              <w:t>e.g.</w:t>
            </w:r>
            <w:proofErr w:type="gramEnd"/>
            <w:r w:rsidR="008B72A4">
              <w:t xml:space="preserve"> </w:t>
            </w:r>
            <w:r w:rsidRPr="00372E25">
              <w:t>a different uniform rate, differential rates, time-varying rates) and justify the alternative approach.</w:t>
            </w:r>
          </w:p>
          <w:p w14:paraId="71320DDE" w14:textId="143BDE87" w:rsidR="007B3D5D" w:rsidRDefault="007B3D5D" w:rsidP="008C10BB">
            <w:pPr>
              <w:spacing w:after="160" w:line="259" w:lineRule="auto"/>
            </w:pPr>
            <w:r>
              <w:t xml:space="preserve">The base case discount rates used in comparable </w:t>
            </w:r>
            <w:r w:rsidR="007E6522">
              <w:t xml:space="preserve">countries </w:t>
            </w:r>
            <w:r>
              <w:t>ranged from 1.5% to 5%</w:t>
            </w:r>
            <w:r w:rsidR="004F3D54">
              <w:t xml:space="preserve"> with the majority </w:t>
            </w:r>
            <w:r w:rsidR="00D87F41">
              <w:t>using less than 5%.</w:t>
            </w:r>
          </w:p>
          <w:p w14:paraId="284AE9D9" w14:textId="44E48D53" w:rsidR="007B3D5D" w:rsidRPr="00427B89" w:rsidRDefault="007B3D5D" w:rsidP="008C10BB">
            <w:pPr>
              <w:spacing w:after="160" w:line="259" w:lineRule="auto"/>
              <w:rPr>
                <w:color w:val="153A6E" w:themeColor="text2"/>
              </w:rPr>
            </w:pPr>
            <w:r w:rsidRPr="00427B89">
              <w:rPr>
                <w:color w:val="153A6E" w:themeColor="text2"/>
              </w:rPr>
              <w:t>Uncertainty</w:t>
            </w:r>
          </w:p>
          <w:p w14:paraId="5CF9E865" w14:textId="08D5CD0D" w:rsidR="007B3D5D" w:rsidRDefault="007B3D5D" w:rsidP="008C10BB">
            <w:pPr>
              <w:spacing w:after="160" w:line="259" w:lineRule="auto"/>
            </w:pPr>
            <w:r>
              <w:t xml:space="preserve">There are numerous sources of economic uncertainty within HTA, which are generally described to fall in one of </w:t>
            </w:r>
            <w:r w:rsidR="00951F0E">
              <w:t xml:space="preserve">3 </w:t>
            </w:r>
            <w:r>
              <w:t xml:space="preserve">broad categories: methodological </w:t>
            </w:r>
            <w:r>
              <w:lastRenderedPageBreak/>
              <w:t>uncertainty (the normative view about the ‘best’ approach for economic evaluations – including the choice of comparator,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and time horizon), structural uncertainty (the range of assumptions and judgements required in constructing an economic model) and parametric uncertainty (the uncertainty around the mean values of parameters used in the economic model). </w:t>
            </w:r>
            <w:r w:rsidR="00941B05">
              <w:t xml:space="preserve">These sources of uncertainty are compounded where there is clinical uncertainty. </w:t>
            </w:r>
          </w:p>
          <w:p w14:paraId="7A555E3A" w14:textId="11A088CF" w:rsidR="007B3D5D" w:rsidRDefault="007B3D5D" w:rsidP="008C10BB">
            <w:pPr>
              <w:spacing w:after="160" w:line="259" w:lineRule="auto"/>
            </w:pPr>
            <w:r>
              <w:t>The economic evaluation literature review found that all HTA guidelines address methodological uncertainty through the prescription of either a ‘reference case’ or ‘base case’, which specify the preferred methods in which to undertake economic evaluations. While there are some minor differences between jurisdictions in the extent to which submissions are required to conform to the prescribed reference</w:t>
            </w:r>
            <w:r w:rsidR="00CA32DE">
              <w:t xml:space="preserve"> </w:t>
            </w:r>
            <w:r>
              <w:t>or base</w:t>
            </w:r>
            <w:r w:rsidR="00786387">
              <w:t xml:space="preserve"> </w:t>
            </w:r>
            <w:r>
              <w:t xml:space="preserve">case, all guidelines allow for deviations if they can be justified. </w:t>
            </w:r>
          </w:p>
          <w:p w14:paraId="380CDAB8" w14:textId="56AD2AA4" w:rsidR="007B3D5D" w:rsidRDefault="007B3D5D" w:rsidP="008C10BB">
            <w:pPr>
              <w:spacing w:after="160" w:line="259" w:lineRule="auto"/>
            </w:pPr>
            <w:r>
              <w:t xml:space="preserve">Additionally, all HTA guidelines recommend addressing structural and parametric uncertainty through undertaking some form of scenario or sensitivity analysis. While there is heterogeneity in preferred methods to address parametric uncertainty (deterministic </w:t>
            </w:r>
            <w:r w:rsidR="00992628">
              <w:t xml:space="preserve">versus </w:t>
            </w:r>
            <w:r>
              <w:t>probabilistic sensitivity analyses), most guidelines (including Australia (MSAC/PBAC)) provide the option to present both methods.</w:t>
            </w:r>
          </w:p>
          <w:p w14:paraId="602FA43A" w14:textId="3CBB2550" w:rsidR="007B3D5D" w:rsidRDefault="007B3D5D" w:rsidP="008C10BB">
            <w:pPr>
              <w:spacing w:after="160" w:line="259" w:lineRule="auto"/>
              <w:rPr>
                <w:color w:val="153A6E" w:themeColor="text2"/>
              </w:rPr>
            </w:pPr>
            <w:r w:rsidRPr="00427B89">
              <w:rPr>
                <w:color w:val="153A6E" w:themeColor="text2"/>
              </w:rPr>
              <w:t>Weighting of health outcomes and risks/harms</w:t>
            </w:r>
          </w:p>
          <w:p w14:paraId="1EBC27AE" w14:textId="14819902" w:rsidR="007B3D5D" w:rsidRDefault="007B3D5D" w:rsidP="008C10BB">
            <w:pPr>
              <w:spacing w:after="160" w:line="259" w:lineRule="auto"/>
            </w:pPr>
            <w:r w:rsidRPr="00AB6846">
              <w:t>Various methods have been used to assess the trade-offs between health outcomes and risks/harms of interventions.</w:t>
            </w:r>
            <w:r>
              <w:t xml:space="preserve"> </w:t>
            </w:r>
            <w:r w:rsidRPr="003A586F">
              <w:t>Methods described for weighting health outcomes and risks/harms include MCDA</w:t>
            </w:r>
            <w:r w:rsidR="000D0F8B">
              <w:t xml:space="preserve"> </w:t>
            </w:r>
            <w:r w:rsidRPr="003A586F">
              <w:t>and stated preference methods including conjoint analysis and discrete choice experiments. These methods allow relative weights to be assigned to different health outcomes and healthcare services to reflect their importance for societal impacts and resource allocation.</w:t>
            </w:r>
          </w:p>
          <w:p w14:paraId="334AF330" w14:textId="211F9E6D" w:rsidR="007B3D5D" w:rsidRPr="00A554C8" w:rsidRDefault="007B3D5D" w:rsidP="008C10BB">
            <w:pPr>
              <w:spacing w:after="160" w:line="259" w:lineRule="auto"/>
            </w:pPr>
            <w:r>
              <w:t xml:space="preserve">Australia does not explicitly apply weighting to health outcomes in economic modelling. However, less readily quantifiable factors are considered qualitatively and influence decision-making. The economic evaluation literature review found that HTA bodies in most </w:t>
            </w:r>
            <w:r w:rsidR="003E422E">
              <w:t xml:space="preserve">countries </w:t>
            </w:r>
            <w:r>
              <w:t>did not explicitly apply weightings to economic modelling and instead considered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and social factors qualitatively. </w:t>
            </w:r>
          </w:p>
        </w:tc>
      </w:tr>
    </w:tbl>
    <w:p w14:paraId="4FEB85E0" w14:textId="77777777" w:rsidR="007B3D5D" w:rsidRDefault="007B3D5D" w:rsidP="008C10BB"/>
    <w:tbl>
      <w:tblPr>
        <w:tblStyle w:val="TableGrid"/>
        <w:tblpPr w:leftFromText="181" w:rightFromText="181" w:bottomFromText="227" w:vertAnchor="text" w:tblpY="1"/>
        <w:tblOverlap w:val="never"/>
        <w:tblW w:w="0" w:type="auto"/>
        <w:tblLook w:val="04A0" w:firstRow="1" w:lastRow="0" w:firstColumn="1" w:lastColumn="0" w:noHBand="0" w:noVBand="1"/>
      </w:tblPr>
      <w:tblGrid>
        <w:gridCol w:w="9026"/>
      </w:tblGrid>
      <w:tr w:rsidR="007B3D5D" w14:paraId="14E4D34F" w14:textId="77777777" w:rsidTr="00DE259C">
        <w:tc>
          <w:tcPr>
            <w:tcW w:w="9026" w:type="dxa"/>
            <w:tcBorders>
              <w:top w:val="nil"/>
              <w:left w:val="nil"/>
              <w:bottom w:val="nil"/>
              <w:right w:val="nil"/>
            </w:tcBorders>
            <w:shd w:val="clear" w:color="auto" w:fill="F2F2F2" w:themeFill="background1" w:themeFillShade="F2"/>
          </w:tcPr>
          <w:p w14:paraId="197BB818" w14:textId="072BF8C4" w:rsidR="007B3D5D" w:rsidRPr="00F75038" w:rsidRDefault="007B3D5D" w:rsidP="008C10BB">
            <w:pPr>
              <w:spacing w:after="160" w:line="259" w:lineRule="auto"/>
              <w:rPr>
                <w:color w:val="153A6E" w:themeColor="text2"/>
              </w:rPr>
            </w:pPr>
            <w:r>
              <w:rPr>
                <w:b/>
                <w:bCs/>
                <w:color w:val="153A6E" w:themeColor="text2"/>
              </w:rPr>
              <w:t>Cost-minimisation analysis</w:t>
            </w:r>
            <w:r w:rsidR="00562FCC">
              <w:rPr>
                <w:b/>
                <w:bCs/>
                <w:color w:val="153A6E" w:themeColor="text2"/>
              </w:rPr>
              <w:t xml:space="preserve"> (CMA)</w:t>
            </w:r>
          </w:p>
          <w:p w14:paraId="3A5242C4" w14:textId="4AD78C10" w:rsidR="007B3D5D" w:rsidRDefault="000B3093" w:rsidP="008C10BB">
            <w:pPr>
              <w:spacing w:after="160" w:line="259" w:lineRule="auto"/>
            </w:pPr>
            <w:r>
              <w:t>In ins</w:t>
            </w:r>
            <w:r w:rsidR="006C4442">
              <w:t xml:space="preserve">tances where </w:t>
            </w:r>
            <w:r w:rsidR="001D4CBC">
              <w:t>a</w:t>
            </w:r>
            <w:r w:rsidR="00A21B04">
              <w:t>n applicant</w:t>
            </w:r>
            <w:r w:rsidR="007B3D5D">
              <w:t xml:space="preserve"> claim</w:t>
            </w:r>
            <w:r w:rsidR="00CE3F2B">
              <w:t>s</w:t>
            </w:r>
            <w:r w:rsidR="007B3D5D">
              <w:t xml:space="preserve"> noninferiority, </w:t>
            </w:r>
            <w:r w:rsidR="00BC689B">
              <w:t xml:space="preserve">there is an </w:t>
            </w:r>
            <w:r w:rsidR="007B3D5D">
              <w:t>instruct</w:t>
            </w:r>
            <w:r w:rsidR="00BC689B">
              <w:t xml:space="preserve">ion that the </w:t>
            </w:r>
            <w:r w:rsidR="005A76F6">
              <w:t xml:space="preserve">submission </w:t>
            </w:r>
            <w:r w:rsidR="00C072D4">
              <w:t>includes</w:t>
            </w:r>
            <w:r w:rsidR="007B3D5D">
              <w:t xml:space="preserve"> a cost-minimisation</w:t>
            </w:r>
            <w:r w:rsidR="007A17DF">
              <w:fldChar w:fldCharType="begin"/>
            </w:r>
            <w:r w:rsidR="007A17DF">
              <w:instrText xml:space="preserve"> XE "</w:instrText>
            </w:r>
            <w:r w:rsidR="007A17DF" w:rsidRPr="00B423D2">
              <w:rPr>
                <w:lang w:eastAsia="en-AU"/>
              </w:rPr>
              <w:instrText>cost-minimisation</w:instrText>
            </w:r>
            <w:r w:rsidR="007A17DF">
              <w:instrText xml:space="preserve">" \b </w:instrText>
            </w:r>
            <w:r w:rsidR="007A17DF">
              <w:fldChar w:fldCharType="end"/>
            </w:r>
            <w:r w:rsidR="007B3D5D">
              <w:t xml:space="preserve"> analysis. For this approach, the difference between the proposed medicine and the main comparator is reduced to a cost comparison. </w:t>
            </w:r>
            <w:r w:rsidR="00470643">
              <w:t>T</w:t>
            </w:r>
            <w:r w:rsidR="007B3D5D">
              <w:t xml:space="preserve">he assumption of noninferiority (or </w:t>
            </w:r>
            <w:r w:rsidR="007B3D5D">
              <w:lastRenderedPageBreak/>
              <w:t xml:space="preserve">superiority) with respect to both effectiveness and safety needs to be well justified for the cost-minimisation approach to be accepted. </w:t>
            </w:r>
          </w:p>
          <w:p w14:paraId="00D82F13" w14:textId="77777777" w:rsidR="007B3D5D" w:rsidRDefault="007B3D5D" w:rsidP="008C10BB">
            <w:pPr>
              <w:spacing w:after="160" w:line="259" w:lineRule="auto"/>
            </w:pPr>
            <w:r>
              <w:t xml:space="preserve">Applicants are instructed to provide sufficient detail to establish </w:t>
            </w:r>
            <w:proofErr w:type="spellStart"/>
            <w:r>
              <w:t>equi</w:t>
            </w:r>
            <w:proofErr w:type="spellEnd"/>
            <w:r>
              <w:t xml:space="preserve">-effective doses and identify any difference between the proposed health technology and the comparator that are likely to result in a difference in health resource use. </w:t>
            </w:r>
          </w:p>
          <w:p w14:paraId="0092A587" w14:textId="5A55F75C" w:rsidR="007B3D5D" w:rsidRDefault="007B3D5D" w:rsidP="008C10BB">
            <w:pPr>
              <w:spacing w:after="160" w:line="259" w:lineRule="auto"/>
            </w:pPr>
            <w:r>
              <w:t>The economic evaluation literature review found that several guidelines for HTA recommend cost-minimisation</w:t>
            </w:r>
            <w:r w:rsidR="007A17DF">
              <w:fldChar w:fldCharType="begin"/>
            </w:r>
            <w:r w:rsidR="007A17DF">
              <w:instrText xml:space="preserve"> XE "</w:instrText>
            </w:r>
            <w:r w:rsidR="007A17DF" w:rsidRPr="00B423D2">
              <w:rPr>
                <w:lang w:eastAsia="en-AU"/>
              </w:rPr>
              <w:instrText>cost-minimisation</w:instrText>
            </w:r>
            <w:r w:rsidR="007A17DF">
              <w:instrText xml:space="preserve">" \b </w:instrText>
            </w:r>
            <w:r w:rsidR="007A17DF">
              <w:fldChar w:fldCharType="end"/>
            </w:r>
            <w:r>
              <w:t xml:space="preserve"> analysis as the main approach to use where no substantial improvement in efficacy or reduction in toxicity is claimed compared to the alternative.</w:t>
            </w:r>
          </w:p>
        </w:tc>
      </w:tr>
    </w:tbl>
    <w:p w14:paraId="59F85DF7" w14:textId="77777777" w:rsidR="004E65F6" w:rsidRPr="006647C5" w:rsidRDefault="004E65F6" w:rsidP="0018272D">
      <w:pPr>
        <w:pStyle w:val="Heading3"/>
        <w:keepNext/>
        <w:keepLines/>
      </w:pPr>
      <w:bookmarkStart w:id="179" w:name="_Toc157029096"/>
      <w:r w:rsidRPr="006647C5">
        <w:lastRenderedPageBreak/>
        <w:t>What we heard from stakeholders</w:t>
      </w:r>
      <w:bookmarkEnd w:id="179"/>
      <w:r w:rsidRPr="006647C5">
        <w:t xml:space="preserve"> </w:t>
      </w:r>
    </w:p>
    <w:p w14:paraId="51BEA43C" w14:textId="77777777" w:rsidR="002065D1" w:rsidRDefault="002065D1" w:rsidP="002065D1">
      <w:r>
        <w:t xml:space="preserve">The main concerns expressed by stakeholders about economic evaluation methods relate to how particular elements influence the final estimated value for money of a health technology. </w:t>
      </w:r>
    </w:p>
    <w:p w14:paraId="1AC91C73" w14:textId="1E989D9E" w:rsidR="00627987" w:rsidRDefault="004426BB" w:rsidP="002065D1">
      <w:r>
        <w:t>S</w:t>
      </w:r>
      <w:r w:rsidR="002065D1">
        <w:t xml:space="preserve">takeholders across industry, patient organisation, </w:t>
      </w:r>
      <w:proofErr w:type="gramStart"/>
      <w:r w:rsidR="00D66E8B">
        <w:t>res</w:t>
      </w:r>
      <w:r w:rsidR="00AC2AA5">
        <w:t>earch</w:t>
      </w:r>
      <w:proofErr w:type="gramEnd"/>
      <w:r w:rsidR="00D66E8B">
        <w:t xml:space="preserve"> </w:t>
      </w:r>
      <w:r w:rsidR="002065D1">
        <w:t xml:space="preserve">and clinical practice </w:t>
      </w:r>
      <w:r w:rsidR="00A856BB">
        <w:t>sectors</w:t>
      </w:r>
      <w:r w:rsidR="002065D1">
        <w:t xml:space="preserve"> perceived certain features of the economic evaluation methods used by PBAC and MSAC </w:t>
      </w:r>
      <w:r w:rsidR="004D5072">
        <w:t xml:space="preserve">to be </w:t>
      </w:r>
      <w:r w:rsidR="002065D1">
        <w:t xml:space="preserve">causing certain types </w:t>
      </w:r>
      <w:r w:rsidR="004D5072">
        <w:t xml:space="preserve">of </w:t>
      </w:r>
      <w:r w:rsidR="002065D1">
        <w:t xml:space="preserve">health technologies to be undervalued or valued without sufficient regard to </w:t>
      </w:r>
      <w:r w:rsidR="00323EED">
        <w:t xml:space="preserve">societal and </w:t>
      </w:r>
      <w:r w:rsidR="002065D1">
        <w:t>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002065D1">
        <w:t xml:space="preserve"> principles. The elements of the economic evaluation that stakeholders expressed most concern about were:</w:t>
      </w:r>
    </w:p>
    <w:p w14:paraId="30552FDC" w14:textId="3F379E83" w:rsidR="00627987" w:rsidRDefault="002065D1" w:rsidP="008505D7">
      <w:pPr>
        <w:pStyle w:val="ListParagraph"/>
        <w:numPr>
          <w:ilvl w:val="0"/>
          <w:numId w:val="33"/>
        </w:numPr>
      </w:pPr>
      <w:r>
        <w:t>low-cost comparators</w:t>
      </w:r>
    </w:p>
    <w:p w14:paraId="4F19DAB8" w14:textId="15D3B027" w:rsidR="009C268F" w:rsidRDefault="002065D1" w:rsidP="008505D7">
      <w:pPr>
        <w:pStyle w:val="ListParagraph"/>
        <w:numPr>
          <w:ilvl w:val="0"/>
          <w:numId w:val="33"/>
        </w:numPr>
      </w:pPr>
      <w:r>
        <w:t>non-inclusion of costs and outcomes that are not related to health or provision of healthcare in the base case economic evaluation (</w:t>
      </w:r>
      <w:proofErr w:type="gramStart"/>
      <w:r w:rsidR="00031FAB">
        <w:t>e.g.</w:t>
      </w:r>
      <w:proofErr w:type="gramEnd"/>
      <w:r w:rsidR="00890920">
        <w:t xml:space="preserve"> </w:t>
      </w:r>
      <w:r w:rsidRPr="000C756E">
        <w:t>second order effects, social benefits, carer benefits, productivity</w:t>
      </w:r>
      <w:r>
        <w:t>) and</w:t>
      </w:r>
      <w:r w:rsidRPr="000C756E">
        <w:t xml:space="preserve"> PROMs and PREMs that might not otherwise be captured via standard measures of quality of life</w:t>
      </w:r>
    </w:p>
    <w:p w14:paraId="2DE8AFD8" w14:textId="6456B149" w:rsidR="00EF41A6" w:rsidRDefault="002065D1" w:rsidP="008505D7">
      <w:pPr>
        <w:pStyle w:val="ListParagraph"/>
        <w:numPr>
          <w:ilvl w:val="0"/>
          <w:numId w:val="33"/>
        </w:numPr>
      </w:pPr>
      <w:r>
        <w:t>the impact of discounting and consideration of uncertainty on the estimated value of long</w:t>
      </w:r>
      <w:r w:rsidR="00EF41A6">
        <w:t>-</w:t>
      </w:r>
      <w:r>
        <w:t>term benefits</w:t>
      </w:r>
      <w:r w:rsidR="00031E28">
        <w:t>, and</w:t>
      </w:r>
    </w:p>
    <w:p w14:paraId="71868C33" w14:textId="5FE8766A" w:rsidR="002065D1" w:rsidRDefault="002065D1" w:rsidP="008505D7">
      <w:pPr>
        <w:pStyle w:val="ListParagraph"/>
        <w:numPr>
          <w:ilvl w:val="0"/>
          <w:numId w:val="33"/>
        </w:numPr>
      </w:pPr>
      <w:r>
        <w:t>absence of an explicit framework incorporat</w:t>
      </w:r>
      <w:r w:rsidR="001378B0">
        <w:t xml:space="preserve">ing </w:t>
      </w:r>
      <w:r>
        <w:t>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considerations into conclusions about whether cost-effectiveness was acceptable. </w:t>
      </w:r>
    </w:p>
    <w:p w14:paraId="51BD7258" w14:textId="77777777" w:rsidR="002065D1" w:rsidRDefault="002065D1" w:rsidP="002065D1">
      <w:r>
        <w:t>Stakeholders perceived that undervaluing of health technologies resulted in advice not to fund them at the price initially proposed by the applicant. They expressed concern about the impact this had on the time it takes to reimburse new health technologies.</w:t>
      </w:r>
    </w:p>
    <w:p w14:paraId="6BD87082" w14:textId="3A4C10D7" w:rsidR="002065D1" w:rsidRDefault="002065D1" w:rsidP="002065D1">
      <w:r>
        <w:t xml:space="preserve">Stakeholders also expressed concern about the impact of economic evaluation on the time to reimbursement. </w:t>
      </w:r>
      <w:proofErr w:type="gramStart"/>
      <w:r>
        <w:t>In particular, some</w:t>
      </w:r>
      <w:proofErr w:type="gramEnd"/>
      <w:r>
        <w:t xml:space="preserve"> stakeholders expressed the view that it was being treated as a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t xml:space="preserve"> step. Other </w:t>
      </w:r>
      <w:r>
        <w:lastRenderedPageBreak/>
        <w:t xml:space="preserve">stakeholders expressed concern that for certain health technologies (such as non-inferior health technologies) it was an inefficient use of limited HTA resources. </w:t>
      </w:r>
    </w:p>
    <w:p w14:paraId="6961238F" w14:textId="77777777" w:rsidR="002065D1" w:rsidRPr="004178D2" w:rsidRDefault="002065D1" w:rsidP="009A6B9E">
      <w:pPr>
        <w:pStyle w:val="Heading4"/>
      </w:pPr>
      <w:r>
        <w:t>Low-cost comparators</w:t>
      </w:r>
    </w:p>
    <w:p w14:paraId="4E9E1A5C" w14:textId="02AEAA88" w:rsidR="002065D1" w:rsidRDefault="00913752" w:rsidP="002065D1">
      <w:r>
        <w:t>Many</w:t>
      </w:r>
      <w:r w:rsidR="002065D1">
        <w:t xml:space="preserve"> stakeholders expressed concern about the impact of low-cost comparators on the estimated value of health technologies. Low-cost comparators can impact the estimated value for money of health technologies </w:t>
      </w:r>
      <w:r w:rsidR="041C0491">
        <w:t xml:space="preserve">regardless of </w:t>
      </w:r>
      <w:r w:rsidR="002065D1">
        <w:t>whe</w:t>
      </w:r>
      <w:r w:rsidR="1DC4B1B5">
        <w:t>ther</w:t>
      </w:r>
      <w:r w:rsidR="002065D1">
        <w:t xml:space="preserve"> the </w:t>
      </w:r>
      <w:r w:rsidR="7057DA88">
        <w:t xml:space="preserve">product is </w:t>
      </w:r>
      <w:r w:rsidR="002065D1">
        <w:t>non-inferior</w:t>
      </w:r>
      <w:r w:rsidR="1C336D0A">
        <w:t xml:space="preserve"> to existing treatment or is </w:t>
      </w:r>
      <w:r w:rsidR="002065D1">
        <w:t xml:space="preserve">superior to </w:t>
      </w:r>
      <w:r w:rsidR="7218A068">
        <w:t xml:space="preserve">existing </w:t>
      </w:r>
      <w:r w:rsidR="002065D1">
        <w:t xml:space="preserve">alternatives. </w:t>
      </w:r>
      <w:r w:rsidR="2094A8F8">
        <w:t xml:space="preserve">However, approaches to tackle the issue </w:t>
      </w:r>
      <w:r w:rsidR="319714D7">
        <w:t>may be different in these two scenarios and s</w:t>
      </w:r>
      <w:r w:rsidR="002065D1">
        <w:t>takeholders addressed these separately in their submissions.</w:t>
      </w:r>
    </w:p>
    <w:p w14:paraId="22662D77" w14:textId="4FD0098B" w:rsidR="002065D1" w:rsidRPr="00D82D6C" w:rsidRDefault="002065D1" w:rsidP="009A6B9E">
      <w:pPr>
        <w:pStyle w:val="Heading5"/>
      </w:pPr>
      <w:r w:rsidRPr="00D82D6C">
        <w:t xml:space="preserve">Non-inferior health technologies and </w:t>
      </w:r>
      <w:r>
        <w:t>‘</w:t>
      </w:r>
      <w:r w:rsidRPr="00D82D6C">
        <w:t>lowest cost comparator</w:t>
      </w:r>
      <w:r>
        <w:t>’ policy</w:t>
      </w:r>
    </w:p>
    <w:p w14:paraId="44EAF33D" w14:textId="51D2B267" w:rsidR="002065D1" w:rsidRDefault="002065D1" w:rsidP="002065D1">
      <w:r>
        <w:t xml:space="preserve">Stakeholders expressed concern about the </w:t>
      </w:r>
      <w:r w:rsidR="007B0243">
        <w:t>interpretation</w:t>
      </w:r>
      <w:r>
        <w:t xml:space="preserve"> of section 101(3B) of the </w:t>
      </w:r>
      <w:r w:rsidRPr="00D155A3">
        <w:rPr>
          <w:i/>
          <w:iCs/>
        </w:rPr>
        <w:t>National Health Act 1953</w:t>
      </w:r>
      <w:r>
        <w:t xml:space="preserve"> to medicines where the applicant has claimed that it is non-inferior to alternatives. Section 101(3B) gives effect to the requirement that the PBAC only recommends the listing of a drug that is more costly than alternatives if it provides an improvement in efficacy or a reduction in toxicity over those alternatives for some patients. The effect of this </w:t>
      </w:r>
      <w:r w:rsidR="004645E1">
        <w:t>interpretation</w:t>
      </w:r>
      <w:r>
        <w:t xml:space="preserve"> is that where a new drug is claimed to be non-inferior to several alternative drugs, the PBAC will recommend that it is listed on the basis that it costs no more per patient than the cheapest of those alternative drugs. </w:t>
      </w:r>
      <w:r w:rsidR="008B6594">
        <w:t>a</w:t>
      </w:r>
    </w:p>
    <w:p w14:paraId="0482502B" w14:textId="7F8CD751" w:rsidR="002065D1" w:rsidRDefault="002065D1" w:rsidP="002065D1">
      <w:r>
        <w:t>An example of this can be found in the PBAC’s consideration of the fix</w:t>
      </w:r>
      <w:r w:rsidR="0000131B">
        <w:t>ed</w:t>
      </w:r>
      <w:r>
        <w:t xml:space="preserve"> dose combination of beclomethasone with formoterol for the treatment of chronic obstructive pulmonary disease </w:t>
      </w:r>
      <w:r w:rsidR="0BD37380">
        <w:t xml:space="preserve">(COPD) </w:t>
      </w:r>
      <w:r>
        <w:t>at its March 2022 meeting.</w:t>
      </w:r>
    </w:p>
    <w:tbl>
      <w:tblPr>
        <w:tblStyle w:val="TableGrid"/>
        <w:tblpPr w:leftFromText="181" w:rightFromText="181" w:bottomFromText="227" w:vertAnchor="text" w:tblpY="1"/>
        <w:tblOverlap w:val="never"/>
        <w:tblW w:w="0" w:type="auto"/>
        <w:tblLook w:val="04A0" w:firstRow="1" w:lastRow="0" w:firstColumn="1" w:lastColumn="0" w:noHBand="0" w:noVBand="1"/>
      </w:tblPr>
      <w:tblGrid>
        <w:gridCol w:w="9026"/>
      </w:tblGrid>
      <w:tr w:rsidR="002065D1" w14:paraId="3E26C711" w14:textId="77777777" w:rsidTr="00DE259C">
        <w:tc>
          <w:tcPr>
            <w:tcW w:w="9607" w:type="dxa"/>
            <w:tcBorders>
              <w:top w:val="nil"/>
              <w:left w:val="nil"/>
              <w:bottom w:val="nil"/>
              <w:right w:val="nil"/>
            </w:tcBorders>
            <w:shd w:val="clear" w:color="auto" w:fill="F2F2F2" w:themeFill="background1" w:themeFillShade="F2"/>
          </w:tcPr>
          <w:p w14:paraId="164A2F68" w14:textId="67B9FD5D" w:rsidR="002065D1" w:rsidRDefault="00E145DE" w:rsidP="0051016B">
            <w:pPr>
              <w:spacing w:after="160" w:line="259" w:lineRule="auto"/>
              <w:rPr>
                <w:b/>
                <w:bCs/>
                <w:color w:val="153A6E" w:themeColor="text2"/>
              </w:rPr>
            </w:pPr>
            <w:r>
              <w:rPr>
                <w:b/>
                <w:color w:val="153A6E" w:themeColor="text2"/>
              </w:rPr>
              <w:t>Excerpt</w:t>
            </w:r>
            <w:r w:rsidR="002065D1" w:rsidRPr="001548F3">
              <w:rPr>
                <w:b/>
                <w:color w:val="153A6E" w:themeColor="text2"/>
              </w:rPr>
              <w:t>: Beclomet</w:t>
            </w:r>
            <w:r w:rsidR="004511B0">
              <w:rPr>
                <w:b/>
                <w:color w:val="153A6E" w:themeColor="text2"/>
              </w:rPr>
              <w:t>h</w:t>
            </w:r>
            <w:r w:rsidR="002065D1" w:rsidRPr="001548F3">
              <w:rPr>
                <w:b/>
                <w:color w:val="153A6E" w:themeColor="text2"/>
              </w:rPr>
              <w:t>asone with formoterol</w:t>
            </w:r>
            <w:r w:rsidR="002065D1">
              <w:rPr>
                <w:b/>
                <w:bCs/>
                <w:color w:val="153A6E" w:themeColor="text2"/>
              </w:rPr>
              <w:t xml:space="preserve"> </w:t>
            </w:r>
            <w:r w:rsidR="4C0CCC71" w:rsidRPr="4A1001F4">
              <w:rPr>
                <w:b/>
                <w:bCs/>
                <w:color w:val="153A6E" w:themeColor="text2"/>
              </w:rPr>
              <w:t xml:space="preserve">(BEC/FOR) </w:t>
            </w:r>
            <w:r w:rsidR="002065D1">
              <w:rPr>
                <w:b/>
                <w:bCs/>
                <w:color w:val="153A6E" w:themeColor="text2"/>
              </w:rPr>
              <w:t xml:space="preserve">for </w:t>
            </w:r>
            <w:r w:rsidR="537ED17F" w:rsidRPr="2041F881">
              <w:rPr>
                <w:b/>
                <w:bCs/>
                <w:color w:val="153A6E" w:themeColor="text2"/>
              </w:rPr>
              <w:t>COPD</w:t>
            </w:r>
            <w:r w:rsidR="002065D1">
              <w:rPr>
                <w:b/>
                <w:bCs/>
                <w:color w:val="153A6E" w:themeColor="text2"/>
              </w:rPr>
              <w:t xml:space="preserve"> (PBAC March 2022)</w:t>
            </w:r>
          </w:p>
          <w:p w14:paraId="37095B95" w14:textId="1A76C91E" w:rsidR="002065D1" w:rsidRDefault="002065D1" w:rsidP="00D637B2">
            <w:pPr>
              <w:spacing w:after="160" w:line="259" w:lineRule="auto"/>
            </w:pPr>
            <w:r>
              <w:t xml:space="preserve">7.2. </w:t>
            </w:r>
            <w:r w:rsidRPr="007F6E79">
              <w:t>The PBAC considered the claim of non-inferior effectiveness and safety to the FDC of</w:t>
            </w:r>
            <w:r>
              <w:t xml:space="preserve"> </w:t>
            </w:r>
            <w:r w:rsidRPr="007F6E79">
              <w:t>fluticasone propionate (FP) 250 µg with salmeterol (SAL) 25 µg was reasonable.</w:t>
            </w:r>
            <w:r>
              <w:t xml:space="preserve"> </w:t>
            </w:r>
            <w:r w:rsidRPr="007F6E79">
              <w:t>However, the PBAC considered for purposes of satisfying Section 101(3B) of the</w:t>
            </w:r>
            <w:r>
              <w:t xml:space="preserve"> </w:t>
            </w:r>
            <w:r w:rsidRPr="00D53A78">
              <w:rPr>
                <w:i/>
              </w:rPr>
              <w:t>National Health Act 1953</w:t>
            </w:r>
            <w:r w:rsidRPr="007F6E79">
              <w:t>, any high dose inhaled corticosteroid (ICS) with long-acting</w:t>
            </w:r>
            <w:r>
              <w:t xml:space="preserve"> </w:t>
            </w:r>
            <w:r w:rsidRPr="007F6E79">
              <w:t>beta2-agonist (LABA) FDC are relevant alternative therapies. The PBAC’s</w:t>
            </w:r>
            <w:r>
              <w:t xml:space="preserve"> </w:t>
            </w:r>
            <w:r w:rsidRPr="007F6E79">
              <w:t>recommendation was therefore, among other matters, based on its assessment that</w:t>
            </w:r>
            <w:r>
              <w:t xml:space="preserve"> </w:t>
            </w:r>
            <w:r w:rsidRPr="007F6E79">
              <w:t>the cost of BEC/FOR should be no greater than the lowest price combination of the</w:t>
            </w:r>
            <w:r>
              <w:t xml:space="preserve"> </w:t>
            </w:r>
            <w:r w:rsidRPr="007F6E79">
              <w:t>PBS listed components of ICS/LABA therapy that are available for COPD at comparable</w:t>
            </w:r>
            <w:r>
              <w:t xml:space="preserve"> </w:t>
            </w:r>
            <w:r w:rsidRPr="007F6E79">
              <w:t>doses, irrespective of the days of treatment provided.</w:t>
            </w:r>
          </w:p>
          <w:p w14:paraId="7D0B42CF" w14:textId="6EF80A88" w:rsidR="002065D1" w:rsidRDefault="002065D1" w:rsidP="00D637B2">
            <w:pPr>
              <w:spacing w:after="160" w:line="259" w:lineRule="auto"/>
            </w:pPr>
            <w:r>
              <w:t>7.4 The PBAC considered FP/SAL 250/25 µg FDC to be an appropriate comparator. In addition, the PBAC also considered all ICS/LABA FDCs listed for COPD at comparable doses were appropriate alternative therapies (see paragraph 5.3).</w:t>
            </w:r>
          </w:p>
          <w:p w14:paraId="340EFDAE" w14:textId="77777777" w:rsidR="002065D1" w:rsidRPr="003F6EB3" w:rsidRDefault="002065D1" w:rsidP="00D637B2">
            <w:pPr>
              <w:spacing w:after="160" w:line="259" w:lineRule="auto"/>
            </w:pPr>
            <w:r>
              <w:lastRenderedPageBreak/>
              <w:t xml:space="preserve">7.10 The PBAC advised that under Section 101(3BA) of the </w:t>
            </w:r>
            <w:r w:rsidRPr="00687095">
              <w:rPr>
                <w:i/>
              </w:rPr>
              <w:t>National Health Act 1953</w:t>
            </w:r>
            <w:r>
              <w:t xml:space="preserve"> BEC/FOR should be treated as interchangeable on an individual basis with other appropriate ICS/LABA FDC products on the PBS.</w:t>
            </w:r>
          </w:p>
        </w:tc>
      </w:tr>
    </w:tbl>
    <w:p w14:paraId="70AF9C42" w14:textId="77777777" w:rsidR="002065D1" w:rsidRPr="00833421" w:rsidRDefault="002065D1" w:rsidP="002065D1">
      <w:r>
        <w:lastRenderedPageBreak/>
        <w:t>In its submission to the HTA Review, Medicines Australia stated that this requirement (also referred to as the ‘lowest cost comparator’ policy):</w:t>
      </w:r>
    </w:p>
    <w:p w14:paraId="1C0A7BF3" w14:textId="77777777" w:rsidR="002065D1" w:rsidRDefault="002065D1" w:rsidP="002065D1">
      <w:pPr>
        <w:ind w:left="720"/>
        <w:rPr>
          <w:i/>
        </w:rPr>
      </w:pPr>
      <w:r>
        <w:t>“</w:t>
      </w:r>
      <w:r>
        <w:rPr>
          <w:i/>
          <w:iCs/>
        </w:rPr>
        <w:t xml:space="preserve">a) does not reflect the true value of the new therapy because it does not allow pricing at parity to the most </w:t>
      </w:r>
      <w:proofErr w:type="gramStart"/>
      <w:r>
        <w:rPr>
          <w:i/>
          <w:iCs/>
        </w:rPr>
        <w:t>commonly-used</w:t>
      </w:r>
      <w:proofErr w:type="gramEnd"/>
      <w:r>
        <w:rPr>
          <w:i/>
          <w:iCs/>
        </w:rPr>
        <w:t xml:space="preserve"> alternative, and</w:t>
      </w:r>
    </w:p>
    <w:p w14:paraId="5941E960" w14:textId="77777777" w:rsidR="002065D1" w:rsidRDefault="002065D1" w:rsidP="002065D1">
      <w:pPr>
        <w:ind w:left="720"/>
        <w:rPr>
          <w:i/>
        </w:rPr>
      </w:pPr>
      <w:r>
        <w:rPr>
          <w:i/>
          <w:iCs/>
        </w:rPr>
        <w:t>b) it acts as a barrier to accessing innovative treatments, which can compound over time as new therapies are also directly or indirectly price-referenced to an older, increasingly rarely used lowest-cost comparator.”</w:t>
      </w:r>
    </w:p>
    <w:p w14:paraId="50A2E862" w14:textId="77777777" w:rsidR="002065D1" w:rsidRDefault="002065D1" w:rsidP="002065D1">
      <w:r>
        <w:t>Medicines Australia stated that:</w:t>
      </w:r>
    </w:p>
    <w:p w14:paraId="14B9CFA5" w14:textId="51052A90" w:rsidR="002065D1" w:rsidRPr="008F754F" w:rsidRDefault="002065D1" w:rsidP="002065D1">
      <w:pPr>
        <w:ind w:left="720"/>
        <w:rPr>
          <w:i/>
          <w:iCs/>
        </w:rPr>
      </w:pPr>
      <w:r>
        <w:rPr>
          <w:i/>
          <w:iCs/>
        </w:rPr>
        <w:t>“</w:t>
      </w:r>
      <w:proofErr w:type="gramStart"/>
      <w:r>
        <w:rPr>
          <w:i/>
          <w:iCs/>
        </w:rPr>
        <w:t>this</w:t>
      </w:r>
      <w:proofErr w:type="gramEnd"/>
      <w:r>
        <w:rPr>
          <w:i/>
          <w:iCs/>
        </w:rPr>
        <w:t xml:space="preserve"> disincentivises innovation and does not reflect the economic value of introducing the new therapy</w:t>
      </w:r>
      <w:r w:rsidR="001C44AF">
        <w:rPr>
          <w:i/>
          <w:iCs/>
        </w:rPr>
        <w:t>”.</w:t>
      </w:r>
    </w:p>
    <w:p w14:paraId="375FB0D4" w14:textId="77777777" w:rsidR="002065D1" w:rsidRDefault="002065D1" w:rsidP="00C820BB">
      <w:pPr>
        <w:pStyle w:val="Heading5"/>
        <w:rPr>
          <w:color w:val="153A6E" w:themeColor="text2"/>
        </w:rPr>
      </w:pPr>
      <w:r>
        <w:t>Superior</w:t>
      </w:r>
      <w:r w:rsidRPr="00D82D6C">
        <w:rPr>
          <w:i w:val="0"/>
          <w:iCs/>
          <w:color w:val="153A6E" w:themeColor="text2"/>
        </w:rPr>
        <w:t xml:space="preserve"> health technologies and </w:t>
      </w:r>
      <w:r>
        <w:rPr>
          <w:i w:val="0"/>
          <w:iCs/>
          <w:color w:val="153A6E" w:themeColor="text2"/>
        </w:rPr>
        <w:t>low-cost comparators</w:t>
      </w:r>
    </w:p>
    <w:p w14:paraId="6D0F7E38" w14:textId="1408BD4B" w:rsidR="002065D1" w:rsidRPr="00464422" w:rsidRDefault="002065D1" w:rsidP="002065D1">
      <w:r>
        <w:t>Several submissions to the HTA Review expressed concern that for indications where there has not been a new treatment brought to market for many years, new medicines are compared to alternative therapies that had been commoditised following patent expiry and were very low cost. Where this occurs, the incremental cost component of the ICER is greater than if there were a newer</w:t>
      </w:r>
      <w:r w:rsidR="00F26636">
        <w:t>,</w:t>
      </w:r>
      <w:r>
        <w:t xml:space="preserve"> higher cost alternative. The effect of this is that health technologies that address longstanding unmet clinical needs may appear less cost effective than health technologies where there has been frequent product development over time and new products have only been compared to patented products. </w:t>
      </w:r>
    </w:p>
    <w:p w14:paraId="066A15F2" w14:textId="68E4D19A" w:rsidR="002065D1" w:rsidRPr="00EC453A" w:rsidRDefault="002065D1" w:rsidP="002065D1">
      <w:pPr>
        <w:ind w:left="720"/>
        <w:rPr>
          <w:i/>
        </w:rPr>
      </w:pPr>
      <w:r w:rsidRPr="009872AA">
        <w:rPr>
          <w:i/>
          <w:iCs/>
        </w:rPr>
        <w:t>“</w:t>
      </w:r>
      <w:r w:rsidR="005D71B4">
        <w:rPr>
          <w:i/>
          <w:iCs/>
        </w:rPr>
        <w:t>T</w:t>
      </w:r>
      <w:r w:rsidRPr="009872AA">
        <w:rPr>
          <w:i/>
          <w:iCs/>
        </w:rPr>
        <w:t>he use of 'current standard of care'</w:t>
      </w:r>
      <w:r w:rsidR="008B1FEE">
        <w:rPr>
          <w:i/>
          <w:iCs/>
        </w:rPr>
        <w:t xml:space="preserve"> [SOC]</w:t>
      </w:r>
      <w:r w:rsidRPr="009872AA">
        <w:rPr>
          <w:i/>
          <w:iCs/>
        </w:rPr>
        <w:t xml:space="preserve"> as a cost comparator for new medicines is a harsh and unrealistic bar to set for diseases in which there is no approved standard of care. In my own area of systemic lupus erythematosus</w:t>
      </w:r>
      <w:r w:rsidR="008E0EE2">
        <w:rPr>
          <w:i/>
          <w:iCs/>
        </w:rPr>
        <w:t xml:space="preserve"> [SLE]</w:t>
      </w:r>
      <w:r w:rsidRPr="009872AA">
        <w:rPr>
          <w:i/>
          <w:iCs/>
        </w:rPr>
        <w:t>, no new therapy has been approved/reimbursed in Australia for 60 years, and all currently used drugs are off label and off patent. They are also poorly effective and poorly tolerated, and unmet need for new medicines is acute as young women have a sharply increased mortality. Colleagues in other countries have their patients benefiting now from novel therapies available in their location, while Australian patients are suffering and even dying due to a lack of these.</w:t>
      </w:r>
      <w:r>
        <w:rPr>
          <w:i/>
          <w:iCs/>
        </w:rPr>
        <w:t xml:space="preserve"> </w:t>
      </w:r>
      <w:r w:rsidRPr="00705785">
        <w:rPr>
          <w:i/>
          <w:iCs/>
        </w:rPr>
        <w:t xml:space="preserve">SLE is in the top 10 causes of death in young women. Neither belimumab nor </w:t>
      </w:r>
      <w:proofErr w:type="spellStart"/>
      <w:r w:rsidRPr="00705785">
        <w:rPr>
          <w:i/>
          <w:iCs/>
        </w:rPr>
        <w:t>Anifrolumab</w:t>
      </w:r>
      <w:proofErr w:type="spellEnd"/>
      <w:r w:rsidRPr="00705785">
        <w:rPr>
          <w:i/>
          <w:iCs/>
        </w:rPr>
        <w:t xml:space="preserve">, two breakthrough drugs now used around the world, have been reimbursed in Australia, and our patients are being left behind. </w:t>
      </w:r>
      <w:proofErr w:type="spellStart"/>
      <w:r w:rsidRPr="00705785">
        <w:rPr>
          <w:i/>
          <w:iCs/>
        </w:rPr>
        <w:t>Anifrolumab</w:t>
      </w:r>
      <w:proofErr w:type="spellEnd"/>
      <w:r w:rsidRPr="00705785">
        <w:rPr>
          <w:i/>
          <w:iCs/>
        </w:rPr>
        <w:t xml:space="preserve"> has been shown to increase attainment of remission and low disease activity, </w:t>
      </w:r>
      <w:r w:rsidR="007B53E8">
        <w:rPr>
          <w:i/>
          <w:iCs/>
        </w:rPr>
        <w:t>2</w:t>
      </w:r>
      <w:r w:rsidR="007B53E8" w:rsidRPr="00705785">
        <w:rPr>
          <w:i/>
          <w:iCs/>
        </w:rPr>
        <w:t xml:space="preserve"> </w:t>
      </w:r>
      <w:r w:rsidRPr="00705785">
        <w:rPr>
          <w:i/>
          <w:iCs/>
        </w:rPr>
        <w:t xml:space="preserve">endpoints that are known to be protective from mortality and </w:t>
      </w:r>
      <w:r w:rsidRPr="00705785">
        <w:rPr>
          <w:i/>
          <w:iCs/>
        </w:rPr>
        <w:lastRenderedPageBreak/>
        <w:t>permanent organ damage. The potential benefit to Australian patients is huge.</w:t>
      </w:r>
      <w:r w:rsidRPr="009872AA">
        <w:rPr>
          <w:i/>
          <w:iCs/>
        </w:rPr>
        <w:t>”</w:t>
      </w:r>
      <w:r>
        <w:rPr>
          <w:i/>
          <w:iCs/>
        </w:rPr>
        <w:t xml:space="preserve"> (research)</w:t>
      </w:r>
    </w:p>
    <w:p w14:paraId="2ED89219" w14:textId="77777777" w:rsidR="002065D1" w:rsidRPr="00561234" w:rsidRDefault="002065D1" w:rsidP="002065D1">
      <w:pPr>
        <w:ind w:left="720"/>
        <w:rPr>
          <w:i/>
        </w:rPr>
      </w:pPr>
      <w:r>
        <w:t xml:space="preserve"> </w:t>
      </w:r>
      <w:r>
        <w:rPr>
          <w:i/>
          <w:iCs/>
        </w:rPr>
        <w:t>“</w:t>
      </w:r>
      <w:r w:rsidRPr="00561234">
        <w:rPr>
          <w:i/>
          <w:iCs/>
        </w:rPr>
        <w:t>Nowhere is this more evident than in relation to antimicrobials. Novel antimicrobials are generally undervalued by traditional reimbursement systems relative to the benefits they bring to society as indispensable, life-saving drugs. This is because of the existence of low-cost comparators which are still effective for many infections, and the focus of HTA only on direct health costs and benefits.</w:t>
      </w:r>
      <w:r>
        <w:rPr>
          <w:i/>
          <w:iCs/>
        </w:rPr>
        <w:t>”</w:t>
      </w:r>
      <w:r w:rsidRPr="00561234">
        <w:rPr>
          <w:i/>
          <w:iCs/>
        </w:rPr>
        <w:t xml:space="preserve"> </w:t>
      </w:r>
      <w:r>
        <w:rPr>
          <w:i/>
          <w:iCs/>
        </w:rPr>
        <w:t>(industry)</w:t>
      </w:r>
    </w:p>
    <w:p w14:paraId="456990DD" w14:textId="3123E402" w:rsidR="002065D1" w:rsidRPr="00EE1116" w:rsidRDefault="002065D1" w:rsidP="002065D1">
      <w:proofErr w:type="spellStart"/>
      <w:r>
        <w:t>Anifrolumab</w:t>
      </w:r>
      <w:proofErr w:type="spellEnd"/>
      <w:r>
        <w:t xml:space="preserve"> for the treatment of severe systemic lupus erythematosus was considered by the PBAC at its March 2023 meeting. The reasons it was not recommended for listing on the PBS are set out below. </w:t>
      </w:r>
    </w:p>
    <w:tbl>
      <w:tblPr>
        <w:tblStyle w:val="TableGrid"/>
        <w:tblpPr w:leftFromText="181" w:rightFromText="181" w:bottomFromText="227" w:vertAnchor="text" w:tblpY="1"/>
        <w:tblOverlap w:val="never"/>
        <w:tblW w:w="0" w:type="auto"/>
        <w:tblLook w:val="04A0" w:firstRow="1" w:lastRow="0" w:firstColumn="1" w:lastColumn="0" w:noHBand="0" w:noVBand="1"/>
      </w:tblPr>
      <w:tblGrid>
        <w:gridCol w:w="9026"/>
      </w:tblGrid>
      <w:tr w:rsidR="002065D1" w14:paraId="09941E47" w14:textId="77777777" w:rsidTr="00DE259C">
        <w:tc>
          <w:tcPr>
            <w:tcW w:w="9607" w:type="dxa"/>
            <w:tcBorders>
              <w:top w:val="nil"/>
              <w:left w:val="nil"/>
              <w:bottom w:val="nil"/>
              <w:right w:val="nil"/>
            </w:tcBorders>
            <w:shd w:val="clear" w:color="auto" w:fill="F2F2F2" w:themeFill="background1" w:themeFillShade="F2"/>
          </w:tcPr>
          <w:p w14:paraId="7DE74892" w14:textId="13838516" w:rsidR="002065D1" w:rsidRDefault="002065D1" w:rsidP="0051016B">
            <w:pPr>
              <w:spacing w:after="160" w:line="259" w:lineRule="auto"/>
            </w:pPr>
            <w:r w:rsidRPr="00BF5DC3">
              <w:rPr>
                <w:b/>
                <w:bCs/>
                <w:color w:val="153A6E" w:themeColor="text2"/>
              </w:rPr>
              <w:t>E</w:t>
            </w:r>
            <w:r w:rsidR="00E145DE">
              <w:rPr>
                <w:b/>
                <w:bCs/>
                <w:color w:val="153A6E" w:themeColor="text2"/>
              </w:rPr>
              <w:t>xcerpt</w:t>
            </w:r>
            <w:r>
              <w:rPr>
                <w:b/>
                <w:bCs/>
                <w:color w:val="153A6E" w:themeColor="text2"/>
              </w:rPr>
              <w:t xml:space="preserve">: </w:t>
            </w:r>
            <w:proofErr w:type="spellStart"/>
            <w:r>
              <w:rPr>
                <w:b/>
                <w:bCs/>
                <w:color w:val="153A6E" w:themeColor="text2"/>
              </w:rPr>
              <w:t>Anifrolumab</w:t>
            </w:r>
            <w:proofErr w:type="spellEnd"/>
            <w:r>
              <w:rPr>
                <w:b/>
                <w:bCs/>
                <w:color w:val="153A6E" w:themeColor="text2"/>
              </w:rPr>
              <w:t xml:space="preserve"> for </w:t>
            </w:r>
            <w:r w:rsidRPr="00147E26">
              <w:rPr>
                <w:b/>
                <w:bCs/>
                <w:color w:val="153A6E" w:themeColor="text2"/>
              </w:rPr>
              <w:t xml:space="preserve">the treatment of severe systemic lupus erythematosus </w:t>
            </w:r>
            <w:r w:rsidR="1234CAB9" w:rsidRPr="6BC872A9">
              <w:rPr>
                <w:b/>
                <w:bCs/>
                <w:color w:val="153A6E" w:themeColor="text2"/>
              </w:rPr>
              <w:t xml:space="preserve">(SLE) </w:t>
            </w:r>
            <w:r w:rsidRPr="00147E26">
              <w:rPr>
                <w:b/>
                <w:bCs/>
                <w:color w:val="153A6E" w:themeColor="text2"/>
              </w:rPr>
              <w:t>with high disease activity despite standard of care</w:t>
            </w:r>
            <w:r w:rsidR="1EEB7E9C" w:rsidRPr="34B998FD">
              <w:rPr>
                <w:b/>
                <w:bCs/>
                <w:color w:val="153A6E" w:themeColor="text2"/>
              </w:rPr>
              <w:t xml:space="preserve"> (SOC)</w:t>
            </w:r>
            <w:r w:rsidRPr="34B998FD">
              <w:rPr>
                <w:b/>
                <w:bCs/>
                <w:color w:val="153A6E" w:themeColor="text2"/>
              </w:rPr>
              <w:t>.</w:t>
            </w:r>
            <w:r w:rsidRPr="00147E26">
              <w:t xml:space="preserve"> </w:t>
            </w:r>
          </w:p>
          <w:p w14:paraId="2CD80486" w14:textId="31386C65" w:rsidR="002065D1" w:rsidRDefault="002065D1" w:rsidP="00E145DE">
            <w:pPr>
              <w:spacing w:after="160" w:line="259" w:lineRule="auto"/>
            </w:pPr>
            <w:r>
              <w:t xml:space="preserve">5.1 The resubmission maintained that SOC alone (placebo) was the main comparator comprising triple therapy with: </w:t>
            </w:r>
            <w:proofErr w:type="spellStart"/>
            <w:r>
              <w:t>i</w:t>
            </w:r>
            <w:proofErr w:type="spellEnd"/>
            <w:r>
              <w:t xml:space="preserve">) an anti-malarial, ii) an immunosuppressant (minimum dose of methotrexate 20 mg per week, azathioprine 100 mg per day or mycophenolate 1000 mg per day) for at least 12 weeks, and iii) prednisone ≥7.5 mg per day (or equivalent) for at least 4 weeks. </w:t>
            </w:r>
          </w:p>
          <w:p w14:paraId="76324957" w14:textId="4AC11D28" w:rsidR="002065D1" w:rsidRDefault="002065D1" w:rsidP="00E145DE">
            <w:pPr>
              <w:spacing w:after="160" w:line="259" w:lineRule="auto"/>
            </w:pPr>
            <w:r>
              <w:t>5.2 The PBAC previously considered the nominated comparator was appropriate</w:t>
            </w:r>
            <w:r w:rsidR="001C44AF">
              <w:t>.</w:t>
            </w:r>
          </w:p>
          <w:p w14:paraId="02348572" w14:textId="59EC79AA" w:rsidR="002065D1" w:rsidRDefault="002065D1" w:rsidP="00E145DE">
            <w:pPr>
              <w:spacing w:after="160" w:line="259" w:lineRule="auto"/>
            </w:pPr>
            <w:r>
              <w:t xml:space="preserve">7.1 The PBAC did not recommend the listing of </w:t>
            </w:r>
            <w:proofErr w:type="spellStart"/>
            <w:r>
              <w:t>anifrolumab</w:t>
            </w:r>
            <w:proofErr w:type="spellEnd"/>
            <w:r>
              <w:t xml:space="preserve"> for the treatment of SLE with high disease activity despite SOC. The PBAC acknowledged that there is a clinical need for the requested population but remained concerned that the magnitude of benefit associated with </w:t>
            </w:r>
            <w:proofErr w:type="spellStart"/>
            <w:r>
              <w:t>anifrolumab</w:t>
            </w:r>
            <w:proofErr w:type="spellEnd"/>
            <w:r>
              <w:t xml:space="preserve"> was uncertain. The PBAC also considered that the economic model remained highly uncertain and was unreliable for decision making.</w:t>
            </w:r>
          </w:p>
          <w:p w14:paraId="33F01D30" w14:textId="77777777" w:rsidR="002065D1" w:rsidRDefault="002065D1" w:rsidP="00E145DE">
            <w:pPr>
              <w:spacing w:after="160" w:line="259" w:lineRule="auto"/>
            </w:pPr>
            <w:r>
              <w:t>7.5 Consistent with its July consideration, the PBAC considered the claim of superiority to SOC alone in terms of effectiveness was supported based on improvement in disease activity for some patients; however, the magnitude of benefit was modest and uncertain. The PBAC considered the claim of inferior safety to SOC alone was reasonable.</w:t>
            </w:r>
          </w:p>
          <w:p w14:paraId="1D9C8BD0" w14:textId="0F93D308" w:rsidR="002065D1" w:rsidRDefault="002065D1" w:rsidP="00E145DE">
            <w:pPr>
              <w:spacing w:after="160" w:line="259" w:lineRule="auto"/>
            </w:pPr>
            <w:r>
              <w:t xml:space="preserve">7.7 The PBAC noted that the economic model was informed by an exploratory subgroup analysis of patients in the TULIP trials with a SLEDAI-2K ≥ 10 which reflected the proposed restriction. The PBAC considered this was reasonable; however, noted that there was low confidence in the magnitude of benefit due to heterogeneity of responses between the trials and by outcome, and because of the amendments to outcome assessment that likely favoured </w:t>
            </w:r>
            <w:proofErr w:type="spellStart"/>
            <w:r>
              <w:t>anifrolumab</w:t>
            </w:r>
            <w:proofErr w:type="spellEnd"/>
            <w:r w:rsidR="00820DD2">
              <w:t>.</w:t>
            </w:r>
          </w:p>
          <w:p w14:paraId="19AC7F16" w14:textId="77777777" w:rsidR="002065D1" w:rsidRPr="00635F41" w:rsidRDefault="002065D1" w:rsidP="0051016B">
            <w:pPr>
              <w:spacing w:after="160" w:line="259" w:lineRule="auto"/>
            </w:pPr>
            <w:r>
              <w:lastRenderedPageBreak/>
              <w:t>7.8 The PBAC considered that a revised economic model that addressed the ESC’s concerns, along with a price reduction, would be required to achieve acceptable cost-effectiveness.</w:t>
            </w:r>
          </w:p>
        </w:tc>
      </w:tr>
    </w:tbl>
    <w:p w14:paraId="125A2E83" w14:textId="77777777" w:rsidR="002065D1" w:rsidRPr="0007703E" w:rsidRDefault="002065D1" w:rsidP="0007703E">
      <w:pPr>
        <w:pStyle w:val="Heading4"/>
      </w:pPr>
      <w:r w:rsidRPr="0007703E">
        <w:lastRenderedPageBreak/>
        <w:t xml:space="preserve">Breadth of costs and outcomes included in economic </w:t>
      </w:r>
      <w:proofErr w:type="gramStart"/>
      <w:r w:rsidRPr="0007703E">
        <w:t>evaluation</w:t>
      </w:r>
      <w:proofErr w:type="gramEnd"/>
    </w:p>
    <w:p w14:paraId="28B70B38" w14:textId="6004467F" w:rsidR="002065D1" w:rsidRPr="00A4699D" w:rsidRDefault="002065D1" w:rsidP="002065D1">
      <w:r>
        <w:t xml:space="preserve">Stakeholders expressed concern about the sources of value that could be included in the base case economic evaluation. There was a perception that the focus on the ICER – with the metric of the cost per QALY gained – meant that patient focused values and indirect benefits (such as return to work, return to education and other elements of potential value that might be captured in a social return investment analysis) were not considered or valued in decision making. </w:t>
      </w:r>
    </w:p>
    <w:p w14:paraId="11361C98" w14:textId="34BC68E9" w:rsidR="002065D1" w:rsidRDefault="002065D1" w:rsidP="002065D1">
      <w:pPr>
        <w:ind w:left="360"/>
      </w:pPr>
      <w:r>
        <w:rPr>
          <w:i/>
          <w:iCs/>
        </w:rPr>
        <w:t>“</w:t>
      </w:r>
      <w:r w:rsidR="00DF370D">
        <w:rPr>
          <w:i/>
          <w:iCs/>
        </w:rPr>
        <w:t>T</w:t>
      </w:r>
      <w:r w:rsidRPr="00794ADC">
        <w:rPr>
          <w:i/>
          <w:iCs/>
        </w:rPr>
        <w:t>he HTA system's narrow definition of value and impact poses another barrier to timely access. Traditional measures, such as cost-effectiveness and clinical efficacy, often take precedence, disregarding broader aspects of patient wellbeing and societal impact. By expanding the evaluation criteria to include patient-reported outcomes, quality of life improvements, and the broader socioeconomic benefits of innovative therapies, the HTA system can better reflect the true value and potential impact of these interventions, allowing for more efficient access.</w:t>
      </w:r>
      <w:r>
        <w:rPr>
          <w:i/>
          <w:iCs/>
        </w:rPr>
        <w:t>” (industry)</w:t>
      </w:r>
    </w:p>
    <w:p w14:paraId="63F39E00" w14:textId="77777777" w:rsidR="002065D1" w:rsidRPr="004F03ED" w:rsidRDefault="002065D1" w:rsidP="004215CC">
      <w:pPr>
        <w:pStyle w:val="Heading4"/>
        <w:rPr>
          <w:i/>
          <w:iCs w:val="0"/>
          <w:color w:val="153A6E" w:themeColor="text2"/>
        </w:rPr>
      </w:pPr>
      <w:r w:rsidRPr="004F03ED">
        <w:t>Valuing of long-term benefits</w:t>
      </w:r>
    </w:p>
    <w:p w14:paraId="14015B57" w14:textId="043DE32D" w:rsidR="002065D1" w:rsidRDefault="002065D1" w:rsidP="002065D1">
      <w:r>
        <w:t>Stakeholders were concerned about elements of the economic evaluation that impact the estimated value of benefits that accrue over a long period of time. Stakeholders perceived that the base case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of 5% used by the PBAC and the MSAC and approaches to consideration of uncertainty led to undervaluation of health technologies (such as preventative therapies like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t xml:space="preserve">, and gene therapies) that had upfront costs and benefits that accrue over a long period of time. </w:t>
      </w:r>
    </w:p>
    <w:p w14:paraId="1319DD51" w14:textId="77777777" w:rsidR="002065D1" w:rsidRPr="00B7750E" w:rsidRDefault="002065D1" w:rsidP="004215CC">
      <w:pPr>
        <w:pStyle w:val="Heading5"/>
        <w:rPr>
          <w:i w:val="0"/>
          <w:color w:val="153A6E" w:themeColor="text2"/>
        </w:rPr>
      </w:pPr>
      <w:r w:rsidRPr="00B7750E">
        <w:t>Discount rate</w:t>
      </w:r>
    </w:p>
    <w:p w14:paraId="624C358E" w14:textId="02707B7F" w:rsidR="002065D1" w:rsidRDefault="002065D1" w:rsidP="002065D1">
      <w:r>
        <w:t>Stakeholders considered the base case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of 5% was too high relative to discount rates used in </w:t>
      </w:r>
      <w:r w:rsidR="00E4718C">
        <w:t>other countries</w:t>
      </w:r>
      <w:r>
        <w:t xml:space="preserve"> and was not appropriate for therapies that have upfront costs and benefits that accrue over many years. </w:t>
      </w:r>
    </w:p>
    <w:p w14:paraId="20AF6D38" w14:textId="3E74BBA3" w:rsidR="002065D1" w:rsidRPr="008B43D8" w:rsidRDefault="002065D1" w:rsidP="002065D1">
      <w:pPr>
        <w:ind w:left="360"/>
        <w:rPr>
          <w:i/>
          <w:iCs/>
        </w:rPr>
      </w:pPr>
      <w:r>
        <w:rPr>
          <w:i/>
          <w:iCs/>
        </w:rPr>
        <w:t>‘</w:t>
      </w:r>
      <w:r w:rsidRPr="008B43D8">
        <w:rPr>
          <w:i/>
          <w:iCs/>
        </w:rPr>
        <w:t>If left unchanged, the discount rate</w:t>
      </w:r>
      <w:r w:rsidR="00483308">
        <w:rPr>
          <w:i/>
          <w:iCs/>
        </w:rPr>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rPr>
          <w:i/>
          <w:iCs/>
        </w:rPr>
        <w:fldChar w:fldCharType="end"/>
      </w:r>
      <w:r w:rsidRPr="008B43D8">
        <w:rPr>
          <w:i/>
          <w:iCs/>
        </w:rPr>
        <w:t xml:space="preserve"> will risk significantly reducing patient access to cutting edge therapies and affecting the long-term future health of generations of Australians, particularly young people who stand to benefit the most from preventative medicines early in their life. In Australia, the 5% discount rate has contributed to delays in accessing vital therapies, including vaccines</w:t>
      </w:r>
      <w:r w:rsidR="004D283C">
        <w:rPr>
          <w:i/>
          <w:iCs/>
        </w:rPr>
        <w:fldChar w:fldCharType="begin"/>
      </w:r>
      <w:r w:rsidR="004D283C">
        <w:instrText xml:space="preserve"> XE "</w:instrText>
      </w:r>
      <w:r w:rsidR="004D283C" w:rsidRPr="0001709C">
        <w:instrText>vaccines</w:instrText>
      </w:r>
      <w:r w:rsidR="004D283C">
        <w:instrText xml:space="preserve">" \b </w:instrText>
      </w:r>
      <w:r w:rsidR="004D283C">
        <w:rPr>
          <w:i/>
          <w:iCs/>
        </w:rPr>
        <w:fldChar w:fldCharType="end"/>
      </w:r>
      <w:r w:rsidRPr="008B43D8">
        <w:rPr>
          <w:i/>
          <w:iCs/>
        </w:rPr>
        <w:t xml:space="preserve"> for human papilloma virus (HPV) in adolescents, meningococcal disease in children and adolescents, zoster virus for 60-year-olds and adolescents</w:t>
      </w:r>
      <w:r>
        <w:rPr>
          <w:i/>
          <w:iCs/>
        </w:rPr>
        <w:t>” (industry)</w:t>
      </w:r>
    </w:p>
    <w:p w14:paraId="04FDAEA7" w14:textId="6796038A" w:rsidR="002065D1" w:rsidRPr="000C1E39" w:rsidRDefault="00AB1B1F" w:rsidP="000C1E39">
      <w:pPr>
        <w:pStyle w:val="Heading5"/>
      </w:pPr>
      <w:r>
        <w:lastRenderedPageBreak/>
        <w:t>Treatment of u</w:t>
      </w:r>
      <w:r w:rsidR="002065D1" w:rsidRPr="000C1E39">
        <w:t>ncertainty</w:t>
      </w:r>
    </w:p>
    <w:p w14:paraId="1321DDB7" w14:textId="0EDC65B9" w:rsidR="002065D1" w:rsidRDefault="002065D1" w:rsidP="002065D1">
      <w:r>
        <w:t xml:space="preserve">Stakeholders considered that uncertainty about the costs and outcomes was treated too conservatively by advisory committees and government. This particularly impacted treatments that have benefits that accrue over a long period of time where uncertainty about costs and outcomes increases over time. </w:t>
      </w:r>
    </w:p>
    <w:p w14:paraId="15436CEE" w14:textId="77777777" w:rsidR="002065D1" w:rsidRDefault="002065D1" w:rsidP="002065D1">
      <w:pPr>
        <w:ind w:left="360"/>
        <w:rPr>
          <w:i/>
        </w:rPr>
      </w:pPr>
      <w:r>
        <w:rPr>
          <w:i/>
          <w:iCs/>
        </w:rPr>
        <w:t>“</w:t>
      </w:r>
      <w:r w:rsidRPr="00FA3CE7">
        <w:rPr>
          <w:i/>
          <w:iCs/>
        </w:rPr>
        <w:t>The way in which the PBAC and the Department of Health and Aged Care view and respond to uncertainty and manage risk within HTA evaluations delays access. Multiple submissions may be required because the PBAC aims to eliminate uncertainty through application of the most conservative estimates in both cost-effectiveness and utilisation cost models.</w:t>
      </w:r>
      <w:r>
        <w:rPr>
          <w:i/>
          <w:iCs/>
        </w:rPr>
        <w:t>” (industry)</w:t>
      </w:r>
    </w:p>
    <w:p w14:paraId="389E7DE0" w14:textId="4D29A907" w:rsidR="00DC7948" w:rsidRPr="00203DAB" w:rsidRDefault="00DC7948" w:rsidP="002065D1">
      <w:pPr>
        <w:ind w:left="360"/>
      </w:pPr>
      <w:r>
        <w:rPr>
          <w:i/>
          <w:iCs/>
        </w:rPr>
        <w:t>“</w:t>
      </w:r>
      <w:r w:rsidR="004E72B5" w:rsidRPr="004E72B5">
        <w:rPr>
          <w:i/>
          <w:iCs/>
        </w:rPr>
        <w:t>One significant barrier to timely access in the Australian HTA system stems from conservative views regarding clinical and economic uncertainty. Decision-making processes often prioritise a cautious approach, particularly when it comes to adopting innovative technologies. In practice this means evaluators will select the most conservative estimate of treatment effect, rather than the most likely. The emphasis on conservative decision-making results in delays, preventing patients from accessing potentially life-changing treatments in a timely manner. When we engage with patients, directly we hear firsthand about the life changing impact of these delays. A shift towards a more balanced approach, considering the potential benefits and accepting a level of uncertainty inherent in emerging therapies, would enable earlier access without compromising patient safety.</w:t>
      </w:r>
      <w:r w:rsidR="004E72B5">
        <w:rPr>
          <w:i/>
          <w:iCs/>
        </w:rPr>
        <w:t>”</w:t>
      </w:r>
      <w:r w:rsidR="0018272D">
        <w:rPr>
          <w:i/>
        </w:rPr>
        <w:t xml:space="preserve"> </w:t>
      </w:r>
      <w:r w:rsidR="001C5245">
        <w:rPr>
          <w:i/>
          <w:iCs/>
        </w:rPr>
        <w:t>(consultancy)</w:t>
      </w:r>
      <w:r w:rsidR="0018272D">
        <w:t xml:space="preserve"> </w:t>
      </w:r>
    </w:p>
    <w:p w14:paraId="56B6A9D2" w14:textId="77777777" w:rsidR="002065D1" w:rsidRDefault="002065D1" w:rsidP="004215CC">
      <w:pPr>
        <w:pStyle w:val="Heading4"/>
      </w:pPr>
      <w:r w:rsidRPr="000E4EC5">
        <w:t xml:space="preserve">Explicit consideration </w:t>
      </w:r>
      <w:r w:rsidRPr="00AD0161">
        <w:t xml:space="preserve">of factors that may modify estimated </w:t>
      </w:r>
      <w:proofErr w:type="gramStart"/>
      <w:r w:rsidRPr="00AD0161">
        <w:t>value</w:t>
      </w:r>
      <w:proofErr w:type="gramEnd"/>
    </w:p>
    <w:p w14:paraId="389DC271" w14:textId="337D05D0" w:rsidR="002065D1" w:rsidRDefault="002065D1" w:rsidP="002065D1">
      <w:r>
        <w:t>Some stakeholders expressed concern that there was not an explicit process for assessing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concerns in PBAC consideration. Some stakeholders considered that economic evaluations should consider the </w:t>
      </w:r>
      <w:r w:rsidRPr="00E52D45">
        <w:t xml:space="preserve">distributional impacts of interventions, </w:t>
      </w:r>
      <w:r>
        <w:t>and</w:t>
      </w:r>
      <w:r w:rsidRPr="00E52D45">
        <w:t xml:space="preserve"> how they affect the health benefits and costs across different subgroup</w:t>
      </w:r>
      <w:r>
        <w:t>s.</w:t>
      </w:r>
    </w:p>
    <w:p w14:paraId="17394B22" w14:textId="4E913A41" w:rsidR="002065D1" w:rsidRDefault="002065D1" w:rsidP="002065D1">
      <w:pPr>
        <w:ind w:left="360"/>
      </w:pPr>
      <w:r>
        <w:rPr>
          <w:i/>
          <w:iCs/>
        </w:rPr>
        <w:t xml:space="preserve">“Issue 1: </w:t>
      </w:r>
      <w:r w:rsidRPr="006C13CD">
        <w:rPr>
          <w:i/>
          <w:iCs/>
        </w:rPr>
        <w:t>Insufficient consideration of equity</w:t>
      </w:r>
      <w:r w:rsidR="00A67FBB">
        <w:rPr>
          <w:i/>
          <w:iCs/>
        </w:rPr>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rPr>
          <w:i/>
          <w:iCs/>
        </w:rPr>
        <w:fldChar w:fldCharType="end"/>
      </w:r>
      <w:r w:rsidRPr="006C13CD">
        <w:rPr>
          <w:i/>
          <w:iCs/>
        </w:rPr>
        <w:t xml:space="preserve"> implications in cost-effectiveness and budget impact</w:t>
      </w:r>
      <w:r w:rsidR="007A506F">
        <w:rPr>
          <w:i/>
          <w:iCs/>
        </w:rPr>
        <w:fldChar w:fldCharType="begin"/>
      </w:r>
      <w:r w:rsidR="007A506F">
        <w:instrText xml:space="preserve"> XE "</w:instrText>
      </w:r>
      <w:r w:rsidR="007A506F" w:rsidRPr="00C256AB">
        <w:rPr>
          <w:rFonts w:eastAsia="Times New Roman" w:cs="Segoe UI"/>
          <w:kern w:val="24"/>
          <w:lang w:eastAsia="en-AU"/>
        </w:rPr>
        <w:instrText>budget impact</w:instrText>
      </w:r>
      <w:r w:rsidR="007A506F">
        <w:instrText xml:space="preserve">" \b </w:instrText>
      </w:r>
      <w:r w:rsidR="007A506F">
        <w:rPr>
          <w:i/>
          <w:iCs/>
        </w:rPr>
        <w:fldChar w:fldCharType="end"/>
      </w:r>
      <w:r w:rsidRPr="006C13CD">
        <w:rPr>
          <w:i/>
          <w:iCs/>
        </w:rPr>
        <w:t xml:space="preserve"> analysis. These evaluations often fail to explicitly address equity concerns and may not adequately assess the potential differential impacts of interventions on various population subgroups.</w:t>
      </w:r>
      <w:r>
        <w:rPr>
          <w:i/>
          <w:iCs/>
        </w:rPr>
        <w:t>” (research)</w:t>
      </w:r>
    </w:p>
    <w:p w14:paraId="7243AFD5" w14:textId="0D9C0726" w:rsidR="00557C18" w:rsidRPr="005B322F" w:rsidRDefault="00557C18" w:rsidP="00557C18">
      <w:pPr>
        <w:pStyle w:val="Heading4"/>
        <w:rPr>
          <w:i/>
          <w:color w:val="153A6E" w:themeColor="text2"/>
        </w:rPr>
      </w:pPr>
      <w:r w:rsidRPr="005B322F">
        <w:t>Economic evaluation as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p>
    <w:p w14:paraId="4344205C" w14:textId="588FADD6" w:rsidR="002065D1" w:rsidRPr="00FF5013" w:rsidRDefault="002065D1" w:rsidP="002065D1">
      <w:r w:rsidRPr="00FF5013">
        <w:t>Stakeholders raised concern that economic evaluations were being used as a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rsidRPr="00FF5013">
        <w:t xml:space="preserve"> where sponsors would put higher prices than they were willing to accept in initial submissions.</w:t>
      </w:r>
    </w:p>
    <w:p w14:paraId="279A316E" w14:textId="77777777" w:rsidR="002065D1" w:rsidRPr="00FF5013" w:rsidRDefault="002065D1" w:rsidP="002065D1">
      <w:pPr>
        <w:ind w:left="360"/>
      </w:pPr>
      <w:r w:rsidRPr="00FF5013">
        <w:rPr>
          <w:i/>
          <w:iCs/>
        </w:rPr>
        <w:t xml:space="preserve">“The cautious approach adopted by the PBAC towards uncertainty can lead to unintended consequences. During the evaluation process, parameters are often adjusted to reflect conservative estimates, resulting in a reduced economically </w:t>
      </w:r>
      <w:r w:rsidRPr="00FF5013">
        <w:rPr>
          <w:i/>
          <w:iCs/>
        </w:rPr>
        <w:lastRenderedPageBreak/>
        <w:t>justifiable price for new medicines. As a result, sponsors are incentivised to submit a higher initial price, anticipating negotiation and multiple resubmissions. This can lead to prolonged timelines for PBS listing, limiting patient access to essential medicines and increasing costs for both sponsors and the government.” (industry)</w:t>
      </w:r>
    </w:p>
    <w:p w14:paraId="43BB1096" w14:textId="77777777" w:rsidR="00502AC6" w:rsidRDefault="00502AC6" w:rsidP="00502AC6">
      <w:pPr>
        <w:pStyle w:val="Heading3"/>
      </w:pPr>
      <w:bookmarkStart w:id="180" w:name="_Toc157029097"/>
      <w:r>
        <w:t>Issues</w:t>
      </w:r>
      <w:bookmarkEnd w:id="180"/>
    </w:p>
    <w:p w14:paraId="7A782C6C" w14:textId="77777777" w:rsidR="00502AC6" w:rsidRPr="0014229D" w:rsidRDefault="00502AC6" w:rsidP="00502AC6">
      <w:pPr>
        <w:pStyle w:val="Heading4"/>
        <w:rPr>
          <w:i/>
        </w:rPr>
      </w:pPr>
      <w:r>
        <w:t>Overall value of</w:t>
      </w:r>
      <w:r w:rsidRPr="0014229D">
        <w:t xml:space="preserve"> health technologies</w:t>
      </w:r>
    </w:p>
    <w:p w14:paraId="6F4D1495" w14:textId="79C08937" w:rsidR="00502AC6" w:rsidRDefault="007F1B07" w:rsidP="00502AC6">
      <w:r>
        <w:t>The Reference Committee has</w:t>
      </w:r>
      <w:r w:rsidR="00502AC6">
        <w:t xml:space="preserve"> observed that the primary contentions about HTA economic evaluation methods relate to how health technologies are valued. Many stakeholders believe the full value of health technologies is not being recognised due to the impacts of elements of economic evaluations discussed above (comparator selection, base</w:t>
      </w:r>
      <w:r w:rsidR="00546F71">
        <w:t>-</w:t>
      </w:r>
      <w:r w:rsidR="00502AC6">
        <w:t>case perspective of evaluation,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rsidR="00502AC6">
        <w:t xml:space="preserve">, approaches to uncertainty, consideration of </w:t>
      </w:r>
      <w:r w:rsidR="001B7F77">
        <w:t xml:space="preserve">societal and </w:t>
      </w:r>
      <w:r w:rsidR="00502AC6">
        <w:t>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00502AC6">
        <w:t xml:space="preserve"> principles and distributional impacts). Many stakeholders who made submissions to the review believe that undervaluing of health technologies delays, and in some circumstances prevents, patients from gaining funded access to advances in care through Australia’s funding and subsidy schemes. </w:t>
      </w:r>
    </w:p>
    <w:p w14:paraId="7B1B80F3" w14:textId="01854122" w:rsidR="00502AC6" w:rsidRDefault="00594D52" w:rsidP="00502AC6">
      <w:r>
        <w:t>We</w:t>
      </w:r>
      <w:r w:rsidR="00502AC6">
        <w:t xml:space="preserve"> appreciate that where the current </w:t>
      </w:r>
      <w:r w:rsidR="00C95EEB">
        <w:t>SOC</w:t>
      </w:r>
      <w:r w:rsidR="00502AC6">
        <w:t xml:space="preserve"> is not meeting needs, patients, carers and their treating healthcare professionals would understandably feel frustrated when a potential treatment is not recommended for funding on the basis of unacceptable cost-effectiveness (</w:t>
      </w:r>
      <w:r w:rsidR="0032624C">
        <w:t>i.e.</w:t>
      </w:r>
      <w:r w:rsidR="00BC1547">
        <w:t xml:space="preserve"> </w:t>
      </w:r>
      <w:r w:rsidR="00502AC6">
        <w:t xml:space="preserve">value for money), and elements of the value delivered by the health technology appear to have been undervalued or do not appear to have been factored into the decision. </w:t>
      </w:r>
    </w:p>
    <w:p w14:paraId="692EEEF9" w14:textId="1FE1F3E5" w:rsidR="00502AC6" w:rsidRDefault="00502AC6" w:rsidP="00502AC6">
      <w:r>
        <w:t xml:space="preserve">Like many other government investments, health interventions deliver a return to both the individual and society that is greater than the cost of funding them. In other words, the investment delivers a net welfare gain to society. Health interventions have long been considered a worthwhile investment of public funds because they deliver a net welfare gain. </w:t>
      </w:r>
    </w:p>
    <w:p w14:paraId="4892BAAC" w14:textId="5FD780D1" w:rsidR="00502AC6" w:rsidRDefault="00871F25" w:rsidP="00502AC6">
      <w:r>
        <w:t>The paper on economic evaluation found that</w:t>
      </w:r>
      <w:r w:rsidR="007F0EA2">
        <w:t xml:space="preserve"> t</w:t>
      </w:r>
      <w:r w:rsidR="00EE36A7">
        <w:t>he u</w:t>
      </w:r>
      <w:r w:rsidR="00F8700B">
        <w:t xml:space="preserve">se of </w:t>
      </w:r>
      <w:r w:rsidR="00502AC6">
        <w:t>CEAs and CUAs (which estimate value for money by reference to specific health costs and outcomes) by HTA bodies in Australia, and in most jurisdictions overseas</w:t>
      </w:r>
      <w:r w:rsidR="001F60BD">
        <w:t>,</w:t>
      </w:r>
      <w:r w:rsidR="00F8700B">
        <w:t xml:space="preserve"> does not involve estimation of </w:t>
      </w:r>
      <w:r w:rsidR="4814CEC6">
        <w:t>indirect and non-health benefits or</w:t>
      </w:r>
      <w:r w:rsidR="00F8700B">
        <w:t xml:space="preserve"> </w:t>
      </w:r>
      <w:r w:rsidR="00EA6B0C">
        <w:t>the overall societal value</w:t>
      </w:r>
      <w:r w:rsidR="538CD11C">
        <w:t xml:space="preserve"> in the base case</w:t>
      </w:r>
      <w:r w:rsidR="00EA6B0C">
        <w:t xml:space="preserve">. </w:t>
      </w:r>
      <w:r w:rsidR="002D2CB7">
        <w:t xml:space="preserve">This is a narrower perspective than that used for cost-benefit analyses </w:t>
      </w:r>
      <w:r w:rsidR="00A603A2">
        <w:t xml:space="preserve">which are used to </w:t>
      </w:r>
      <w:r w:rsidR="008C5910">
        <w:t>value the impacts of</w:t>
      </w:r>
      <w:r w:rsidR="008103B1">
        <w:t xml:space="preserve"> </w:t>
      </w:r>
      <w:r w:rsidR="00C97981">
        <w:t>other government decisions</w:t>
      </w:r>
      <w:r w:rsidR="008C5910">
        <w:t xml:space="preserve"> (</w:t>
      </w:r>
      <w:proofErr w:type="gramStart"/>
      <w:r w:rsidR="00EC3B5E">
        <w:t>e</w:t>
      </w:r>
      <w:r w:rsidR="00031FAB">
        <w:t>.g</w:t>
      </w:r>
      <w:r w:rsidR="00EC3B5E">
        <w:t>.</w:t>
      </w:r>
      <w:r w:rsidR="00031FAB">
        <w:t>.</w:t>
      </w:r>
      <w:proofErr w:type="gramEnd"/>
      <w:r w:rsidR="008C5910">
        <w:t xml:space="preserve"> policy proposal</w:t>
      </w:r>
      <w:r w:rsidR="00C91B89">
        <w:t>s</w:t>
      </w:r>
      <w:r w:rsidR="008C5910">
        <w:t xml:space="preserve"> </w:t>
      </w:r>
      <w:r w:rsidR="00CA7C08">
        <w:t>prepared for consideration by</w:t>
      </w:r>
      <w:r w:rsidR="008C5910">
        <w:t xml:space="preserve"> the Australian Government). </w:t>
      </w:r>
    </w:p>
    <w:p w14:paraId="28C231FB" w14:textId="77777777" w:rsidR="00CA3FB1" w:rsidRDefault="00502AC6" w:rsidP="00502AC6">
      <w:r>
        <w:t>The narrow</w:t>
      </w:r>
      <w:r w:rsidR="002665AE">
        <w:t>er</w:t>
      </w:r>
      <w:r>
        <w:t xml:space="preserve"> perspective used for economic evaluations in HTA </w:t>
      </w:r>
      <w:r w:rsidR="000030C5">
        <w:t xml:space="preserve">in Australia and </w:t>
      </w:r>
      <w:r w:rsidR="005C5694">
        <w:t>elsewhere</w:t>
      </w:r>
      <w:r>
        <w:t xml:space="preserve"> may reflect the fact that </w:t>
      </w:r>
      <w:r w:rsidR="002E403F">
        <w:t>economic evaluations in HTA</w:t>
      </w:r>
      <w:r>
        <w:t xml:space="preserve"> serve dual purposes of estimating value and determining the appropriate price to be paid. </w:t>
      </w:r>
      <w:r w:rsidR="008B5F71">
        <w:t>This dual purpose</w:t>
      </w:r>
      <w:r w:rsidR="003B4FDC">
        <w:t xml:space="preserve"> has </w:t>
      </w:r>
      <w:r w:rsidR="008B5F71">
        <w:t xml:space="preserve">a flow </w:t>
      </w:r>
      <w:r w:rsidR="003B4FDC">
        <w:t xml:space="preserve">on </w:t>
      </w:r>
      <w:r w:rsidR="008B5F71">
        <w:t>impact to</w:t>
      </w:r>
      <w:r w:rsidR="003B4FDC">
        <w:t xml:space="preserve"> government priority setting</w:t>
      </w:r>
      <w:r>
        <w:t xml:space="preserve">. </w:t>
      </w:r>
    </w:p>
    <w:p w14:paraId="401027C2" w14:textId="3BF107BA" w:rsidR="00502AC6" w:rsidRDefault="00502AC6" w:rsidP="00502AC6">
      <w:r>
        <w:lastRenderedPageBreak/>
        <w:t xml:space="preserve">For other government investments, the value that an investment delivers to society over its lifetime is not usually the sole determinant of the price. Prices are also determined through competitive market processes or by reference to a price reflecting both the consumer’s </w:t>
      </w:r>
      <w:r w:rsidR="00616FF2">
        <w:t xml:space="preserve">and purchaser’s </w:t>
      </w:r>
      <w:r>
        <w:t xml:space="preserve">willingness to pay and cost of production. These processes help to ensure that the overall benefit from funding an investment is shared between the public (through net welfare gains) and the producer (profits). </w:t>
      </w:r>
    </w:p>
    <w:p w14:paraId="46D21E0F" w14:textId="2D15DB05" w:rsidR="00502AC6" w:rsidRDefault="00502AC6" w:rsidP="00502AC6">
      <w:r>
        <w:t xml:space="preserve">A value-based approach to setting prices is necessary in HTA because HTA bodies and payer agencies do not have access to information that would enable them to calculate cost of production, and even if they did, they would have limited ability to obtain prices by reference to cost of production due to the market power </w:t>
      </w:r>
      <w:r w:rsidR="00DB2B80">
        <w:t>afforded by</w:t>
      </w:r>
      <w:r>
        <w:t xml:space="preserve"> intellectual property protections </w:t>
      </w:r>
      <w:r w:rsidR="0032190A">
        <w:t>for new health technologies</w:t>
      </w:r>
      <w:r>
        <w:t xml:space="preserve">. </w:t>
      </w:r>
    </w:p>
    <w:p w14:paraId="4552FA9D" w14:textId="77777777" w:rsidR="004E4CFD" w:rsidRDefault="00502AC6" w:rsidP="00502AC6">
      <w:r>
        <w:t xml:space="preserve">As the value captured in HTA economic evaluations is the primary determinate of the price agreed between the supplier and the Government, adjusting economic evaluation parameters to increase the recognised value would increase the cost of health technologies and require a greater allocation of public resources to fund them. This would reduce the net welfare gain to society when public resources are used to fund health technologies and increase producer profit. </w:t>
      </w:r>
    </w:p>
    <w:p w14:paraId="05D80476" w14:textId="0D6850F0" w:rsidR="00502AC6" w:rsidRPr="00712C53" w:rsidRDefault="00AB29F9" w:rsidP="00502AC6">
      <w:r>
        <w:t>If the price reflects the</w:t>
      </w:r>
      <w:r w:rsidR="00502AC6">
        <w:t xml:space="preserve"> </w:t>
      </w:r>
      <w:r w:rsidR="005C5F9A">
        <w:t>maxim</w:t>
      </w:r>
      <w:r w:rsidR="002C59A9">
        <w:t>al</w:t>
      </w:r>
      <w:r w:rsidR="00502AC6">
        <w:t xml:space="preserve"> value of the health technology to</w:t>
      </w:r>
      <w:r w:rsidR="00A1256A">
        <w:t xml:space="preserve"> the patient and</w:t>
      </w:r>
      <w:r w:rsidR="00502AC6">
        <w:t xml:space="preserve"> society, </w:t>
      </w:r>
      <w:r w:rsidR="00FC0705">
        <w:t xml:space="preserve">the </w:t>
      </w:r>
      <w:r w:rsidR="00502AC6">
        <w:t>welfare gain to society from funding the health technology</w:t>
      </w:r>
      <w:r w:rsidR="007860F2">
        <w:t xml:space="preserve"> is lost</w:t>
      </w:r>
      <w:r w:rsidR="00502AC6">
        <w:t xml:space="preserve">. The relative value for money of funding health technologies would then become less than other </w:t>
      </w:r>
      <w:r w:rsidR="0094568B">
        <w:t>potential</w:t>
      </w:r>
      <w:r w:rsidR="00502AC6">
        <w:t xml:space="preserve"> investments of public resources that </w:t>
      </w:r>
      <w:r w:rsidR="0094568B">
        <w:t xml:space="preserve">would </w:t>
      </w:r>
      <w:r w:rsidR="00BA377D">
        <w:t xml:space="preserve">deliver a return to individuals and the community </w:t>
      </w:r>
      <w:r w:rsidR="00D424F4">
        <w:t>that is greater than the cost of funding them</w:t>
      </w:r>
      <w:r w:rsidR="00502AC6">
        <w:t xml:space="preserve">. </w:t>
      </w:r>
    </w:p>
    <w:p w14:paraId="4B2FE2A1" w14:textId="5908831F" w:rsidR="00502AC6" w:rsidRDefault="00502AC6" w:rsidP="00502AC6">
      <w:r w:rsidRPr="00574570">
        <w:t xml:space="preserve">Entities responsible for decisions about use of public resources must abide by the principle that all expenditure should constitute a proper use and management of public resources, and the most efficient, </w:t>
      </w:r>
      <w:proofErr w:type="gramStart"/>
      <w:r w:rsidRPr="00574570">
        <w:t>effective</w:t>
      </w:r>
      <w:proofErr w:type="gramEnd"/>
      <w:r w:rsidRPr="00574570">
        <w:t xml:space="preserve"> and ethical way to achieve the maximum economic benefit for Australians</w:t>
      </w:r>
      <w:r>
        <w:t xml:space="preserve"> (</w:t>
      </w:r>
      <w:r w:rsidR="007F1149">
        <w:t xml:space="preserve">as per Budget Process </w:t>
      </w:r>
      <w:r w:rsidR="00C053A5">
        <w:t xml:space="preserve">Operational Rules, or </w:t>
      </w:r>
      <w:r>
        <w:t xml:space="preserve">BPORs). Adjusting economic evaluation parameters so that more is paid for health technologies would reduce the net gain </w:t>
      </w:r>
      <w:r w:rsidR="00987B1A">
        <w:t xml:space="preserve">and relative economic benefit </w:t>
      </w:r>
      <w:r>
        <w:t xml:space="preserve">they deliver compared to other </w:t>
      </w:r>
      <w:r w:rsidR="00851A27">
        <w:t xml:space="preserve">potential </w:t>
      </w:r>
      <w:r>
        <w:t>government investments</w:t>
      </w:r>
      <w:r w:rsidR="00851A27">
        <w:t xml:space="preserve"> that </w:t>
      </w:r>
      <w:r w:rsidR="009749FC">
        <w:t>would otherwise</w:t>
      </w:r>
      <w:r w:rsidR="00851A27">
        <w:t xml:space="preserve"> </w:t>
      </w:r>
      <w:r w:rsidR="00A85C34">
        <w:t xml:space="preserve">be </w:t>
      </w:r>
      <w:r w:rsidR="001C6098">
        <w:t>foregone because of the choice to fund health technologies</w:t>
      </w:r>
      <w:r>
        <w:t>.</w:t>
      </w:r>
      <w:r w:rsidR="003F7B56">
        <w:t xml:space="preserve"> While there </w:t>
      </w:r>
      <w:r w:rsidR="00A75473">
        <w:t>is</w:t>
      </w:r>
      <w:r w:rsidR="003F7B56">
        <w:t xml:space="preserve"> an opportunity cost resulting from not funding health technolog</w:t>
      </w:r>
      <w:r w:rsidR="00273ABB">
        <w:t>ies</w:t>
      </w:r>
      <w:r w:rsidR="003F7B56">
        <w:t xml:space="preserve">, or not funding </w:t>
      </w:r>
      <w:r w:rsidR="00273ABB">
        <w:t>them</w:t>
      </w:r>
      <w:r w:rsidR="003F7B56">
        <w:t xml:space="preserve"> </w:t>
      </w:r>
      <w:r w:rsidR="00AC769D">
        <w:t>until an acceptable</w:t>
      </w:r>
      <w:r w:rsidR="002A549F">
        <w:t xml:space="preserve"> price</w:t>
      </w:r>
      <w:r w:rsidR="00AC769D">
        <w:t xml:space="preserve"> is offered</w:t>
      </w:r>
      <w:r w:rsidR="002A549F">
        <w:t xml:space="preserve">, </w:t>
      </w:r>
      <w:r w:rsidR="00AC769D">
        <w:t>committing to higher ongoing costs</w:t>
      </w:r>
      <w:r w:rsidR="00EF5CE5">
        <w:t xml:space="preserve"> for health technologies </w:t>
      </w:r>
      <w:r w:rsidR="00EA5206">
        <w:t>also</w:t>
      </w:r>
      <w:r w:rsidR="00EF5CE5">
        <w:t xml:space="preserve"> increases the opportunity cost </w:t>
      </w:r>
      <w:r w:rsidR="00124539">
        <w:t>arising from</w:t>
      </w:r>
      <w:r w:rsidR="00AC769D">
        <w:t xml:space="preserve"> </w:t>
      </w:r>
      <w:r w:rsidR="00EF5CE5">
        <w:t>displaced i</w:t>
      </w:r>
      <w:r w:rsidR="00257068">
        <w:t>nvestments</w:t>
      </w:r>
      <w:r w:rsidR="00A75473">
        <w:t xml:space="preserve"> that would also enhance community welfare</w:t>
      </w:r>
      <w:r w:rsidR="00257068">
        <w:t xml:space="preserve">. </w:t>
      </w:r>
    </w:p>
    <w:p w14:paraId="07162A6F" w14:textId="0BE5DB0C" w:rsidR="00502AC6" w:rsidRDefault="00502AC6" w:rsidP="00502AC6">
      <w:r>
        <w:t xml:space="preserve">Over the past decade, successive governments have made a commitment to list on the PBS all new medicines recommended by the PBAC. The listing of medicines on the PBS has received favourable treatment under budget rules that have otherwise required the cost of new expenditure proposals to be fully offset by direct savings to </w:t>
      </w:r>
      <w:r>
        <w:lastRenderedPageBreak/>
        <w:t>other parts of the budget</w:t>
      </w:r>
      <w:r w:rsidR="00E1593E">
        <w:t>. This treatment is</w:t>
      </w:r>
      <w:r w:rsidR="00921CB7">
        <w:t xml:space="preserve"> partly due to successive implementation of </w:t>
      </w:r>
      <w:r w:rsidR="000716B3">
        <w:t xml:space="preserve">statutory </w:t>
      </w:r>
      <w:r w:rsidR="008F7AD5">
        <w:t xml:space="preserve">price controls that deliver </w:t>
      </w:r>
      <w:r w:rsidR="00736CA3">
        <w:t xml:space="preserve">significant savings over the lifecycle of products on the PBS to </w:t>
      </w:r>
      <w:r w:rsidR="0091746B">
        <w:t>enable</w:t>
      </w:r>
      <w:r w:rsidR="00736CA3">
        <w:t xml:space="preserve"> a </w:t>
      </w:r>
      <w:r w:rsidR="00215B31">
        <w:t>new medicine</w:t>
      </w:r>
      <w:r w:rsidR="005A545F">
        <w:t>’</w:t>
      </w:r>
      <w:r w:rsidR="00215B31">
        <w:t>s</w:t>
      </w:r>
      <w:r w:rsidR="00736CA3">
        <w:t xml:space="preserve"> </w:t>
      </w:r>
      <w:r w:rsidR="00C35A78">
        <w:t>funding guarantee</w:t>
      </w:r>
      <w:r>
        <w:t xml:space="preserve">. This treatment </w:t>
      </w:r>
      <w:r w:rsidR="00B57D8D">
        <w:t xml:space="preserve">is </w:t>
      </w:r>
      <w:r w:rsidR="0083346D">
        <w:t>also</w:t>
      </w:r>
      <w:r w:rsidR="00B57D8D">
        <w:t xml:space="preserve"> supported by</w:t>
      </w:r>
      <w:r>
        <w:t xml:space="preserve"> the rigorous process for evaluation and price setting used for health technologies which, in turn, ensures a significant </w:t>
      </w:r>
      <w:r w:rsidR="00800C04">
        <w:t xml:space="preserve">(although unquantified) </w:t>
      </w:r>
      <w:r>
        <w:t>return on investment in terms of welfare gain for society.</w:t>
      </w:r>
    </w:p>
    <w:p w14:paraId="7866A609" w14:textId="77777777" w:rsidR="00502AC6" w:rsidRDefault="00502AC6" w:rsidP="004215CC">
      <w:pPr>
        <w:pStyle w:val="Heading4"/>
      </w:pPr>
      <w:r w:rsidRPr="00B330B3">
        <w:t>Relative value of different</w:t>
      </w:r>
      <w:r>
        <w:t xml:space="preserve"> health</w:t>
      </w:r>
      <w:r w:rsidRPr="00B330B3">
        <w:t xml:space="preserve"> technologies</w:t>
      </w:r>
    </w:p>
    <w:p w14:paraId="11E5D522" w14:textId="0C1119DA" w:rsidR="00B32598" w:rsidRDefault="00502AC6" w:rsidP="00502AC6">
      <w:r w:rsidRPr="00BE26D0">
        <w:t>Th</w:t>
      </w:r>
      <w:r>
        <w:t>rough Consultation 1 and its face-to-face meetings, the</w:t>
      </w:r>
      <w:r w:rsidRPr="00BE26D0">
        <w:t xml:space="preserve"> </w:t>
      </w:r>
      <w:r w:rsidR="00CF6744">
        <w:t>Reference Committee</w:t>
      </w:r>
      <w:r>
        <w:t xml:space="preserve"> heard evidence that certain features of the economic evaluation methods make certain types of health technologies appear less cost effective than other types of health technologies. The main categories identified were: </w:t>
      </w:r>
    </w:p>
    <w:p w14:paraId="37A9AD0F" w14:textId="7945FED2" w:rsidR="00502AC6" w:rsidRDefault="00502AC6" w:rsidP="008505D7">
      <w:pPr>
        <w:pStyle w:val="ListParagraph"/>
        <w:numPr>
          <w:ilvl w:val="0"/>
          <w:numId w:val="39"/>
        </w:numPr>
      </w:pPr>
      <w:r>
        <w:t xml:space="preserve">new health technologies where the comparator is either an old </w:t>
      </w:r>
      <w:r w:rsidR="00C95EEB">
        <w:t xml:space="preserve">SOC </w:t>
      </w:r>
      <w:r>
        <w:t>or a health technology that has been commoditised (and is therefore cheap)</w:t>
      </w:r>
    </w:p>
    <w:p w14:paraId="0360E122" w14:textId="695CCCA0" w:rsidR="00502AC6" w:rsidRDefault="00502AC6" w:rsidP="008505D7">
      <w:pPr>
        <w:pStyle w:val="ListParagraph"/>
        <w:numPr>
          <w:ilvl w:val="0"/>
          <w:numId w:val="39"/>
        </w:numPr>
        <w:spacing w:after="120"/>
      </w:pPr>
      <w:r>
        <w:t>preventative treatments (such as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t xml:space="preserve"> and gene therapies) that have high upfront costs and benefits that accrue over a long period of time. </w:t>
      </w:r>
    </w:p>
    <w:p w14:paraId="36A9902C" w14:textId="499238F1" w:rsidR="00502AC6" w:rsidRDefault="0081347C" w:rsidP="00502AC6">
      <w:r>
        <w:t>We have</w:t>
      </w:r>
      <w:r w:rsidR="00502AC6">
        <w:t xml:space="preserve"> also heard from </w:t>
      </w:r>
      <w:proofErr w:type="gramStart"/>
      <w:r w:rsidR="00502AC6">
        <w:t>a number of</w:t>
      </w:r>
      <w:proofErr w:type="gramEnd"/>
      <w:r w:rsidR="00502AC6">
        <w:t xml:space="preserve"> stakeholders that there should be an explicit approach to modifying thresholds and</w:t>
      </w:r>
      <w:r w:rsidR="0095083D">
        <w:t>/</w:t>
      </w:r>
      <w:r w:rsidR="00502AC6">
        <w:t>or decision</w:t>
      </w:r>
      <w:r w:rsidR="00C9478A">
        <w:t>-</w:t>
      </w:r>
      <w:r w:rsidR="00502AC6">
        <w:t>making based upon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00502AC6">
        <w:t xml:space="preserve"> principles. </w:t>
      </w:r>
    </w:p>
    <w:p w14:paraId="220CB204" w14:textId="633A9034" w:rsidR="00502AC6" w:rsidRPr="00BD7197" w:rsidRDefault="00502AC6" w:rsidP="00BD7197">
      <w:pPr>
        <w:pStyle w:val="Heading5"/>
      </w:pPr>
      <w:r w:rsidRPr="00BD7197">
        <w:t>Cheap comparator (health technologies that are superior to alternatives</w:t>
      </w:r>
    </w:p>
    <w:p w14:paraId="5C16089C" w14:textId="77777777" w:rsidR="00502AC6" w:rsidRDefault="00502AC6" w:rsidP="00502AC6">
      <w:r>
        <w:t xml:space="preserve">For health technologies claimed to be superior to alternatives, the incremental cost per QALY gained is much greater when the comparator is cheap than when it is expensive. This means that the ICER for a new health technology compared with a cheap comparator will appear to be less acceptable than an ICER for a new health technology compared with an expensive comparator – even where the price and the number of QALYs gained are equal for both health technologies. </w:t>
      </w:r>
    </w:p>
    <w:p w14:paraId="54553B9C" w14:textId="0D4DC397" w:rsidR="00502AC6" w:rsidRDefault="00502AC6" w:rsidP="00502AC6">
      <w:r>
        <w:t xml:space="preserve">For medicines where it has been demonstrated they offer an improvement over the old </w:t>
      </w:r>
      <w:r w:rsidR="00BA136C">
        <w:t xml:space="preserve">SOC </w:t>
      </w:r>
      <w:r>
        <w:t xml:space="preserve">or cheap comparators, the flexibility afforded by the absence of an ICER threshold and interpretation of economic models enables advisory committees to account for this issue when satisfying themselves that a health technology is cost-effective. This is illustrated by the fact that some of the highest priced medicines on the PBS (such as </w:t>
      </w:r>
      <w:proofErr w:type="spellStart"/>
      <w:r>
        <w:t>nusinersen</w:t>
      </w:r>
      <w:proofErr w:type="spellEnd"/>
      <w:r>
        <w:t xml:space="preserve"> for spinal muscular atrophy which has a PBS dispensed price of $110,000 per injection) were assessed against placebo or standard of care. </w:t>
      </w:r>
    </w:p>
    <w:p w14:paraId="64DCC1F0" w14:textId="0E3B243E" w:rsidR="00502AC6" w:rsidRDefault="00502AC6" w:rsidP="00502AC6">
      <w:r>
        <w:t xml:space="preserve">There is no explicit guidance on how this flexibility is exercised in PBAC or MSAC guidelines. This contributes to a perception that health technologies compared to a cheap </w:t>
      </w:r>
      <w:r w:rsidR="00BA136C">
        <w:t xml:space="preserve">SOC </w:t>
      </w:r>
      <w:r>
        <w:t xml:space="preserve">are less likely to have acceptable cost effectiveness than health technologies compared to an expensive </w:t>
      </w:r>
      <w:r w:rsidR="00BA136C">
        <w:t>SOC</w:t>
      </w:r>
      <w:r>
        <w:t xml:space="preserve">. </w:t>
      </w:r>
    </w:p>
    <w:p w14:paraId="481AAC02" w14:textId="48B384FE" w:rsidR="00404FB1" w:rsidRDefault="00502AC6" w:rsidP="00502AC6">
      <w:r>
        <w:lastRenderedPageBreak/>
        <w:t>Absence of explicit guidance on how this situation is managed may create a perverse incentive for investment in development of health technologies where comparators are high cost as opposed to those where comparators are low cost. While policy settings in Australia would not necessarily influence decision</w:t>
      </w:r>
      <w:r w:rsidR="0016245C">
        <w:t>-</w:t>
      </w:r>
      <w:r>
        <w:t>making by health technology companies at a global level, this issue is not unique to HTA in Australia and impacts all HTA settings where 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r w:rsidR="00E54B6A">
        <w:instrText xml:space="preserve">" </w:instrText>
      </w:r>
      <w:r w:rsidR="00E54B6A">
        <w:fldChar w:fldCharType="end"/>
      </w:r>
      <w:r>
        <w:t xml:space="preserve"> and CUAs are used. </w:t>
      </w:r>
    </w:p>
    <w:p w14:paraId="0408EE1B" w14:textId="0328F05F" w:rsidR="00502AC6" w:rsidRPr="00081EA3" w:rsidRDefault="00502AC6" w:rsidP="00502AC6">
      <w:r>
        <w:t>This issue may be contributing to the relatively high investment by health technology companies in developing treatments for cancer (where there has been continual development of new treatments over time and therefore high</w:t>
      </w:r>
      <w:r w:rsidR="006D2569">
        <w:t xml:space="preserve">er </w:t>
      </w:r>
      <w:r>
        <w:t xml:space="preserve">cost comparators) over other areas such as </w:t>
      </w:r>
      <w:r w:rsidR="001B1B31">
        <w:t xml:space="preserve">AMR </w:t>
      </w:r>
      <w:r>
        <w:t>and rare diseases</w:t>
      </w:r>
      <w:r w:rsidR="008B7A1E">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fldChar w:fldCharType="end"/>
      </w:r>
      <w:r>
        <w:t xml:space="preserve"> (where there has been little development and the comparators are old and relatively low cost). Although, it should be noted that</w:t>
      </w:r>
      <w:r w:rsidR="000116F8">
        <w:t xml:space="preserve"> the</w:t>
      </w:r>
      <w:r>
        <w:t xml:space="preserve"> relatively small markets for new </w:t>
      </w:r>
      <w:r w:rsidR="00D902F4">
        <w:t>anti</w:t>
      </w:r>
      <w:r>
        <w:t xml:space="preserve">microbials and treatments for rare diseases would also </w:t>
      </w:r>
      <w:r w:rsidR="00B936B2">
        <w:t>contribute significantly to the lack of</w:t>
      </w:r>
      <w:r>
        <w:t xml:space="preserve"> incentive to develop new products in these areas. </w:t>
      </w:r>
    </w:p>
    <w:p w14:paraId="65A33415" w14:textId="1A2D9F07" w:rsidR="00502AC6" w:rsidRPr="00E17C20" w:rsidRDefault="00502AC6" w:rsidP="00522C33">
      <w:pPr>
        <w:pStyle w:val="Heading5"/>
        <w:rPr>
          <w:i w:val="0"/>
          <w:iCs/>
          <w:color w:val="153A6E" w:themeColor="text2"/>
        </w:rPr>
      </w:pPr>
      <w:r>
        <w:t>Cheap comparator (health technologies that are non-inferior to alternatives</w:t>
      </w:r>
    </w:p>
    <w:p w14:paraId="41120543" w14:textId="709E8B8C" w:rsidR="00502AC6" w:rsidRDefault="00502AC6" w:rsidP="00502AC6">
      <w:r>
        <w:t>Where a health technology is non-inferior to (no more safe or efficacious) than alternative therapies, funding can only be recommended on the basis that it will cost no more than the cheapest of those alternative therapies.</w:t>
      </w:r>
    </w:p>
    <w:p w14:paraId="6B60A9F0" w14:textId="59F4CB27" w:rsidR="00502AC6" w:rsidRDefault="00AF04FA" w:rsidP="00502AC6">
      <w:r>
        <w:t xml:space="preserve"> This</w:t>
      </w:r>
      <w:r w:rsidR="00502AC6">
        <w:t xml:space="preserve"> does not mean that the health technology must be funded at the cost of an inferior therapy for the condition. If an advisory committee such as the PBAC is satisfied that a health technology is non-inferior to alternative therapies that are better than an inferior therapy, it can cost more than the inferior therapy, provided it does not cost more than the cheapest of the alternative therapies that it is not better than.</w:t>
      </w:r>
    </w:p>
    <w:p w14:paraId="76644AC7" w14:textId="34C5FCB4" w:rsidR="00502AC6" w:rsidRPr="00BE26D0" w:rsidRDefault="00502AC6" w:rsidP="00502AC6">
      <w:r>
        <w:t xml:space="preserve">This requirement becomes controversial where the supplier of the health technology has an expectation that it will be funded at a higher price than </w:t>
      </w:r>
      <w:r w:rsidR="004A30BE">
        <w:t>the</w:t>
      </w:r>
      <w:r w:rsidR="00564727">
        <w:t xml:space="preserve"> lowest priced</w:t>
      </w:r>
      <w:r>
        <w:t xml:space="preserve"> alternative therapy that is not </w:t>
      </w:r>
      <w:r w:rsidR="00D13031">
        <w:t xml:space="preserve">the most likely </w:t>
      </w:r>
      <w:r w:rsidR="00477D8B">
        <w:t>to</w:t>
      </w:r>
      <w:r w:rsidR="00D13031">
        <w:t xml:space="preserve"> be replaced in clinical practice </w:t>
      </w:r>
      <w:r w:rsidR="00232EDD">
        <w:t xml:space="preserve">and </w:t>
      </w:r>
      <w:r w:rsidR="006565E4">
        <w:t xml:space="preserve">this expectation </w:t>
      </w:r>
      <w:r>
        <w:t xml:space="preserve">is not met. In these circumstances, suppliers may choose not to proceed with the application for funding. This can occur where: </w:t>
      </w:r>
    </w:p>
    <w:p w14:paraId="0D87360C" w14:textId="33998BF4" w:rsidR="001F4257" w:rsidRDefault="00502AC6" w:rsidP="008505D7">
      <w:pPr>
        <w:pStyle w:val="ListParagraph"/>
        <w:numPr>
          <w:ilvl w:val="0"/>
          <w:numId w:val="40"/>
        </w:numPr>
        <w:spacing w:after="120"/>
      </w:pPr>
      <w:r>
        <w:t xml:space="preserve">the supplier has claimed the health technology is superior to alternative therapies and the advisory committee is not satisfied the claim of superiority is supported by the clinical evidence presented in the </w:t>
      </w:r>
      <w:proofErr w:type="gramStart"/>
      <w:r>
        <w:t>submission</w:t>
      </w:r>
      <w:proofErr w:type="gramEnd"/>
    </w:p>
    <w:p w14:paraId="2109B6A5" w14:textId="19F73549" w:rsidR="00841823" w:rsidRDefault="00502AC6" w:rsidP="008505D7">
      <w:pPr>
        <w:pStyle w:val="ListParagraph"/>
        <w:numPr>
          <w:ilvl w:val="0"/>
          <w:numId w:val="40"/>
        </w:numPr>
        <w:spacing w:after="120"/>
      </w:pPr>
      <w:r>
        <w:t>the comparator is subject to a special pricing arrangement and its price is significantly lower than the supplier expects</w:t>
      </w:r>
      <w:r w:rsidR="00ED5296">
        <w:t>, or</w:t>
      </w:r>
    </w:p>
    <w:p w14:paraId="5DB269C6" w14:textId="1672B939" w:rsidR="00502AC6" w:rsidRDefault="00502AC6" w:rsidP="008505D7">
      <w:pPr>
        <w:pStyle w:val="ListParagraph"/>
        <w:numPr>
          <w:ilvl w:val="0"/>
          <w:numId w:val="40"/>
        </w:numPr>
        <w:spacing w:after="120"/>
      </w:pPr>
      <w:r>
        <w:t>the advisory committee considers a cheaper comparator that is not the comparator chosen by the supplier is a relevant comparator (</w:t>
      </w:r>
      <w:proofErr w:type="gramStart"/>
      <w:r>
        <w:t xml:space="preserve">on the basis </w:t>
      </w:r>
      <w:r w:rsidR="00C925DE">
        <w:t>of</w:t>
      </w:r>
      <w:proofErr w:type="gramEnd"/>
      <w:r w:rsidR="00C925DE">
        <w:t xml:space="preserve"> a belie</w:t>
      </w:r>
      <w:r w:rsidR="008403D8">
        <w:t>f</w:t>
      </w:r>
      <w:r w:rsidR="00C925DE">
        <w:t xml:space="preserve"> that</w:t>
      </w:r>
      <w:r>
        <w:t xml:space="preserve"> it is</w:t>
      </w:r>
      <w:r w:rsidR="00C925DE">
        <w:t xml:space="preserve"> also</w:t>
      </w:r>
      <w:r>
        <w:t xml:space="preserve"> non-inferior </w:t>
      </w:r>
      <w:r w:rsidR="00C925DE">
        <w:t>to the health technology in the submission</w:t>
      </w:r>
      <w:r>
        <w:t>).</w:t>
      </w:r>
    </w:p>
    <w:p w14:paraId="2090BA05" w14:textId="16420CD4" w:rsidR="00502AC6" w:rsidRDefault="00502AC6" w:rsidP="00502AC6">
      <w:r>
        <w:lastRenderedPageBreak/>
        <w:t xml:space="preserve">Where there is </w:t>
      </w:r>
      <w:r w:rsidR="00541CEE">
        <w:t>minimal</w:t>
      </w:r>
      <w:r>
        <w:t xml:space="preserve"> difference </w:t>
      </w:r>
      <w:r w:rsidR="00ED5782">
        <w:t xml:space="preserve">in health outcomes </w:t>
      </w:r>
      <w:r w:rsidR="004813F0">
        <w:t>delivered by</w:t>
      </w:r>
      <w:r>
        <w:t xml:space="preserve"> the health technology </w:t>
      </w:r>
      <w:r w:rsidR="004813F0">
        <w:t>compared with</w:t>
      </w:r>
      <w:r>
        <w:t xml:space="preserve"> alternative</w:t>
      </w:r>
      <w:r w:rsidR="004813F0">
        <w:t>s</w:t>
      </w:r>
      <w:r>
        <w:t xml:space="preserve"> that </w:t>
      </w:r>
      <w:r w:rsidR="004813F0">
        <w:t>are</w:t>
      </w:r>
      <w:r>
        <w:t xml:space="preserve"> already funded, there is little impact on access to appropriate treatment</w:t>
      </w:r>
      <w:r w:rsidR="465BE7E4">
        <w:t xml:space="preserve"> for patients</w:t>
      </w:r>
      <w:r>
        <w:t xml:space="preserve">. However, </w:t>
      </w:r>
      <w:r w:rsidR="00C1612C">
        <w:t>there may be</w:t>
      </w:r>
      <w:r>
        <w:t xml:space="preserve"> clinical areas where patient response to treatment is heterogeneous and</w:t>
      </w:r>
      <w:r w:rsidR="00C1612C">
        <w:t xml:space="preserve"> for clinical reasons</w:t>
      </w:r>
      <w:r>
        <w:t xml:space="preserve"> having a range of treatment options (that might all deliver the same health outcomes at a population level but have different impacts on individual patients) is necessary for achieving </w:t>
      </w:r>
      <w:r w:rsidR="00DB5DFD">
        <w:t xml:space="preserve">overall </w:t>
      </w:r>
      <w:r>
        <w:t xml:space="preserve">optimal outcomes for patients. </w:t>
      </w:r>
      <w:r w:rsidR="00C1612C">
        <w:t xml:space="preserve">These claims </w:t>
      </w:r>
      <w:r w:rsidR="009A22F4">
        <w:t xml:space="preserve">need to be assessed and supported by evidence. </w:t>
      </w:r>
      <w:r w:rsidR="00525C20">
        <w:t xml:space="preserve">We have also heard that </w:t>
      </w:r>
      <w:r w:rsidR="003A2941">
        <w:t xml:space="preserve">in some circumstances sponsors may not </w:t>
      </w:r>
      <w:r w:rsidR="00FE2749">
        <w:t xml:space="preserve">initially </w:t>
      </w:r>
      <w:r w:rsidR="003A2941">
        <w:t xml:space="preserve">choose </w:t>
      </w:r>
      <w:r w:rsidR="006A3C6C">
        <w:t xml:space="preserve">present </w:t>
      </w:r>
      <w:r w:rsidR="00C21706">
        <w:t>existing</w:t>
      </w:r>
      <w:r w:rsidR="006A3C6C">
        <w:t xml:space="preserve"> </w:t>
      </w:r>
      <w:r>
        <w:t>evidence</w:t>
      </w:r>
      <w:r w:rsidR="006A3C6C">
        <w:t xml:space="preserve"> of</w:t>
      </w:r>
      <w:r w:rsidR="00FE2749">
        <w:t xml:space="preserve"> additional benefits through submission</w:t>
      </w:r>
      <w:r w:rsidR="006A3C6C">
        <w:t xml:space="preserve"> of </w:t>
      </w:r>
      <w:r w:rsidR="00FE2749">
        <w:t xml:space="preserve">a full cost effectiveness </w:t>
      </w:r>
      <w:r w:rsidR="006A3C6C">
        <w:t>analysis</w:t>
      </w:r>
      <w:r w:rsidR="00C33108">
        <w:t xml:space="preserve">, and instead </w:t>
      </w:r>
      <w:r w:rsidR="006A3C6C">
        <w:t xml:space="preserve">seek funding </w:t>
      </w:r>
      <w:proofErr w:type="gramStart"/>
      <w:r w:rsidR="00FE2749">
        <w:t xml:space="preserve">on the </w:t>
      </w:r>
      <w:r w:rsidR="006A3C6C">
        <w:t>basis of</w:t>
      </w:r>
      <w:proofErr w:type="gramEnd"/>
      <w:r w:rsidR="006A3C6C">
        <w:t xml:space="preserve"> not being inferior to a comparator.</w:t>
      </w:r>
      <w:r w:rsidR="00FE2749">
        <w:t xml:space="preserve"> </w:t>
      </w:r>
    </w:p>
    <w:p w14:paraId="6B3D0EF5" w14:textId="25968308" w:rsidR="00502AC6" w:rsidRPr="00F52398" w:rsidRDefault="00502AC6" w:rsidP="00522C33">
      <w:pPr>
        <w:pStyle w:val="Heading5"/>
        <w:rPr>
          <w:i w:val="0"/>
          <w:iCs/>
          <w:color w:val="153A6E" w:themeColor="text2"/>
        </w:rPr>
      </w:pPr>
      <w:r w:rsidRPr="00F52398">
        <w:t>Valuing long</w:t>
      </w:r>
      <w:r w:rsidR="005300A3">
        <w:t>-</w:t>
      </w:r>
      <w:r w:rsidRPr="00F52398">
        <w:t>term benefits</w:t>
      </w:r>
    </w:p>
    <w:p w14:paraId="2073AF3D" w14:textId="026EC2F6" w:rsidR="00502AC6" w:rsidRDefault="00502AC6" w:rsidP="00502AC6">
      <w:r w:rsidRPr="004623EB">
        <w:t xml:space="preserve">Both discounting </w:t>
      </w:r>
      <w:r>
        <w:t xml:space="preserve">and approaches to </w:t>
      </w:r>
      <w:r w:rsidR="009F48A9">
        <w:t xml:space="preserve">assessing </w:t>
      </w:r>
      <w:r>
        <w:t xml:space="preserve">uncertainty cause costs and benefits to be valued less the further into the future they are realised. This reflects the </w:t>
      </w:r>
      <w:r w:rsidR="00927AE1">
        <w:t xml:space="preserve">accepted </w:t>
      </w:r>
      <w:r>
        <w:t>societal preference for current over future benefits, and the reduced confidence in benefits and costs being realised the further into the future they are estimated to occur.</w:t>
      </w:r>
    </w:p>
    <w:p w14:paraId="11166FBC" w14:textId="1CDD3A87" w:rsidR="00502AC6" w:rsidRDefault="00502AC6" w:rsidP="00502AC6">
      <w:r>
        <w:t>Relative to a health technology that delivers outcomes that are realised over the short term, the benefits of a health technology that delivers outcomes over a longer period are valued less. This does not significantly impact estimation of cost-effectiveness where costs are spread over the same time period as the benefits (</w:t>
      </w:r>
      <w:proofErr w:type="gramStart"/>
      <w:r w:rsidR="00031FAB">
        <w:t>e.g.</w:t>
      </w:r>
      <w:proofErr w:type="gramEnd"/>
      <w:r>
        <w:t xml:space="preserve"> where continued doses are required to maintain the benefit over time). This significantly impacts estimates of cost-effectiveness where the costs are upfront</w:t>
      </w:r>
      <w:r w:rsidR="00DB11FE">
        <w:t>,</w:t>
      </w:r>
      <w:r>
        <w:t xml:space="preserve"> and the benefits accrue over many years (such as for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t xml:space="preserve"> and gene therapies).</w:t>
      </w:r>
    </w:p>
    <w:p w14:paraId="24C93818" w14:textId="189B8AA3" w:rsidR="00502AC6" w:rsidRDefault="00502AC6" w:rsidP="00502AC6">
      <w:r>
        <w:t>The effect of valuing long</w:t>
      </w:r>
      <w:r w:rsidR="00A81EF1">
        <w:t>-</w:t>
      </w:r>
      <w:r>
        <w:t xml:space="preserve">term benefits less than more immediate benefits is that </w:t>
      </w:r>
      <w:r w:rsidR="00C958AE">
        <w:t xml:space="preserve">2 </w:t>
      </w:r>
      <w:r>
        <w:t>therapies that deliver equivalent overall health outcomes at equivalent overall costs could have different estimates of cost-effectiveness if their costs are accrued over different time periods. The therapy with frontloaded costs would appear less cost effective than the therapy with costs spread more evenly over the period that benefits accrue into the future</w:t>
      </w:r>
      <w:r w:rsidR="003A3966">
        <w:t>,</w:t>
      </w:r>
      <w:r>
        <w:t xml:space="preserve"> notwithstanding equivalent overall </w:t>
      </w:r>
      <w:proofErr w:type="gramStart"/>
      <w:r>
        <w:t>costs</w:t>
      </w:r>
      <w:proofErr w:type="gramEnd"/>
      <w:r>
        <w:t xml:space="preserve"> and health outcomes.</w:t>
      </w:r>
    </w:p>
    <w:p w14:paraId="5679BE6B" w14:textId="7142746F" w:rsidR="00502AC6" w:rsidRDefault="00502AC6" w:rsidP="00502AC6">
      <w:r>
        <w:t>The flexibility afforded by the absence of an ICER threshold and flexibility in discounting approaches and other aspects of economic evaluation enables the PBAC and the MSAC to account for where these variations impact cost-effectiveness estimates. For example, the PBAC considered a lower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for the meningococcal B vaccine.</w:t>
      </w:r>
    </w:p>
    <w:p w14:paraId="178AF693" w14:textId="3756C194" w:rsidR="00502AC6" w:rsidRDefault="00502AC6" w:rsidP="00502AC6">
      <w:r>
        <w:t xml:space="preserve">There is no explicit guidance on how this flexibility is exercised in PBAC or MSAC guidelines. This contributes to a perception that health technologies that deliver </w:t>
      </w:r>
      <w:r>
        <w:lastRenderedPageBreak/>
        <w:t>long</w:t>
      </w:r>
      <w:r w:rsidR="008B0B44">
        <w:t>-</w:t>
      </w:r>
      <w:r>
        <w:t xml:space="preserve">term benefits and have upfront costs are valued less than those that have costs that are spread over the </w:t>
      </w:r>
      <w:proofErr w:type="gramStart"/>
      <w:r>
        <w:t>time period</w:t>
      </w:r>
      <w:proofErr w:type="gramEnd"/>
      <w:r>
        <w:t xml:space="preserve"> that benefits accrue. The CHERE literature review found that approaches to valuing future costs and benefits in Australia are not significantly different to other </w:t>
      </w:r>
      <w:r w:rsidR="007029C1">
        <w:t xml:space="preserve">countries </w:t>
      </w:r>
      <w:r>
        <w:t>although Australia’s discount rate</w:t>
      </w:r>
      <w:r w:rsidR="00483308">
        <w:fldChar w:fldCharType="begin"/>
      </w:r>
      <w:r w:rsidR="00483308">
        <w:instrText xml:space="preserve"> XE "</w:instrText>
      </w:r>
      <w:r w:rsidR="00483308" w:rsidRPr="00201C02">
        <w:rPr>
          <w:rFonts w:eastAsia="Times New Roman"/>
          <w:lang w:eastAsia="en-AU"/>
        </w:rPr>
        <w:instrText>discount rate</w:instrText>
      </w:r>
      <w:r w:rsidR="00483308">
        <w:instrText xml:space="preserve">" \b </w:instrText>
      </w:r>
      <w:r w:rsidR="00483308">
        <w:fldChar w:fldCharType="end"/>
      </w:r>
      <w:r>
        <w:t xml:space="preserve"> is at the upper end of those that are used in comparable jurisdictions. </w:t>
      </w:r>
    </w:p>
    <w:p w14:paraId="492227DD" w14:textId="7AD91FAC" w:rsidR="00502AC6" w:rsidRDefault="00502AC6" w:rsidP="00502AC6">
      <w:r>
        <w:t>To the extent that HTA bodies in Australia and overseas do not explain how decision</w:t>
      </w:r>
      <w:r w:rsidR="005A5F05">
        <w:t>-</w:t>
      </w:r>
      <w:r>
        <w:t xml:space="preserve">making is modified to account for characteristics that alter estimates of cost-effectiveness, systems that, in the base case, make certain health technologies that have upfront costs and deliver long-term benefits appear lest cost effective, will be perceived as undervaluing these technologies. </w:t>
      </w:r>
    </w:p>
    <w:p w14:paraId="6D6C03A2" w14:textId="520B7AE2" w:rsidR="006048E0" w:rsidRPr="00754F60" w:rsidRDefault="00174A8E" w:rsidP="00E1051C">
      <w:pPr>
        <w:pStyle w:val="Heading4"/>
      </w:pPr>
      <w:r w:rsidRPr="00E1051C">
        <w:t xml:space="preserve">Treatment of uncertainty </w:t>
      </w:r>
      <w:r w:rsidR="00004135">
        <w:t xml:space="preserve">in </w:t>
      </w:r>
      <w:r w:rsidR="00D77E93">
        <w:t>determining acceptable clinical and cost-effectiveness</w:t>
      </w:r>
    </w:p>
    <w:p w14:paraId="05914725" w14:textId="42FB4C13" w:rsidR="00174A8E" w:rsidRDefault="00D63811" w:rsidP="00174A8E">
      <w:r>
        <w:t>Uncertainty</w:t>
      </w:r>
      <w:r w:rsidR="00427028">
        <w:t xml:space="preserve"> about</w:t>
      </w:r>
      <w:r>
        <w:t xml:space="preserve"> </w:t>
      </w:r>
      <w:r w:rsidR="00204660">
        <w:t xml:space="preserve">estimates of </w:t>
      </w:r>
      <w:r w:rsidR="00427028">
        <w:t>clinical</w:t>
      </w:r>
      <w:r w:rsidR="00B571DF">
        <w:t xml:space="preserve"> effectiveness</w:t>
      </w:r>
      <w:r w:rsidR="00F079CA">
        <w:t>,</w:t>
      </w:r>
      <w:r w:rsidR="00B571DF">
        <w:t xml:space="preserve"> cost-effectiveness</w:t>
      </w:r>
      <w:r w:rsidR="00F079CA">
        <w:t xml:space="preserve">, </w:t>
      </w:r>
      <w:r w:rsidR="00F27332">
        <w:t>or</w:t>
      </w:r>
      <w:r w:rsidR="00F079CA">
        <w:t xml:space="preserve"> cost</w:t>
      </w:r>
      <w:r w:rsidR="00B571DF">
        <w:t xml:space="preserve"> is often</w:t>
      </w:r>
      <w:r w:rsidR="003636FC">
        <w:t xml:space="preserve"> </w:t>
      </w:r>
      <w:r w:rsidR="00252DC3">
        <w:t xml:space="preserve">cited </w:t>
      </w:r>
      <w:r w:rsidR="003636FC">
        <w:t>a</w:t>
      </w:r>
      <w:r w:rsidR="00252DC3">
        <w:t>s</w:t>
      </w:r>
      <w:r w:rsidR="003636FC">
        <w:t xml:space="preserve"> concern </w:t>
      </w:r>
      <w:r w:rsidR="00252DC3">
        <w:t>in</w:t>
      </w:r>
      <w:r w:rsidR="003636FC">
        <w:t xml:space="preserve"> </w:t>
      </w:r>
      <w:r w:rsidR="00AA7FB4">
        <w:t xml:space="preserve">PBAC and MSAC </w:t>
      </w:r>
      <w:r w:rsidR="00EF2EA4">
        <w:t xml:space="preserve">advice. </w:t>
      </w:r>
      <w:r w:rsidR="00AF068F">
        <w:t>In some circumstances</w:t>
      </w:r>
      <w:r w:rsidR="0030330F">
        <w:t xml:space="preserve">, uncertainty is </w:t>
      </w:r>
      <w:r w:rsidR="00EE3428">
        <w:t>accepted</w:t>
      </w:r>
      <w:r w:rsidR="00DB11FE">
        <w:t>,</w:t>
      </w:r>
      <w:r w:rsidR="00EE3428">
        <w:t xml:space="preserve"> and </w:t>
      </w:r>
      <w:r w:rsidR="00053119">
        <w:t>funding is recommended</w:t>
      </w:r>
      <w:r w:rsidR="00E8354D">
        <w:t>. In other circumstances</w:t>
      </w:r>
      <w:r w:rsidR="005C4E85">
        <w:t>,</w:t>
      </w:r>
      <w:r w:rsidR="00E8354D">
        <w:t xml:space="preserve"> uncertainty is not accepted</w:t>
      </w:r>
      <w:r w:rsidR="00DB11FE">
        <w:t>,</w:t>
      </w:r>
      <w:r w:rsidR="00E8354D">
        <w:t xml:space="preserve"> and </w:t>
      </w:r>
      <w:r w:rsidR="000825F1">
        <w:t xml:space="preserve">sponsors are advised that a </w:t>
      </w:r>
      <w:r w:rsidR="008E3719">
        <w:t xml:space="preserve">resubmission is required </w:t>
      </w:r>
      <w:r w:rsidR="00211BEB">
        <w:t xml:space="preserve">to address </w:t>
      </w:r>
      <w:r w:rsidR="00012F9E">
        <w:t>elements of the submission that create uncertainty.</w:t>
      </w:r>
    </w:p>
    <w:p w14:paraId="1273D8D3" w14:textId="6FB3AB97" w:rsidR="002B56B6" w:rsidRDefault="003E4BEA" w:rsidP="00174A8E">
      <w:r>
        <w:t xml:space="preserve">Often </w:t>
      </w:r>
      <w:r w:rsidR="007E75A0">
        <w:t xml:space="preserve">confidence in </w:t>
      </w:r>
      <w:r w:rsidR="00C9244C">
        <w:t xml:space="preserve">estimates </w:t>
      </w:r>
      <w:r w:rsidR="00204660">
        <w:t>can be</w:t>
      </w:r>
      <w:r w:rsidR="00E728DC">
        <w:t xml:space="preserve"> improved </w:t>
      </w:r>
      <w:r w:rsidR="00391BED">
        <w:t>with changes to approaches used in a submission</w:t>
      </w:r>
      <w:r w:rsidR="00784811">
        <w:t xml:space="preserve">. </w:t>
      </w:r>
      <w:r w:rsidR="005A0223">
        <w:t xml:space="preserve">This </w:t>
      </w:r>
      <w:r w:rsidR="00CF1ABD">
        <w:t xml:space="preserve">relates </w:t>
      </w:r>
      <w:r w:rsidR="005A0223">
        <w:t xml:space="preserve">to </w:t>
      </w:r>
      <w:r w:rsidR="000E7E83">
        <w:t xml:space="preserve">the issue of resubmissions </w:t>
      </w:r>
      <w:r w:rsidR="00D22F82">
        <w:t>in that</w:t>
      </w:r>
      <w:r w:rsidR="00247651">
        <w:t xml:space="preserve"> more optimistic</w:t>
      </w:r>
      <w:r w:rsidR="00D22F82">
        <w:t xml:space="preserve"> assumptions supporting</w:t>
      </w:r>
      <w:r w:rsidR="0017304F">
        <w:t xml:space="preserve"> the cost-effectiveness of</w:t>
      </w:r>
      <w:r w:rsidR="00D22F82">
        <w:t xml:space="preserve"> higher prices </w:t>
      </w:r>
      <w:r w:rsidR="0084039B">
        <w:t>are</w:t>
      </w:r>
      <w:r w:rsidR="007817C2">
        <w:t xml:space="preserve"> often</w:t>
      </w:r>
      <w:r w:rsidR="0084039B">
        <w:t xml:space="preserve"> presented in first submissions</w:t>
      </w:r>
      <w:r w:rsidR="00593028">
        <w:t xml:space="preserve"> </w:t>
      </w:r>
      <w:r w:rsidR="00A12C7B">
        <w:t>and then revised</w:t>
      </w:r>
      <w:r w:rsidR="00356675">
        <w:t xml:space="preserve"> in subsequent submissions.</w:t>
      </w:r>
      <w:r w:rsidR="00C32A1C">
        <w:t xml:space="preserve"> </w:t>
      </w:r>
      <w:r w:rsidR="00B82736">
        <w:t>This is further discussed below in ‘</w:t>
      </w:r>
      <w:r w:rsidR="000C7A62">
        <w:t>Economic evaluation as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rsidR="000C7A62">
        <w:t xml:space="preserve">’. </w:t>
      </w:r>
    </w:p>
    <w:p w14:paraId="62DFAE31" w14:textId="77777777" w:rsidR="00C8570D" w:rsidRDefault="00306EA0" w:rsidP="00174A8E">
      <w:r>
        <w:t>In other circumstances</w:t>
      </w:r>
      <w:r w:rsidR="00917C10">
        <w:t>,</w:t>
      </w:r>
      <w:r>
        <w:t xml:space="preserve"> confidence in estimates cannot be improved due to </w:t>
      </w:r>
      <w:r w:rsidR="00FF164C">
        <w:t xml:space="preserve">deficiencies in the evidence base for certain technologies. </w:t>
      </w:r>
      <w:r w:rsidR="00311ABA">
        <w:t xml:space="preserve">This is </w:t>
      </w:r>
      <w:r w:rsidR="00ED0BD7">
        <w:t>acknowledged</w:t>
      </w:r>
      <w:r w:rsidR="00311ABA">
        <w:t xml:space="preserve"> by </w:t>
      </w:r>
      <w:r w:rsidR="00ED0BD7">
        <w:t xml:space="preserve">HTA </w:t>
      </w:r>
      <w:r w:rsidR="00311ABA">
        <w:t xml:space="preserve">committees in their decision-making </w:t>
      </w:r>
      <w:r w:rsidR="00ED0BD7">
        <w:t xml:space="preserve">and in PBAC and MSAC guidelines. </w:t>
      </w:r>
      <w:r w:rsidR="00E263F4">
        <w:t xml:space="preserve">In these circumstances, committees will recommend approaches to manage this uncertainty after </w:t>
      </w:r>
      <w:r w:rsidR="00841437">
        <w:t>the health technology is funded</w:t>
      </w:r>
      <w:r w:rsidR="003F009A">
        <w:t xml:space="preserve">. </w:t>
      </w:r>
    </w:p>
    <w:p w14:paraId="0B4C3826" w14:textId="77777777" w:rsidR="0026382D" w:rsidRDefault="003F009A" w:rsidP="00174A8E">
      <w:r>
        <w:t>Where there is uncertainty about the extent of use of a health technology</w:t>
      </w:r>
      <w:r w:rsidR="00C8570D">
        <w:t xml:space="preserve">, HTA committees will recommend </w:t>
      </w:r>
      <w:r w:rsidR="00743113">
        <w:t xml:space="preserve">risk-sharing arrangements to manage this uncertainty. </w:t>
      </w:r>
      <w:r w:rsidR="00DA494A">
        <w:t>Such arrangements are frequently used</w:t>
      </w:r>
      <w:r w:rsidR="00890527">
        <w:t xml:space="preserve"> for new health technologies. </w:t>
      </w:r>
    </w:p>
    <w:p w14:paraId="43325DEF" w14:textId="587433FB" w:rsidR="000C7A62" w:rsidRPr="00174A8E" w:rsidRDefault="0026382D" w:rsidP="009D14F6">
      <w:r>
        <w:t xml:space="preserve">Where there is uncertainty about the </w:t>
      </w:r>
      <w:r w:rsidR="007521D0">
        <w:t xml:space="preserve">clinical or cost effectiveness </w:t>
      </w:r>
      <w:r w:rsidR="00ED70F0">
        <w:t xml:space="preserve">of a health </w:t>
      </w:r>
      <w:r w:rsidR="0095009B">
        <w:t>technology, one option for</w:t>
      </w:r>
      <w:r w:rsidR="00750D40">
        <w:t xml:space="preserve"> HTA</w:t>
      </w:r>
      <w:r w:rsidR="0095009B">
        <w:t xml:space="preserve"> committees is to</w:t>
      </w:r>
      <w:r w:rsidR="00750D40">
        <w:t xml:space="preserve"> advise that a </w:t>
      </w:r>
      <w:r w:rsidR="0039747F">
        <w:t>MAP</w:t>
      </w:r>
      <w:r w:rsidR="00A02170">
        <w:t xml:space="preserve"> or other arrangement that allow</w:t>
      </w:r>
      <w:r w:rsidR="00750D40">
        <w:t>s</w:t>
      </w:r>
      <w:r w:rsidR="00A02170">
        <w:t xml:space="preserve"> resolution of uncertainty after funding</w:t>
      </w:r>
      <w:r w:rsidR="00527E9E">
        <w:t xml:space="preserve"> should be implemented</w:t>
      </w:r>
      <w:r w:rsidR="00EA6BBB">
        <w:t xml:space="preserve">. </w:t>
      </w:r>
      <w:r w:rsidR="00B26D75">
        <w:t xml:space="preserve">To date, such arrangements have </w:t>
      </w:r>
      <w:r w:rsidR="007F1F12">
        <w:t>been implemented infrequently and</w:t>
      </w:r>
      <w:r w:rsidR="00EA0285">
        <w:t xml:space="preserve"> only</w:t>
      </w:r>
      <w:r w:rsidR="00B26D75">
        <w:t xml:space="preserve"> </w:t>
      </w:r>
      <w:r w:rsidR="00207EE6">
        <w:t xml:space="preserve">where there are special circumstances of </w:t>
      </w:r>
      <w:r w:rsidR="004E53B9">
        <w:t>HUCN</w:t>
      </w:r>
      <w:r w:rsidR="00D027D9">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fldChar w:fldCharType="end"/>
      </w:r>
      <w:r w:rsidR="00DB11FE">
        <w:t>,</w:t>
      </w:r>
      <w:r w:rsidR="00207EE6">
        <w:t xml:space="preserve"> and </w:t>
      </w:r>
      <w:r w:rsidR="00AF2B4B">
        <w:t>high</w:t>
      </w:r>
      <w:r w:rsidR="00D92AA3">
        <w:t xml:space="preserve"> potential added therapeutic value</w:t>
      </w:r>
      <w:r w:rsidR="000776D1">
        <w:t xml:space="preserve">. </w:t>
      </w:r>
      <w:r w:rsidR="0033028F">
        <w:t>This issue is discussed further in part 4 – managing uncertainty</w:t>
      </w:r>
      <w:r w:rsidR="0077493C">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fldChar w:fldCharType="end"/>
      </w:r>
      <w:r w:rsidR="0033028F">
        <w:t xml:space="preserve">. </w:t>
      </w:r>
    </w:p>
    <w:p w14:paraId="3E60278C" w14:textId="2D0A6757" w:rsidR="00502AC6" w:rsidRPr="00294264" w:rsidRDefault="00502AC6" w:rsidP="009D14F6">
      <w:pPr>
        <w:pStyle w:val="Heading4"/>
      </w:pPr>
      <w:r w:rsidRPr="00294264">
        <w:lastRenderedPageBreak/>
        <w:t>Incorporation of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rsidRPr="00294264">
        <w:t xml:space="preserve"> principles in valuing and</w:t>
      </w:r>
      <w:r w:rsidR="008F3A79">
        <w:t>/</w:t>
      </w:r>
      <w:r w:rsidRPr="00294264">
        <w:t>or decision</w:t>
      </w:r>
      <w:r w:rsidR="008F3A79">
        <w:t>-</w:t>
      </w:r>
      <w:r w:rsidRPr="00294264">
        <w:t>making</w:t>
      </w:r>
    </w:p>
    <w:p w14:paraId="09D9ECAC" w14:textId="6F60E494" w:rsidR="00502AC6" w:rsidRDefault="00502AC6" w:rsidP="00502AC6">
      <w:r>
        <w:t xml:space="preserve">The guidelines for preparing submissions to the PBAC and the MSAC allow for </w:t>
      </w:r>
      <w:r w:rsidR="003C3840">
        <w:t>applicants</w:t>
      </w:r>
      <w:r>
        <w:t xml:space="preserve"> to present arguments that equity</w:t>
      </w:r>
      <w:r w:rsidR="00A67FBB">
        <w:fldChar w:fldCharType="begin"/>
      </w:r>
      <w:r w:rsidR="00A67FBB">
        <w:instrText xml:space="preserve"> XE "</w:instrText>
      </w:r>
      <w:r w:rsidR="00A67FBB" w:rsidRPr="009440D8">
        <w:rPr>
          <w:rFonts w:eastAsia="Times New Roman" w:cs="Segoe UI"/>
          <w:color w:val="222A35"/>
          <w:kern w:val="24"/>
          <w:sz w:val="20"/>
          <w:szCs w:val="20"/>
          <w:lang w:eastAsia="en-AU"/>
        </w:rPr>
        <w:instrText>equity</w:instrText>
      </w:r>
      <w:r w:rsidR="00A67FBB">
        <w:instrText xml:space="preserve">" </w:instrText>
      </w:r>
      <w:r w:rsidR="00A67FBB">
        <w:fldChar w:fldCharType="end"/>
      </w:r>
      <w:r>
        <w:t xml:space="preserve"> principles should be considered when determining whether the cost-effectiveness of a health technology is acceptable. For example</w:t>
      </w:r>
      <w:r w:rsidR="00D92403">
        <w:t>,</w:t>
      </w:r>
      <w:r>
        <w:t xml:space="preserve"> the PBAC guidelines allow </w:t>
      </w:r>
      <w:r w:rsidR="0023728D">
        <w:t>applicant</w:t>
      </w:r>
      <w:r>
        <w:t xml:space="preserve">s to present less readily quantifiable factors, such as matters related to equity, to be considered by the PBAC. Advisory committees consider this information and allow it to influence their decisions about </w:t>
      </w:r>
      <w:proofErr w:type="gramStart"/>
      <w:r>
        <w:t>whether or not</w:t>
      </w:r>
      <w:proofErr w:type="gramEnd"/>
      <w:r>
        <w:t xml:space="preserve"> a health technology should be recommended for funding. </w:t>
      </w:r>
    </w:p>
    <w:p w14:paraId="0859288D" w14:textId="3F89040E" w:rsidR="00502AC6" w:rsidRDefault="00502AC6" w:rsidP="00502AC6">
      <w:r>
        <w:t>While consideration of these factors, and the influence they have on decision</w:t>
      </w:r>
      <w:r w:rsidR="00A36360">
        <w:t>-</w:t>
      </w:r>
      <w:r>
        <w:t xml:space="preserve">making, are documented in public summaries of committee considerations, it can be unclear to stakeholders to what extent they were factored into </w:t>
      </w:r>
      <w:r w:rsidR="00C5054E">
        <w:t xml:space="preserve">the </w:t>
      </w:r>
      <w:r>
        <w:t>decision</w:t>
      </w:r>
      <w:r w:rsidR="00C5054E">
        <w:t>-</w:t>
      </w:r>
      <w:r>
        <w:t xml:space="preserve">making. There is currently no explicit process for consideration of these factors and documentation of this consideration in public summaries. </w:t>
      </w:r>
    </w:p>
    <w:p w14:paraId="36047E98" w14:textId="49DD3C9E" w:rsidR="00502AC6" w:rsidRPr="005B322F" w:rsidRDefault="00502AC6" w:rsidP="008D0050">
      <w:pPr>
        <w:pStyle w:val="Heading4"/>
        <w:rPr>
          <w:i/>
          <w:color w:val="153A6E" w:themeColor="text2"/>
        </w:rPr>
      </w:pPr>
      <w:r w:rsidRPr="005B322F">
        <w:t>Economic evaluation as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p>
    <w:p w14:paraId="6579651C" w14:textId="066D6FC5" w:rsidR="00502AC6" w:rsidRDefault="00502AC6" w:rsidP="00502AC6">
      <w:r>
        <w:t xml:space="preserve">The economic evaluation is the main determinant of the prices agreed between the Government and suppliers for health technologies funded under Australia’s funding and subsidy schemes. Because of this, the economic evaluation has become a proxy for negotiation of prices and other market access conditions. </w:t>
      </w:r>
    </w:p>
    <w:p w14:paraId="7D28BF7B" w14:textId="77777777" w:rsidR="00502AC6" w:rsidRDefault="00502AC6" w:rsidP="00502AC6">
      <w:r>
        <w:t>Suppliers often present prices in economic evaluations for their first submission that are higher than what they will later accept in resubmissions. The cost-effectiveness of these early higher prices is often calculated using assumptions in economic models that are more optimistic than will be accepted by advisory committees.</w:t>
      </w:r>
    </w:p>
    <w:p w14:paraId="1F46C97F" w14:textId="2F659483" w:rsidR="00502AC6" w:rsidRDefault="00502AC6" w:rsidP="00502AC6">
      <w:r>
        <w:t>Advisory committee acceptance of assumptions can also shift through resubmissions. They have</w:t>
      </w:r>
      <w:r w:rsidR="008C0C6F">
        <w:t>,</w:t>
      </w:r>
      <w:r>
        <w:t xml:space="preserve"> in some instances</w:t>
      </w:r>
      <w:r w:rsidR="008C0C6F">
        <w:t>,</w:t>
      </w:r>
      <w:r>
        <w:t xml:space="preserve"> shown a greater willingness to accept uncertainty in subsequent resubmissions than in early submissions.</w:t>
      </w:r>
    </w:p>
    <w:p w14:paraId="79ACD1B1" w14:textId="09EA5F3C" w:rsidR="00502AC6" w:rsidRDefault="00502AC6" w:rsidP="00502AC6">
      <w:r>
        <w:t xml:space="preserve">New health technologies and new indications that are ultimately accepted by advisory committees as offering an improvement in efficacy or reduction in toxicity over all alternatives are almost never recommended for listing on the first submission. These are the health technologies that deliver the greatest improvement to health outcomes and include those that address longstanding unmet clinical needs. </w:t>
      </w:r>
      <w:r w:rsidR="6822BA9C">
        <w:t xml:space="preserve">They are also the </w:t>
      </w:r>
      <w:r w:rsidR="22C675B7">
        <w:t xml:space="preserve">innovative </w:t>
      </w:r>
      <w:r w:rsidR="6822BA9C">
        <w:t xml:space="preserve">technologies </w:t>
      </w:r>
      <w:r w:rsidR="5498C685">
        <w:t>from which</w:t>
      </w:r>
      <w:r w:rsidR="6822BA9C">
        <w:t xml:space="preserve"> sponsors expect to make the highest </w:t>
      </w:r>
      <w:r w:rsidR="66B751D7">
        <w:t xml:space="preserve">levels of </w:t>
      </w:r>
      <w:r w:rsidR="6822BA9C">
        <w:t>earnings</w:t>
      </w:r>
      <w:r w:rsidR="76B431A2">
        <w:t>, with</w:t>
      </w:r>
      <w:r w:rsidR="6822BA9C">
        <w:t xml:space="preserve"> </w:t>
      </w:r>
      <w:r w:rsidR="762D8A8F">
        <w:t>high levels of return on investment.</w:t>
      </w:r>
    </w:p>
    <w:p w14:paraId="75F57B38" w14:textId="653D5E27" w:rsidR="00502AC6" w:rsidRDefault="00502AC6" w:rsidP="00502AC6">
      <w:r>
        <w:t xml:space="preserve">Prior to the introduction of resubmission pathways, a decision to not recommend funding would significantly extend the time it would take for a health technology to be funded. Since their introduction in 2021, resubmission pathways have allowed advisory committees and sponsors to resolve issues </w:t>
      </w:r>
      <w:r w:rsidR="006843C4">
        <w:t>more quickly</w:t>
      </w:r>
      <w:r>
        <w:t xml:space="preserve">. </w:t>
      </w:r>
    </w:p>
    <w:p w14:paraId="6585005D" w14:textId="77777777" w:rsidR="00502AC6" w:rsidRDefault="00502AC6" w:rsidP="00502AC6">
      <w:r>
        <w:lastRenderedPageBreak/>
        <w:t xml:space="preserve">Under current processes, the timeframe to funding remains several months longer for health technologies that are not accepted for funding the first time they are considered by an advisory committee. To address this issue would either require submissions to be acceptable and accepted the first time they are considered or issues to be resolved over a shorter timeframe. </w:t>
      </w:r>
    </w:p>
    <w:p w14:paraId="3A6BD4B7" w14:textId="1938420B" w:rsidR="00502AC6" w:rsidRDefault="00502AC6" w:rsidP="00502AC6">
      <w:r>
        <w:t>We consider that for as long as economic evaluations in HTA have a price setting function, they will always be used as the proxy for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t xml:space="preserve">. </w:t>
      </w:r>
      <w:r w:rsidR="009455E0">
        <w:t>We do not think it is</w:t>
      </w:r>
      <w:r>
        <w:t xml:space="preserve"> realistic to expect that suppliers of health technologies could be compelled to put their best price and most conservative assumptions in their first submission, or that advisory committees should recommend funding irrespective of how optimistic assumptions are or how cost-ineffective initial prices would be. </w:t>
      </w:r>
    </w:p>
    <w:p w14:paraId="55CC3DA8" w14:textId="3EA7C3B6" w:rsidR="00502AC6" w:rsidRDefault="00FF19E4" w:rsidP="00502AC6">
      <w:r>
        <w:t>We consider</w:t>
      </w:r>
      <w:r w:rsidR="00502AC6">
        <w:t xml:space="preserve"> that options that allow for issues to be resolved over a shorter timeframe (see </w:t>
      </w:r>
      <w:hyperlink w:anchor="_Health_technology_funding_2" w:history="1">
        <w:r w:rsidR="0068126E" w:rsidRPr="00D94F23">
          <w:rPr>
            <w:rStyle w:val="Hyperlink"/>
          </w:rPr>
          <w:t>section</w:t>
        </w:r>
        <w:r w:rsidR="00502AC6" w:rsidRPr="00D94F23">
          <w:rPr>
            <w:rStyle w:val="Hyperlink"/>
          </w:rPr>
          <w:t xml:space="preserve"> </w:t>
        </w:r>
        <w:r w:rsidR="00FE63B7" w:rsidRPr="00D94F23">
          <w:rPr>
            <w:rStyle w:val="Hyperlink"/>
          </w:rPr>
          <w:t>2</w:t>
        </w:r>
      </w:hyperlink>
      <w:r w:rsidR="00502AC6">
        <w:t xml:space="preserve">) or for uncertainty to be effectively managed after funding (see </w:t>
      </w:r>
      <w:hyperlink w:anchor="_Health_Technology_Funding_1" w:history="1">
        <w:r w:rsidR="0068126E" w:rsidRPr="00B71559">
          <w:rPr>
            <w:rStyle w:val="Hyperlink"/>
          </w:rPr>
          <w:t>section</w:t>
        </w:r>
        <w:r w:rsidR="00FE63B7" w:rsidRPr="00B71559">
          <w:rPr>
            <w:rStyle w:val="Hyperlink"/>
          </w:rPr>
          <w:t xml:space="preserve"> 4</w:t>
        </w:r>
      </w:hyperlink>
      <w:r w:rsidR="00502AC6">
        <w:t>) are more feasible than options that would force the supplier or funder to accept funding conditions that they would otherwise consider unacceptable.</w:t>
      </w:r>
    </w:p>
    <w:p w14:paraId="4AA8F351" w14:textId="7E51F6B9" w:rsidR="004E65F6" w:rsidRPr="006647C5" w:rsidRDefault="004E65F6" w:rsidP="00522C33">
      <w:pPr>
        <w:pStyle w:val="Heading3"/>
      </w:pPr>
      <w:bookmarkStart w:id="181" w:name="_Toc157029098"/>
      <w:r w:rsidRPr="006647C5">
        <w:t>Options</w:t>
      </w:r>
      <w:bookmarkEnd w:id="181"/>
    </w:p>
    <w:p w14:paraId="5791D563" w14:textId="7A3804DC" w:rsidR="00EB3DC6" w:rsidRPr="00EB3DC6" w:rsidRDefault="00EB3DC6" w:rsidP="00EB3DC6">
      <w:r>
        <w:t xml:space="preserve">Many of the issues </w:t>
      </w:r>
      <w:r w:rsidR="00D11A30">
        <w:t>identified in relation to economic evaluations</w:t>
      </w:r>
      <w:r w:rsidR="00C17AAC">
        <w:t xml:space="preserve"> </w:t>
      </w:r>
      <w:r w:rsidR="00580D03">
        <w:t>(</w:t>
      </w:r>
      <w:proofErr w:type="gramStart"/>
      <w:r w:rsidR="006A48DA">
        <w:t>e.g.</w:t>
      </w:r>
      <w:proofErr w:type="gramEnd"/>
      <w:r w:rsidR="00C17AAC">
        <w:t xml:space="preserve"> recognition of</w:t>
      </w:r>
      <w:r w:rsidR="00580D03">
        <w:t xml:space="preserve"> </w:t>
      </w:r>
      <w:r w:rsidR="00580D03" w:rsidRPr="000E7B66">
        <w:t>elements beyond clinical effectiveness, cost-effectiveness, and financial impact</w:t>
      </w:r>
      <w:r w:rsidR="00711027">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fldChar w:fldCharType="end"/>
      </w:r>
      <w:r w:rsidR="00580D03" w:rsidRPr="000E7B66">
        <w:t>)</w:t>
      </w:r>
      <w:r w:rsidR="00C17AAC">
        <w:t xml:space="preserve"> </w:t>
      </w:r>
      <w:r w:rsidR="00582F54">
        <w:t>are addressed in other areas of this document. The</w:t>
      </w:r>
      <w:r w:rsidR="00141A21">
        <w:t xml:space="preserve"> following</w:t>
      </w:r>
      <w:r w:rsidR="00582F54">
        <w:t xml:space="preserve"> options focus on </w:t>
      </w:r>
      <w:r w:rsidR="0088046B">
        <w:t xml:space="preserve">issues raised in relation to </w:t>
      </w:r>
      <w:r w:rsidR="00D4733C">
        <w:t>how the economic evaluation</w:t>
      </w:r>
      <w:r w:rsidR="00141A21">
        <w:t xml:space="preserve"> estimates</w:t>
      </w:r>
      <w:r w:rsidR="00D4733C">
        <w:t xml:space="preserve"> </w:t>
      </w:r>
      <w:r w:rsidR="00141A21">
        <w:t xml:space="preserve">the </w:t>
      </w:r>
      <w:r w:rsidR="00D4733C">
        <w:t>value</w:t>
      </w:r>
      <w:r w:rsidR="00141A21">
        <w:t xml:space="preserve"> for money of</w:t>
      </w:r>
      <w:r w:rsidR="00D4733C">
        <w:t xml:space="preserve"> health technologies. </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E06418" w14:paraId="6F77CD99" w14:textId="77777777" w:rsidTr="00010679">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A4BB4F2" w14:textId="4E00BE37" w:rsidR="00E06418" w:rsidRPr="00613D35" w:rsidRDefault="00E06418" w:rsidP="00F753C1">
            <w:pPr>
              <w:spacing w:after="120" w:line="259" w:lineRule="auto"/>
              <w:rPr>
                <w:rFonts w:eastAsia="Times New Roman" w:cs="Segoe UI"/>
                <w:b/>
                <w:bCs/>
                <w:lang w:eastAsia="en-AU"/>
              </w:rPr>
            </w:pPr>
            <w:r>
              <w:rPr>
                <w:rFonts w:eastAsia="Times New Roman" w:cs="Segoe UI"/>
                <w:b/>
                <w:bCs/>
                <w:lang w:eastAsia="en-AU"/>
              </w:rPr>
              <w:t>Selection of the comparator</w:t>
            </w:r>
          </w:p>
          <w:p w14:paraId="4555A240" w14:textId="77777777" w:rsidR="00117ED1" w:rsidRPr="006732A5" w:rsidRDefault="00117ED1" w:rsidP="008505D7">
            <w:pPr>
              <w:numPr>
                <w:ilvl w:val="0"/>
                <w:numId w:val="102"/>
              </w:numPr>
              <w:spacing w:line="259" w:lineRule="auto"/>
              <w:rPr>
                <w:rFonts w:eastAsia="Times New Roman" w:cs="Segoe UI"/>
                <w:lang w:eastAsia="en-AU"/>
              </w:rPr>
            </w:pPr>
            <w:r w:rsidRPr="006732A5">
              <w:rPr>
                <w:rFonts w:eastAsia="Times New Roman" w:cs="Segoe UI"/>
                <w:lang w:eastAsia="en-AU"/>
              </w:rPr>
              <w:t>Develop guidelines to distinguish between the selection of comparator</w:t>
            </w:r>
            <w:r w:rsidRPr="006732A5">
              <w:rPr>
                <w:rFonts w:eastAsia="Times New Roman" w:cs="Segoe UI"/>
                <w:lang w:eastAsia="en-AU"/>
              </w:rPr>
              <w:fldChar w:fldCharType="begin"/>
            </w:r>
            <w:r w:rsidRPr="006732A5">
              <w:rPr>
                <w:rFonts w:eastAsia="Times New Roman" w:cs="Segoe UI"/>
                <w:lang w:eastAsia="en-AU"/>
              </w:rPr>
              <w:instrText xml:space="preserve"> XE "selection of comparator" \b </w:instrText>
            </w:r>
            <w:r w:rsidRPr="006732A5">
              <w:rPr>
                <w:rFonts w:eastAsia="Times New Roman" w:cs="Segoe UI"/>
                <w:lang w:eastAsia="en-AU"/>
              </w:rPr>
              <w:fldChar w:fldCharType="end"/>
            </w:r>
            <w:r w:rsidRPr="006732A5">
              <w:rPr>
                <w:rFonts w:eastAsia="Times New Roman" w:cs="Segoe UI"/>
                <w:lang w:eastAsia="en-AU"/>
              </w:rPr>
              <w:t xml:space="preserve"> for submissions claiming superiority and to submissions claiming non-inferiority to make clear which comparator should be selected when there are multiple potential comparators. </w:t>
            </w:r>
          </w:p>
          <w:p w14:paraId="1740BD7A" w14:textId="77777777" w:rsidR="0089475B" w:rsidRPr="006732A5" w:rsidRDefault="0089475B" w:rsidP="0089475B">
            <w:pPr>
              <w:spacing w:line="259" w:lineRule="auto"/>
              <w:ind w:left="360"/>
              <w:rPr>
                <w:rFonts w:eastAsia="Times New Roman" w:cs="Segoe UI"/>
                <w:lang w:eastAsia="en-AU"/>
              </w:rPr>
            </w:pPr>
          </w:p>
          <w:p w14:paraId="013E3C68" w14:textId="7A7F33EE" w:rsidR="00117ED1" w:rsidRDefault="00117ED1" w:rsidP="00F753C1">
            <w:pPr>
              <w:spacing w:line="259" w:lineRule="auto"/>
              <w:ind w:left="360"/>
              <w:rPr>
                <w:rFonts w:eastAsia="Times New Roman" w:cs="Segoe UI"/>
                <w:color w:val="1D437F" w:themeColor="accent1"/>
                <w:u w:val="single"/>
                <w:lang w:eastAsia="en-AU"/>
              </w:rPr>
            </w:pPr>
            <w:r w:rsidRPr="00F972CA">
              <w:rPr>
                <w:rFonts w:eastAsia="Times New Roman" w:cs="Segoe UI"/>
                <w:lang w:eastAsia="en-AU"/>
              </w:rPr>
              <w:t>Refer:</w:t>
            </w:r>
            <w:r w:rsidRPr="00F22048">
              <w:rPr>
                <w:rFonts w:eastAsia="Times New Roman" w:cs="Segoe UI"/>
                <w:sz w:val="20"/>
                <w:szCs w:val="20"/>
                <w:lang w:eastAsia="en-AU"/>
              </w:rPr>
              <w:t xml:space="preserve"> </w:t>
            </w:r>
            <w:r w:rsidRPr="00F972CA">
              <w:rPr>
                <w:rFonts w:eastAsia="Times New Roman" w:cs="Segoe UI"/>
                <w:color w:val="1D437F" w:themeColor="accent1"/>
                <w:u w:val="single"/>
                <w:lang w:eastAsia="en-AU"/>
              </w:rPr>
              <w:fldChar w:fldCharType="begin"/>
            </w:r>
            <w:r w:rsidRPr="00F972CA">
              <w:rPr>
                <w:rFonts w:eastAsia="Times New Roman" w:cs="Segoe UI"/>
                <w:color w:val="1D437F" w:themeColor="accent1"/>
                <w:u w:val="single"/>
                <w:lang w:eastAsia="en-AU"/>
              </w:rPr>
              <w:instrText xml:space="preserve"> REF _Ref156833982 \h  \* MERGEFORMAT </w:instrText>
            </w:r>
            <w:r w:rsidRPr="00F972CA">
              <w:rPr>
                <w:rFonts w:eastAsia="Times New Roman" w:cs="Segoe UI"/>
                <w:color w:val="1D437F" w:themeColor="accent1"/>
                <w:u w:val="single"/>
                <w:lang w:eastAsia="en-AU"/>
              </w:rPr>
            </w:r>
            <w:r w:rsidRPr="00F972CA">
              <w:rPr>
                <w:rFonts w:eastAsia="Times New Roman" w:cs="Segoe UI"/>
                <w:color w:val="1D437F" w:themeColor="accent1"/>
                <w:u w:val="single"/>
                <w:lang w:eastAsia="en-AU"/>
              </w:rPr>
              <w:fldChar w:fldCharType="separate"/>
            </w:r>
            <w:r w:rsidR="00474ED6" w:rsidRPr="00474ED6">
              <w:rPr>
                <w:color w:val="1D437F" w:themeColor="accent1"/>
                <w:u w:val="single"/>
                <w:lang w:eastAsia="en-AU"/>
              </w:rPr>
              <w:t xml:space="preserve">The operation of section 101(3B) of the </w:t>
            </w:r>
            <w:r w:rsidR="00474ED6" w:rsidRPr="00474ED6">
              <w:rPr>
                <w:i/>
                <w:color w:val="1D437F" w:themeColor="accent1"/>
                <w:u w:val="single"/>
                <w:lang w:eastAsia="en-AU"/>
              </w:rPr>
              <w:t>National Health Act 1953</w:t>
            </w:r>
            <w:r w:rsidR="00474ED6" w:rsidRPr="00474ED6">
              <w:rPr>
                <w:color w:val="1D437F" w:themeColor="accent1"/>
                <w:u w:val="single"/>
                <w:lang w:eastAsia="en-AU"/>
              </w:rPr>
              <w:t xml:space="preserve"> – the selection of the comparator</w:t>
            </w:r>
            <w:r w:rsidRPr="00F972CA">
              <w:rPr>
                <w:rFonts w:eastAsia="Times New Roman" w:cs="Segoe UI"/>
                <w:color w:val="1D437F" w:themeColor="accent1"/>
                <w:u w:val="single"/>
                <w:lang w:eastAsia="en-AU"/>
              </w:rPr>
              <w:fldChar w:fldCharType="end"/>
            </w:r>
          </w:p>
          <w:p w14:paraId="3ADB025A" w14:textId="77777777" w:rsidR="00265CE4" w:rsidRPr="00BA7428" w:rsidRDefault="00265CE4" w:rsidP="008C10BB">
            <w:pPr>
              <w:spacing w:line="259" w:lineRule="auto"/>
              <w:ind w:left="360"/>
              <w:rPr>
                <w:rFonts w:eastAsia="Times New Roman" w:cs="Segoe UI"/>
                <w:sz w:val="20"/>
                <w:szCs w:val="20"/>
                <w:lang w:eastAsia="en-AU"/>
              </w:rPr>
            </w:pPr>
          </w:p>
          <w:p w14:paraId="4BA01C60" w14:textId="38C187EF" w:rsidR="00117ED1" w:rsidRPr="001609FC" w:rsidRDefault="00117ED1" w:rsidP="008505D7">
            <w:pPr>
              <w:numPr>
                <w:ilvl w:val="0"/>
                <w:numId w:val="102"/>
              </w:numPr>
              <w:spacing w:line="259" w:lineRule="auto"/>
              <w:rPr>
                <w:sz w:val="20"/>
                <w:szCs w:val="20"/>
              </w:rPr>
            </w:pPr>
            <w:r w:rsidRPr="006732A5">
              <w:rPr>
                <w:rFonts w:eastAsia="Times New Roman" w:cs="Segoe UI"/>
                <w:lang w:eastAsia="en-AU"/>
              </w:rPr>
              <w:t>In line other options included to calibrate the methods and level of appraisal to the level of risk and clinical need / benefit of submissions, investigate situations where it may be appropriate to move away from the current method</w:t>
            </w:r>
            <w:r w:rsidRPr="006732A5">
              <w:t xml:space="preserve">/s used in the application of </w:t>
            </w:r>
            <w:r w:rsidR="003F5DF9">
              <w:t>the above</w:t>
            </w:r>
            <w:r w:rsidRPr="006732A5">
              <w:t xml:space="preserve"> interpretation:</w:t>
            </w:r>
          </w:p>
          <w:p w14:paraId="586D6A5D" w14:textId="77777777" w:rsidR="00117ED1" w:rsidRPr="006732A5" w:rsidRDefault="00117ED1" w:rsidP="008505D7">
            <w:pPr>
              <w:pStyle w:val="ListParagraph"/>
              <w:numPr>
                <w:ilvl w:val="0"/>
                <w:numId w:val="103"/>
              </w:numPr>
              <w:spacing w:line="259" w:lineRule="auto"/>
              <w:ind w:left="782" w:hanging="425"/>
              <w:rPr>
                <w:rFonts w:eastAsia="Times New Roman" w:cs="Segoe UI"/>
                <w:color w:val="222A35"/>
                <w:kern w:val="24"/>
                <w:lang w:eastAsia="en-AU"/>
              </w:rPr>
            </w:pPr>
            <w:r w:rsidRPr="006732A5">
              <w:rPr>
                <w:rFonts w:eastAsia="Times New Roman" w:cs="Segoe UI"/>
                <w:color w:val="222A35"/>
                <w:kern w:val="24"/>
                <w:lang w:eastAsia="en-AU"/>
              </w:rPr>
              <w:t xml:space="preserve">This could include a mechanism to differentiate different type of cost-minimisation submissions based on their proportional benefit. </w:t>
            </w:r>
          </w:p>
          <w:p w14:paraId="01E43E4F" w14:textId="2FA6F084" w:rsidR="00952DD5" w:rsidRPr="006732A5" w:rsidRDefault="00117ED1" w:rsidP="008505D7">
            <w:pPr>
              <w:pStyle w:val="ListParagraph"/>
              <w:numPr>
                <w:ilvl w:val="0"/>
                <w:numId w:val="103"/>
              </w:numPr>
              <w:spacing w:after="160" w:line="259" w:lineRule="auto"/>
              <w:ind w:left="782" w:hanging="425"/>
              <w:rPr>
                <w:rFonts w:eastAsia="Times New Roman" w:cs="Segoe UI"/>
                <w:color w:val="222A35"/>
                <w:kern w:val="24"/>
                <w:lang w:eastAsia="en-AU"/>
              </w:rPr>
            </w:pPr>
            <w:r w:rsidRPr="006732A5">
              <w:rPr>
                <w:rFonts w:eastAsia="Times New Roman" w:cs="Segoe UI"/>
                <w:color w:val="222A35"/>
                <w:kern w:val="24"/>
                <w:lang w:eastAsia="en-AU"/>
              </w:rPr>
              <w:lastRenderedPageBreak/>
              <w:t xml:space="preserve">Any alternative consideration would require explicit consideration of the opportunity cost and budget implications relative to the base case of the status quo. </w:t>
            </w:r>
          </w:p>
          <w:p w14:paraId="5E22933F" w14:textId="4B764142" w:rsidR="00E06418" w:rsidRPr="006732A5" w:rsidRDefault="00B3129D" w:rsidP="00F753C1">
            <w:pPr>
              <w:spacing w:line="259" w:lineRule="auto"/>
              <w:rPr>
                <w:rFonts w:eastAsia="Times New Roman" w:cs="Segoe UI"/>
                <w:lang w:eastAsia="en-AU"/>
              </w:rPr>
            </w:pPr>
            <w:r w:rsidRPr="00B3129D">
              <w:rPr>
                <w:i/>
              </w:rPr>
              <w:t>Note: These considerations will include downstream consequences for budget impacts noting that Australia does not have policies that encourage the use of older medicines that remain as comparatively effective and safe as more recently listed alternatives and have lower prices. This results in a market share erosion of older, lower priced medicines.</w:t>
            </w:r>
          </w:p>
        </w:tc>
      </w:tr>
    </w:tbl>
    <w:p w14:paraId="1374B33F" w14:textId="77777777" w:rsidR="00794FA6" w:rsidRPr="008D7173" w:rsidRDefault="00794FA6" w:rsidP="00FE400C">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77098" w14:paraId="3B4DBF52" w14:textId="77777777" w:rsidTr="00010679">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474EC697" w14:textId="5890725C" w:rsidR="00A77098" w:rsidRPr="00613D35" w:rsidRDefault="0039644C" w:rsidP="008C10BB">
            <w:pPr>
              <w:spacing w:after="120" w:line="259" w:lineRule="auto"/>
              <w:rPr>
                <w:rFonts w:eastAsia="Times New Roman" w:cs="Segoe UI"/>
                <w:b/>
                <w:bCs/>
                <w:lang w:eastAsia="en-AU"/>
              </w:rPr>
            </w:pPr>
            <w:r>
              <w:rPr>
                <w:rFonts w:eastAsia="Times New Roman" w:cs="Segoe UI"/>
                <w:b/>
                <w:bCs/>
                <w:lang w:eastAsia="en-AU"/>
              </w:rPr>
              <w:t>Valuing of long-term benefits</w:t>
            </w:r>
          </w:p>
          <w:p w14:paraId="243C532D" w14:textId="77777777" w:rsidR="00A77098" w:rsidRPr="006732A5" w:rsidRDefault="00A77098" w:rsidP="006732A5">
            <w:pPr>
              <w:spacing w:after="160" w:line="259" w:lineRule="auto"/>
            </w:pPr>
            <w:r w:rsidRPr="006732A5">
              <w:t xml:space="preserve">Noting the PBAC’s July 2022 recommendation as follows: </w:t>
            </w:r>
          </w:p>
          <w:p w14:paraId="3DCEE684" w14:textId="3C030F85" w:rsidR="00A77098" w:rsidRPr="006732A5" w:rsidRDefault="00A77098" w:rsidP="006732A5">
            <w:pPr>
              <w:spacing w:after="160" w:line="259" w:lineRule="auto"/>
              <w:rPr>
                <w:i/>
                <w:iCs/>
              </w:rPr>
            </w:pPr>
            <w:r w:rsidRPr="006732A5">
              <w:rPr>
                <w:i/>
                <w:iCs/>
              </w:rPr>
              <w:t>“The PBAC did not recommend a stand-alone change to the base-case discount rate</w:t>
            </w:r>
            <w:r w:rsidRPr="006732A5">
              <w:rPr>
                <w:i/>
                <w:iCs/>
              </w:rPr>
              <w:fldChar w:fldCharType="begin"/>
            </w:r>
            <w:r w:rsidRPr="006732A5">
              <w:rPr>
                <w:i/>
                <w:iCs/>
              </w:rPr>
              <w:instrText xml:space="preserve"> XE "discount rate" \b </w:instrText>
            </w:r>
            <w:r w:rsidRPr="006732A5">
              <w:rPr>
                <w:i/>
                <w:iCs/>
              </w:rPr>
              <w:fldChar w:fldCharType="end"/>
            </w:r>
            <w:r w:rsidRPr="006732A5">
              <w:rPr>
                <w:i/>
                <w:iCs/>
              </w:rPr>
              <w:t xml:space="preserve"> in its Guidelines. The PBAC recommended that, given the range of factors, in addition to the discount rate, that contribute to the assessed value of a medicine or vaccine, any policy decision on a general reduction in the standard base-case discount rate for health interventions should be assessed alongside other relevant factors in decision making as part of the broader HTA review.</w:t>
            </w:r>
          </w:p>
          <w:p w14:paraId="2C357290" w14:textId="77777777" w:rsidR="00A77098" w:rsidRPr="006732A5" w:rsidRDefault="00A77098" w:rsidP="006732A5">
            <w:pPr>
              <w:spacing w:after="160" w:line="259" w:lineRule="auto"/>
              <w:rPr>
                <w:i/>
                <w:iCs/>
              </w:rPr>
            </w:pPr>
            <w:r w:rsidRPr="006732A5">
              <w:rPr>
                <w:i/>
                <w:iCs/>
              </w:rPr>
              <w:t>The PBAC recommended that should the Government make a broader policy decision to change the standard base-case discount rate</w:t>
            </w:r>
            <w:r w:rsidRPr="006732A5">
              <w:rPr>
                <w:i/>
                <w:iCs/>
              </w:rPr>
              <w:fldChar w:fldCharType="begin"/>
            </w:r>
            <w:r w:rsidRPr="006732A5">
              <w:rPr>
                <w:i/>
                <w:iCs/>
              </w:rPr>
              <w:instrText xml:space="preserve"> XE "discount rate" \b </w:instrText>
            </w:r>
            <w:r w:rsidRPr="006732A5">
              <w:rPr>
                <w:i/>
                <w:iCs/>
              </w:rPr>
              <w:fldChar w:fldCharType="end"/>
            </w:r>
            <w:r w:rsidRPr="006732A5">
              <w:rPr>
                <w:i/>
                <w:iCs/>
              </w:rPr>
              <w:t xml:space="preserve"> for economic evaluations of health interventions after considering cross-portfolio implications and the HTA Review:</w:t>
            </w:r>
          </w:p>
          <w:p w14:paraId="1978BF21" w14:textId="77777777" w:rsidR="00A77098" w:rsidRPr="006732A5" w:rsidRDefault="00A77098" w:rsidP="008505D7">
            <w:pPr>
              <w:pStyle w:val="ListParagraph"/>
              <w:numPr>
                <w:ilvl w:val="0"/>
                <w:numId w:val="104"/>
              </w:numPr>
              <w:spacing w:line="259" w:lineRule="auto"/>
              <w:rPr>
                <w:i/>
                <w:iCs/>
              </w:rPr>
            </w:pPr>
            <w:r w:rsidRPr="006732A5">
              <w:rPr>
                <w:i/>
                <w:iCs/>
              </w:rPr>
              <w:t>the base-case discount rate</w:t>
            </w:r>
            <w:r w:rsidRPr="006732A5">
              <w:rPr>
                <w:i/>
                <w:iCs/>
              </w:rPr>
              <w:fldChar w:fldCharType="begin"/>
            </w:r>
            <w:r w:rsidRPr="006732A5">
              <w:rPr>
                <w:i/>
                <w:iCs/>
              </w:rPr>
              <w:instrText xml:space="preserve"> XE "discount rate" \b </w:instrText>
            </w:r>
            <w:r w:rsidRPr="006732A5">
              <w:rPr>
                <w:i/>
                <w:iCs/>
              </w:rPr>
              <w:fldChar w:fldCharType="end"/>
            </w:r>
            <w:r w:rsidRPr="006732A5">
              <w:rPr>
                <w:i/>
                <w:iCs/>
              </w:rPr>
              <w:t xml:space="preserve"> should be no lower than 3.5% - 4% per </w:t>
            </w:r>
            <w:proofErr w:type="gramStart"/>
            <w:r w:rsidRPr="006732A5">
              <w:rPr>
                <w:i/>
                <w:iCs/>
              </w:rPr>
              <w:t>year</w:t>
            </w:r>
            <w:proofErr w:type="gramEnd"/>
          </w:p>
          <w:p w14:paraId="48490D09" w14:textId="77777777" w:rsidR="00A77098" w:rsidRPr="006732A5" w:rsidRDefault="00A77098" w:rsidP="008505D7">
            <w:pPr>
              <w:pStyle w:val="ListParagraph"/>
              <w:numPr>
                <w:ilvl w:val="0"/>
                <w:numId w:val="104"/>
              </w:numPr>
              <w:spacing w:line="259" w:lineRule="auto"/>
              <w:rPr>
                <w:i/>
                <w:iCs/>
              </w:rPr>
            </w:pPr>
            <w:r w:rsidRPr="006732A5">
              <w:rPr>
                <w:i/>
                <w:iCs/>
              </w:rPr>
              <w:t xml:space="preserve">approaches for evaluating economic uncertainty arising from value attributed to future and extrapolated benefits be adjusted to ensure the uncertainty of future costs and benefits is fully captured and considered in decision </w:t>
            </w:r>
            <w:proofErr w:type="gramStart"/>
            <w:r w:rsidRPr="006732A5">
              <w:rPr>
                <w:i/>
                <w:iCs/>
              </w:rPr>
              <w:t>making</w:t>
            </w:r>
            <w:proofErr w:type="gramEnd"/>
          </w:p>
          <w:p w14:paraId="3585E704" w14:textId="77777777" w:rsidR="00A77098" w:rsidRPr="006732A5" w:rsidRDefault="00A77098" w:rsidP="008505D7">
            <w:pPr>
              <w:pStyle w:val="ListParagraph"/>
              <w:numPr>
                <w:ilvl w:val="0"/>
                <w:numId w:val="104"/>
              </w:numPr>
              <w:spacing w:line="259" w:lineRule="auto"/>
              <w:rPr>
                <w:i/>
                <w:iCs/>
              </w:rPr>
            </w:pPr>
            <w:r w:rsidRPr="006732A5">
              <w:rPr>
                <w:i/>
                <w:iCs/>
              </w:rPr>
              <w:t xml:space="preserve">equal discount rates for costs and health outcomes should be maintained, consistent with most common international </w:t>
            </w:r>
            <w:proofErr w:type="gramStart"/>
            <w:r w:rsidRPr="006732A5">
              <w:rPr>
                <w:i/>
                <w:iCs/>
              </w:rPr>
              <w:t>practice</w:t>
            </w:r>
            <w:proofErr w:type="gramEnd"/>
          </w:p>
          <w:p w14:paraId="6CFC48A3" w14:textId="7DB988B5" w:rsidR="00A77098" w:rsidRPr="006732A5" w:rsidRDefault="00A77098" w:rsidP="008505D7">
            <w:pPr>
              <w:pStyle w:val="ListParagraph"/>
              <w:numPr>
                <w:ilvl w:val="0"/>
                <w:numId w:val="104"/>
              </w:numPr>
              <w:spacing w:line="259" w:lineRule="auto"/>
              <w:rPr>
                <w:i/>
                <w:iCs/>
              </w:rPr>
            </w:pPr>
            <w:r w:rsidRPr="006732A5">
              <w:rPr>
                <w:i/>
                <w:iCs/>
              </w:rPr>
              <w:t>a mandatory 5% discount rate</w:t>
            </w:r>
            <w:r w:rsidRPr="006732A5">
              <w:rPr>
                <w:i/>
                <w:iCs/>
              </w:rPr>
              <w:fldChar w:fldCharType="begin"/>
            </w:r>
            <w:r w:rsidRPr="006732A5">
              <w:rPr>
                <w:i/>
                <w:iCs/>
              </w:rPr>
              <w:instrText xml:space="preserve"> XE "discount rate" \b </w:instrText>
            </w:r>
            <w:r w:rsidRPr="006732A5">
              <w:rPr>
                <w:i/>
                <w:iCs/>
              </w:rPr>
              <w:fldChar w:fldCharType="end"/>
            </w:r>
            <w:r w:rsidRPr="006732A5">
              <w:rPr>
                <w:i/>
                <w:iCs/>
              </w:rPr>
              <w:t xml:space="preserve"> sensitivity analysis would need to be conducted for purpose of being explicit about the impact on opportunity cost and budget, and to ensure consistency with prior decisions by allowing advisory committees to compare ICERs for new listing requests with previously considered items based</w:t>
            </w:r>
            <w:r w:rsidR="000074F4" w:rsidRPr="006732A5">
              <w:rPr>
                <w:i/>
                <w:iCs/>
              </w:rPr>
              <w:t>”.</w:t>
            </w:r>
          </w:p>
          <w:p w14:paraId="257B7A4C" w14:textId="77777777" w:rsidR="00A77098" w:rsidRPr="006732A5" w:rsidRDefault="00A77098" w:rsidP="008C10BB">
            <w:pPr>
              <w:spacing w:line="259" w:lineRule="auto"/>
            </w:pPr>
          </w:p>
          <w:p w14:paraId="0D0F6A70" w14:textId="0759487B" w:rsidR="00A77098" w:rsidRPr="00A77098" w:rsidRDefault="00A77098" w:rsidP="006732A5">
            <w:pPr>
              <w:spacing w:after="160" w:line="259" w:lineRule="auto"/>
            </w:pPr>
            <w:r w:rsidRPr="006732A5">
              <w:t>Develop modelling of the aggregate impact of the HTA Review recommendations and include different scenarios of varying the discount rate</w:t>
            </w:r>
            <w:r w:rsidRPr="006732A5">
              <w:fldChar w:fldCharType="begin"/>
            </w:r>
            <w:r w:rsidRPr="00A77098">
              <w:instrText xml:space="preserve"> XE "</w:instrText>
            </w:r>
            <w:r w:rsidRPr="006732A5">
              <w:instrText>discount rate</w:instrText>
            </w:r>
            <w:r w:rsidRPr="00A77098">
              <w:instrText xml:space="preserve">" \b </w:instrText>
            </w:r>
            <w:r w:rsidRPr="006732A5">
              <w:fldChar w:fldCharType="end"/>
            </w:r>
            <w:r w:rsidRPr="006732A5">
              <w:t xml:space="preserve"> for various different technologies (in particular health technologies including those that have high upfront costs and benefits that accrue over a long period of time such as </w:t>
            </w:r>
            <w:r w:rsidRPr="006732A5">
              <w:lastRenderedPageBreak/>
              <w:t>vaccines</w:t>
            </w:r>
            <w:r w:rsidRPr="006732A5">
              <w:fldChar w:fldCharType="begin"/>
            </w:r>
            <w:r w:rsidRPr="00A77098">
              <w:instrText xml:space="preserve"> XE "vaccines" \b </w:instrText>
            </w:r>
            <w:r w:rsidRPr="006732A5">
              <w:fldChar w:fldCharType="end"/>
            </w:r>
            <w:r w:rsidRPr="006732A5">
              <w:t xml:space="preserve"> and gene therapies) to inform further </w:t>
            </w:r>
            <w:r w:rsidR="007E2123">
              <w:t xml:space="preserve">Government </w:t>
            </w:r>
            <w:r w:rsidRPr="006732A5">
              <w:t>consideration of any changes to the discount rate. Noting that there are circumstances where it may be reasonable to have an alternative (lower) discount rate for some therapies.</w:t>
            </w:r>
          </w:p>
          <w:p w14:paraId="016FDBBE" w14:textId="23730057" w:rsidR="00A77098" w:rsidRPr="00837CDF" w:rsidRDefault="00A77098" w:rsidP="006732A5">
            <w:pPr>
              <w:spacing w:after="160" w:line="259" w:lineRule="auto"/>
              <w:rPr>
                <w:rFonts w:eastAsia="Times New Roman" w:cs="Segoe UI"/>
                <w:lang w:eastAsia="en-AU"/>
              </w:rPr>
            </w:pPr>
            <w:r w:rsidRPr="006732A5">
              <w:t xml:space="preserve">Measurement outcomes of the modelling should include overarching impacts to the budget and consider changes to variables such as the ICER that may require adjustment </w:t>
            </w:r>
            <w:proofErr w:type="gramStart"/>
            <w:r w:rsidRPr="006732A5">
              <w:t>as a result of</w:t>
            </w:r>
            <w:proofErr w:type="gramEnd"/>
            <w:r w:rsidRPr="006732A5">
              <w:t xml:space="preserve"> any considered change to the base case discount rate</w:t>
            </w:r>
            <w:r w:rsidRPr="006732A5">
              <w:fldChar w:fldCharType="begin"/>
            </w:r>
            <w:r w:rsidRPr="006732A5">
              <w:instrText xml:space="preserve"> XE "discount rate" \b </w:instrText>
            </w:r>
            <w:r w:rsidRPr="006732A5">
              <w:fldChar w:fldCharType="end"/>
            </w:r>
            <w:r w:rsidRPr="006732A5">
              <w:t>. Additionally, this should include explicit consideration of the opportunity cost and budget impacts for any change relative to the status quo and the opportunity cost of medicines lost or not listed?</w:t>
            </w:r>
          </w:p>
        </w:tc>
      </w:tr>
    </w:tbl>
    <w:p w14:paraId="622CED1F" w14:textId="77777777" w:rsidR="00335B34" w:rsidRDefault="00335B34" w:rsidP="0049337D">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EA6E9F" w14:paraId="7DC77C0C" w14:textId="77777777" w:rsidTr="00010679">
        <w:trPr>
          <w:trHeight w:val="738"/>
        </w:trPr>
        <w:tc>
          <w:tcPr>
            <w:tcW w:w="9367" w:type="dxa"/>
            <w:tcBorders>
              <w:top w:val="single" w:sz="18" w:space="0" w:color="ACC02A" w:themeColor="accent5"/>
              <w:left w:val="nil"/>
              <w:bottom w:val="nil"/>
              <w:right w:val="nil"/>
            </w:tcBorders>
            <w:shd w:val="clear" w:color="auto" w:fill="F2F2F2" w:themeFill="background1" w:themeFillShade="F2"/>
          </w:tcPr>
          <w:p w14:paraId="7C6803A9" w14:textId="77777777" w:rsidR="00EA6E9F" w:rsidRDefault="00EA6E9F" w:rsidP="008E7174">
            <w:pPr>
              <w:spacing w:after="160" w:line="259" w:lineRule="auto"/>
              <w:rPr>
                <w:rFonts w:eastAsia="Times New Roman" w:cs="Segoe UI"/>
                <w:b/>
                <w:bCs/>
                <w:lang w:eastAsia="en-AU"/>
              </w:rPr>
            </w:pPr>
            <w:r w:rsidRPr="00EA6E9F">
              <w:rPr>
                <w:rFonts w:eastAsia="Times New Roman" w:cs="Segoe UI"/>
                <w:b/>
                <w:bCs/>
                <w:lang w:eastAsia="en-AU"/>
              </w:rPr>
              <w:t>Valuing overall</w:t>
            </w:r>
          </w:p>
          <w:p w14:paraId="507674B6" w14:textId="77777777" w:rsidR="00FE400C" w:rsidRPr="00FE400C" w:rsidRDefault="00FE400C" w:rsidP="00FE400C">
            <w:pPr>
              <w:spacing w:after="160" w:line="259" w:lineRule="auto"/>
              <w:rPr>
                <w:rFonts w:eastAsia="Times New Roman" w:cs="Segoe UI"/>
                <w:lang w:eastAsia="en-AU"/>
              </w:rPr>
            </w:pPr>
            <w:r w:rsidRPr="00FE400C">
              <w:rPr>
                <w:rFonts w:eastAsia="Times New Roman" w:cs="Segoe UI"/>
                <w:lang w:eastAsia="en-AU"/>
              </w:rPr>
              <w:t xml:space="preserve">Conduct workshops to understand if and where it may be reasonable for HTA committees to accept higher prices for health technologies including: </w:t>
            </w:r>
          </w:p>
          <w:p w14:paraId="6B68575C" w14:textId="77777777" w:rsidR="00FE400C" w:rsidRPr="00FE400C" w:rsidRDefault="00FE400C" w:rsidP="008505D7">
            <w:pPr>
              <w:pStyle w:val="ListParagraph"/>
              <w:numPr>
                <w:ilvl w:val="0"/>
                <w:numId w:val="160"/>
              </w:numPr>
              <w:spacing w:line="259" w:lineRule="auto"/>
              <w:rPr>
                <w:rFonts w:eastAsia="Times New Roman" w:cs="Segoe UI"/>
                <w:lang w:eastAsia="en-AU"/>
              </w:rPr>
            </w:pPr>
            <w:r w:rsidRPr="00FE400C">
              <w:rPr>
                <w:rFonts w:eastAsia="Times New Roman" w:cs="Segoe UI"/>
                <w:lang w:eastAsia="en-AU"/>
              </w:rPr>
              <w:t>in what circumstances</w:t>
            </w:r>
          </w:p>
          <w:p w14:paraId="1CEC5E2F" w14:textId="77777777" w:rsidR="00FE400C" w:rsidRPr="00FE400C" w:rsidRDefault="00FE400C" w:rsidP="008505D7">
            <w:pPr>
              <w:pStyle w:val="ListParagraph"/>
              <w:numPr>
                <w:ilvl w:val="0"/>
                <w:numId w:val="160"/>
              </w:numPr>
              <w:spacing w:line="259" w:lineRule="auto"/>
              <w:rPr>
                <w:rFonts w:eastAsia="Times New Roman" w:cs="Segoe UI"/>
                <w:lang w:eastAsia="en-AU"/>
              </w:rPr>
            </w:pPr>
            <w:r w:rsidRPr="00FE400C">
              <w:rPr>
                <w:rFonts w:eastAsia="Times New Roman" w:cs="Segoe UI"/>
                <w:lang w:eastAsia="en-AU"/>
              </w:rPr>
              <w:t>for what benefit</w:t>
            </w:r>
          </w:p>
          <w:p w14:paraId="32E5EAFF" w14:textId="77777777" w:rsidR="00FE400C" w:rsidRPr="00FE400C" w:rsidRDefault="00FE400C" w:rsidP="008505D7">
            <w:pPr>
              <w:pStyle w:val="ListParagraph"/>
              <w:numPr>
                <w:ilvl w:val="0"/>
                <w:numId w:val="160"/>
              </w:numPr>
              <w:spacing w:line="259" w:lineRule="auto"/>
              <w:rPr>
                <w:rFonts w:eastAsia="Times New Roman" w:cs="Segoe UI"/>
                <w:lang w:eastAsia="en-AU"/>
              </w:rPr>
            </w:pPr>
            <w:r w:rsidRPr="00FE400C">
              <w:rPr>
                <w:rFonts w:eastAsia="Times New Roman" w:cs="Segoe UI"/>
                <w:lang w:eastAsia="en-AU"/>
              </w:rPr>
              <w:t xml:space="preserve">how much greater cost would be reasonable to secure that </w:t>
            </w:r>
            <w:proofErr w:type="gramStart"/>
            <w:r w:rsidRPr="00FE400C">
              <w:rPr>
                <w:rFonts w:eastAsia="Times New Roman" w:cs="Segoe UI"/>
                <w:lang w:eastAsia="en-AU"/>
              </w:rPr>
              <w:t>benefit</w:t>
            </w:r>
            <w:proofErr w:type="gramEnd"/>
          </w:p>
          <w:p w14:paraId="3974FBC6" w14:textId="75E128F0" w:rsidR="00FE400C" w:rsidRPr="00FE400C" w:rsidRDefault="00FE400C" w:rsidP="008505D7">
            <w:pPr>
              <w:pStyle w:val="ListParagraph"/>
              <w:numPr>
                <w:ilvl w:val="0"/>
                <w:numId w:val="160"/>
              </w:numPr>
              <w:spacing w:line="259" w:lineRule="auto"/>
              <w:rPr>
                <w:rFonts w:eastAsia="Times New Roman" w:cs="Segoe UI"/>
                <w:lang w:eastAsia="en-AU"/>
              </w:rPr>
            </w:pPr>
            <w:r w:rsidRPr="00FE400C">
              <w:rPr>
                <w:rFonts w:eastAsia="Times New Roman" w:cs="Segoe UI"/>
                <w:lang w:eastAsia="en-AU"/>
              </w:rPr>
              <w:t>how confident do we need to be that we will be securing that benefit</w:t>
            </w:r>
            <w:r w:rsidR="000074F4">
              <w:rPr>
                <w:rFonts w:eastAsia="Times New Roman" w:cs="Segoe UI"/>
                <w:lang w:eastAsia="en-AU"/>
              </w:rPr>
              <w:t>, and</w:t>
            </w:r>
          </w:p>
          <w:p w14:paraId="57EBAB2D" w14:textId="77777777" w:rsidR="00FE400C" w:rsidRPr="00FE400C" w:rsidRDefault="00FE400C" w:rsidP="008505D7">
            <w:pPr>
              <w:pStyle w:val="ListParagraph"/>
              <w:numPr>
                <w:ilvl w:val="0"/>
                <w:numId w:val="160"/>
              </w:numPr>
              <w:spacing w:after="160" w:line="259" w:lineRule="auto"/>
              <w:ind w:left="714" w:hanging="357"/>
              <w:rPr>
                <w:rFonts w:eastAsia="Times New Roman" w:cs="Segoe UI"/>
                <w:lang w:eastAsia="en-AU"/>
              </w:rPr>
            </w:pPr>
            <w:r w:rsidRPr="00FE400C">
              <w:rPr>
                <w:rFonts w:eastAsia="Times New Roman" w:cs="Segoe UI"/>
                <w:lang w:eastAsia="en-AU"/>
              </w:rPr>
              <w:t xml:space="preserve">what measures would be appropriate to offset the higher costs over a product’s lifecycle. </w:t>
            </w:r>
          </w:p>
          <w:p w14:paraId="0712CBCC" w14:textId="77777777" w:rsidR="00FE400C" w:rsidRPr="00FE400C" w:rsidRDefault="00FE400C" w:rsidP="008E7174">
            <w:pPr>
              <w:spacing w:after="160" w:line="259" w:lineRule="auto"/>
              <w:rPr>
                <w:rFonts w:eastAsia="Times New Roman" w:cs="Segoe UI"/>
                <w:lang w:eastAsia="en-AU"/>
              </w:rPr>
            </w:pPr>
            <w:r w:rsidRPr="00FE400C">
              <w:rPr>
                <w:rFonts w:eastAsia="Times New Roman" w:cs="Segoe UI"/>
                <w:lang w:eastAsia="en-AU"/>
              </w:rPr>
              <w:t xml:space="preserve">To ensure the sentiment captured through the workshops are representative of the Australian population, workshops / consultation should include a population representative sample (including representation of key stakeholder groups) and ensure measurement is free from selection bias. </w:t>
            </w:r>
          </w:p>
          <w:p w14:paraId="2DED2594" w14:textId="3A6031E6" w:rsidR="00EA6E9F" w:rsidRPr="00837CDF" w:rsidRDefault="008E7174" w:rsidP="00FE400C">
            <w:pPr>
              <w:spacing w:line="259" w:lineRule="auto"/>
              <w:rPr>
                <w:rFonts w:eastAsia="Times New Roman" w:cs="Segoe UI"/>
                <w:lang w:eastAsia="en-AU"/>
              </w:rPr>
            </w:pPr>
            <w:r>
              <w:rPr>
                <w:rFonts w:eastAsia="Times New Roman" w:cs="Segoe UI"/>
                <w:lang w:eastAsia="en-AU"/>
              </w:rPr>
              <w:t>Note: w</w:t>
            </w:r>
            <w:r w:rsidR="00FE400C" w:rsidRPr="00FE400C">
              <w:rPr>
                <w:rFonts w:eastAsia="Times New Roman" w:cs="Segoe UI"/>
                <w:lang w:eastAsia="en-AU"/>
              </w:rPr>
              <w:t>orkshops could also be assisted</w:t>
            </w:r>
            <w:r w:rsidR="00FE400C" w:rsidRPr="00FE400C" w:rsidDel="0022255A">
              <w:rPr>
                <w:rFonts w:eastAsia="Times New Roman" w:cs="Segoe UI"/>
                <w:lang w:eastAsia="en-AU"/>
              </w:rPr>
              <w:t xml:space="preserve"> </w:t>
            </w:r>
            <w:r w:rsidR="00FE400C" w:rsidRPr="00FE400C">
              <w:rPr>
                <w:rFonts w:eastAsia="Times New Roman" w:cs="Segoe UI"/>
                <w:lang w:eastAsia="en-AU"/>
              </w:rPr>
              <w:t>through use of the explicit qualitative value framework</w:t>
            </w:r>
            <w:r w:rsidR="00FE400C" w:rsidRPr="00FE400C">
              <w:rPr>
                <w:rFonts w:eastAsia="Times New Roman" w:cs="Segoe UI"/>
                <w:lang w:eastAsia="en-AU"/>
              </w:rPr>
              <w:fldChar w:fldCharType="begin"/>
            </w:r>
            <w:r w:rsidR="00FE400C" w:rsidRPr="00FE400C">
              <w:instrText xml:space="preserve"> XE "</w:instrText>
            </w:r>
            <w:r w:rsidR="00FE400C" w:rsidRPr="00FE400C">
              <w:rPr>
                <w:rFonts w:eastAsia="Arial" w:cs="Arial"/>
                <w:color w:val="000000" w:themeColor="text1"/>
              </w:rPr>
              <w:instrText>value framework</w:instrText>
            </w:r>
            <w:r w:rsidR="00FE400C" w:rsidRPr="00FE400C">
              <w:instrText xml:space="preserve">" \b </w:instrText>
            </w:r>
            <w:r w:rsidR="00FE400C" w:rsidRPr="00FE400C">
              <w:rPr>
                <w:rFonts w:eastAsia="Times New Roman" w:cs="Segoe UI"/>
                <w:lang w:eastAsia="en-AU"/>
              </w:rPr>
              <w:fldChar w:fldCharType="end"/>
            </w:r>
            <w:r w:rsidR="00FE400C" w:rsidRPr="00FE400C">
              <w:rPr>
                <w:rFonts w:eastAsia="Times New Roman" w:cs="Segoe UI"/>
                <w:lang w:eastAsia="en-AU"/>
              </w:rPr>
              <w:t xml:space="preserve"> proposed above (see </w:t>
            </w:r>
            <w:hyperlink w:anchor="_Develop_an_explicit" w:history="1">
              <w:r w:rsidR="00FE400C" w:rsidRPr="00FE400C">
                <w:rPr>
                  <w:rStyle w:val="Hyperlink"/>
                  <w:rFonts w:eastAsia="Times New Roman" w:cs="Segoe UI"/>
                  <w:lang w:eastAsia="en-AU"/>
                </w:rPr>
                <w:t>Develop an explicit qualitative value framework</w:t>
              </w:r>
            </w:hyperlink>
            <w:r w:rsidR="00FE400C" w:rsidRPr="00FE400C">
              <w:rPr>
                <w:rFonts w:eastAsia="Times New Roman" w:cs="Segoe UI"/>
                <w:lang w:eastAsia="en-AU"/>
              </w:rPr>
              <w:t>).</w:t>
            </w:r>
          </w:p>
        </w:tc>
      </w:tr>
    </w:tbl>
    <w:p w14:paraId="03B6BE51" w14:textId="77777777" w:rsidR="00BD451D" w:rsidRDefault="00BD451D" w:rsidP="008C10BB">
      <w:pPr>
        <w:sectPr w:rsidR="00BD451D" w:rsidSect="00566319">
          <w:headerReference w:type="default" r:id="rId170"/>
          <w:pgSz w:w="11906" w:h="16838"/>
          <w:pgMar w:top="709" w:right="1440" w:bottom="1440" w:left="1440" w:header="284" w:footer="708" w:gutter="0"/>
          <w:cols w:space="708"/>
          <w:docGrid w:linePitch="360"/>
        </w:sectPr>
      </w:pPr>
      <w:bookmarkStart w:id="182" w:name="_Health_Technology_Funding_1"/>
      <w:bookmarkStart w:id="183" w:name="_Ref156466741"/>
      <w:bookmarkEnd w:id="182"/>
    </w:p>
    <w:p w14:paraId="4057A4FC" w14:textId="08A08589" w:rsidR="00A204D5" w:rsidRDefault="00A204D5" w:rsidP="008C10BB">
      <w:pPr>
        <w:pStyle w:val="Heading1"/>
        <w:spacing w:line="259" w:lineRule="auto"/>
      </w:pPr>
      <w:bookmarkStart w:id="184" w:name="_Toc157029099"/>
      <w:bookmarkStart w:id="185" w:name="_Toc157029495"/>
      <w:bookmarkStart w:id="186" w:name="_Toc157030187"/>
      <w:r w:rsidRPr="001C5DDA">
        <w:lastRenderedPageBreak/>
        <w:t xml:space="preserve">Health </w:t>
      </w:r>
      <w:r w:rsidR="00D009DD">
        <w:t>t</w:t>
      </w:r>
      <w:r w:rsidRPr="001C5DDA">
        <w:t xml:space="preserve">echnology </w:t>
      </w:r>
      <w:r w:rsidR="00625B02">
        <w:t>f</w:t>
      </w:r>
      <w:r w:rsidRPr="001C5DDA">
        <w:t xml:space="preserve">unding and purchasing approaches </w:t>
      </w:r>
      <w:r w:rsidR="0066243C">
        <w:t>and managing uncertainty</w:t>
      </w:r>
      <w:bookmarkEnd w:id="183"/>
      <w:bookmarkEnd w:id="184"/>
      <w:bookmarkEnd w:id="185"/>
      <w:bookmarkEnd w:id="186"/>
      <w:r w:rsidR="0077493C">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fldChar w:fldCharType="end"/>
      </w:r>
    </w:p>
    <w:p w14:paraId="7D612C10" w14:textId="02910C38" w:rsidR="00A204D5" w:rsidRDefault="00A204D5" w:rsidP="002B7524">
      <w:pPr>
        <w:pStyle w:val="Heading2"/>
        <w:spacing w:line="259" w:lineRule="auto"/>
      </w:pPr>
      <w:bookmarkStart w:id="187" w:name="_Approaches_to_funding_1"/>
      <w:bookmarkStart w:id="188" w:name="_Toc157029100"/>
      <w:bookmarkStart w:id="189" w:name="_Toc157029496"/>
      <w:bookmarkStart w:id="190" w:name="_Toc157030188"/>
      <w:bookmarkEnd w:id="187"/>
      <w:r w:rsidRPr="00A204D5">
        <w:t>Approaches to funding or purchasing new health technologies</w:t>
      </w:r>
      <w:r w:rsidR="00E06C7A">
        <w:t xml:space="preserve"> and managing uncertainty</w:t>
      </w:r>
      <w:bookmarkEnd w:id="188"/>
      <w:bookmarkEnd w:id="189"/>
      <w:bookmarkEnd w:id="190"/>
      <w:r w:rsidR="0077493C">
        <w:fldChar w:fldCharType="begin"/>
      </w:r>
      <w:r w:rsidR="0077493C">
        <w:instrText xml:space="preserve"> XE "</w:instrText>
      </w:r>
      <w:r w:rsidR="0077493C" w:rsidRPr="00425AB8">
        <w:rPr>
          <w:lang w:eastAsia="en-AU"/>
        </w:rPr>
        <w:instrText>managing uncertainty</w:instrText>
      </w:r>
      <w:r w:rsidR="0077493C">
        <w:instrText xml:space="preserve">" \b </w:instrText>
      </w:r>
      <w:r w:rsidR="0077493C">
        <w:fldChar w:fldCharType="end"/>
      </w:r>
    </w:p>
    <w:p w14:paraId="4E0E49FD" w14:textId="16A2269E" w:rsidR="007907D6" w:rsidRDefault="001233DA" w:rsidP="00117D66">
      <w:pPr>
        <w:ind w:left="284"/>
        <w:rPr>
          <w:i/>
          <w:iCs/>
        </w:rPr>
      </w:pPr>
      <w:r>
        <w:rPr>
          <w:noProof/>
        </w:rPr>
        <mc:AlternateContent>
          <mc:Choice Requires="wps">
            <w:drawing>
              <wp:anchor distT="0" distB="0" distL="114300" distR="114300" simplePos="0" relativeHeight="251673088" behindDoc="0" locked="0" layoutInCell="1" allowOverlap="1" wp14:anchorId="3375B08E" wp14:editId="539D78A4">
                <wp:simplePos x="0" y="0"/>
                <wp:positionH relativeFrom="column">
                  <wp:posOffset>0</wp:posOffset>
                </wp:positionH>
                <wp:positionV relativeFrom="paragraph">
                  <wp:posOffset>62865</wp:posOffset>
                </wp:positionV>
                <wp:extent cx="0" cy="552450"/>
                <wp:effectExtent l="19050" t="0" r="19050" b="19050"/>
                <wp:wrapNone/>
                <wp:docPr id="1423232226" name="Straight Connector 1423232226"/>
                <wp:cNvGraphicFramePr/>
                <a:graphic xmlns:a="http://schemas.openxmlformats.org/drawingml/2006/main">
                  <a:graphicData uri="http://schemas.microsoft.com/office/word/2010/wordprocessingShape">
                    <wps:wsp>
                      <wps:cNvCnPr/>
                      <wps:spPr>
                        <a:xfrm>
                          <a:off x="0" y="0"/>
                          <a:ext cx="0" cy="552450"/>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728B7A87" id="Straight Connector 1423232226" o:spid="_x0000_s1026" style="position:absolute;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95pt" to="0,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" strokecolor="#1d437f [3204]" strokeweight="2.25pt">
                <v:stroke joinstyle="miter"/>
              </v:line>
            </w:pict>
          </mc:Fallback>
        </mc:AlternateContent>
      </w:r>
      <w:r>
        <w:t>T</w:t>
      </w:r>
      <w:r w:rsidR="007907D6" w:rsidRPr="009D14F6">
        <w:t xml:space="preserve">his section should be read in conjunction with </w:t>
      </w:r>
      <w:hyperlink r:id="rId171" w:history="1">
        <w:r w:rsidR="00926B3B" w:rsidRPr="00DE259C">
          <w:rPr>
            <w:rStyle w:val="Hyperlink"/>
            <w:i/>
            <w:iCs/>
          </w:rPr>
          <w:t xml:space="preserve">Funding and purchasing decisions and Managing Uncertainty </w:t>
        </w:r>
        <w:r w:rsidR="00C412FA" w:rsidRPr="00DE259C">
          <w:rPr>
            <w:rStyle w:val="Hyperlink"/>
            <w:i/>
            <w:iCs/>
          </w:rPr>
          <w:t>(</w:t>
        </w:r>
        <w:r w:rsidR="00926B3B" w:rsidRPr="00DE259C">
          <w:rPr>
            <w:rStyle w:val="Hyperlink"/>
            <w:i/>
            <w:iCs/>
          </w:rPr>
          <w:t>Paper 6</w:t>
        </w:r>
        <w:r w:rsidR="00C412FA" w:rsidRPr="00DE259C">
          <w:rPr>
            <w:rStyle w:val="Hyperlink"/>
            <w:i/>
            <w:iCs/>
          </w:rPr>
          <w:t>)</w:t>
        </w:r>
      </w:hyperlink>
      <w:r w:rsidR="000D2B6A">
        <w:rPr>
          <w:rStyle w:val="Hyperlink"/>
          <w:u w:val="none"/>
        </w:rPr>
        <w:t xml:space="preserve"> </w:t>
      </w:r>
      <w:r w:rsidR="000D2B6A" w:rsidRPr="00117D66">
        <w:rPr>
          <w:rStyle w:val="Hyperlink"/>
          <w:color w:val="auto"/>
          <w:u w:val="none"/>
        </w:rPr>
        <w:t>and</w:t>
      </w:r>
      <w:r w:rsidR="000D2B6A" w:rsidRPr="00A04A56">
        <w:rPr>
          <w:rStyle w:val="Hyperlink"/>
          <w:u w:val="none"/>
        </w:rPr>
        <w:t xml:space="preserve"> </w:t>
      </w:r>
      <w:hyperlink r:id="rId172" w:history="1">
        <w:r w:rsidR="004D0E2B" w:rsidRPr="00117D66">
          <w:rPr>
            <w:rStyle w:val="Hyperlink"/>
            <w:i/>
            <w:iCs/>
          </w:rPr>
          <w:t>International health technology market approval funding and assessment pathways</w:t>
        </w:r>
      </w:hyperlink>
      <w:r w:rsidR="00A04A56" w:rsidRPr="00117D66">
        <w:rPr>
          <w:rStyle w:val="Hyperlink"/>
          <w:i/>
          <w:iCs/>
        </w:rPr>
        <w:t xml:space="preserve"> (Paper 1)</w:t>
      </w:r>
      <w:r w:rsidR="00926B3B" w:rsidRPr="00DE259C">
        <w:rPr>
          <w:i/>
          <w:iCs/>
        </w:rPr>
        <w:t>.</w:t>
      </w:r>
    </w:p>
    <w:p w14:paraId="178AA13E" w14:textId="59981876" w:rsidR="00AB24C5" w:rsidRDefault="008D6185" w:rsidP="008D6185">
      <w:pPr>
        <w:pStyle w:val="Heading3"/>
      </w:pPr>
      <w:bookmarkStart w:id="191" w:name="_Toc157029101"/>
      <w:r>
        <w:t>Current state</w:t>
      </w:r>
      <w:bookmarkEnd w:id="191"/>
    </w:p>
    <w:tbl>
      <w:tblPr>
        <w:tblStyle w:val="TableGrid"/>
        <w:tblW w:w="0" w:type="auto"/>
        <w:tblLook w:val="04A0" w:firstRow="1" w:lastRow="0" w:firstColumn="1" w:lastColumn="0" w:noHBand="0" w:noVBand="1"/>
      </w:tblPr>
      <w:tblGrid>
        <w:gridCol w:w="9016"/>
      </w:tblGrid>
      <w:tr w:rsidR="006D71D4" w14:paraId="185F3ADE" w14:textId="77777777" w:rsidTr="00FE400C">
        <w:tc>
          <w:tcPr>
            <w:tcW w:w="9016" w:type="dxa"/>
            <w:tcBorders>
              <w:top w:val="single" w:sz="4" w:space="0" w:color="00B4D0" w:themeColor="accent6"/>
              <w:left w:val="nil"/>
              <w:bottom w:val="single" w:sz="4" w:space="0" w:color="00B4D0" w:themeColor="accent6"/>
              <w:right w:val="nil"/>
            </w:tcBorders>
            <w:shd w:val="clear" w:color="auto" w:fill="F2F2F2" w:themeFill="background1" w:themeFillShade="F2"/>
          </w:tcPr>
          <w:p w14:paraId="404775DE" w14:textId="77777777" w:rsidR="005D33F8" w:rsidRPr="00F556EC" w:rsidRDefault="005D33F8" w:rsidP="008C10BB">
            <w:pPr>
              <w:spacing w:after="160" w:line="259" w:lineRule="auto"/>
              <w:rPr>
                <w:rFonts w:cs="Segoe UI"/>
                <w:b/>
                <w:bCs/>
                <w:i/>
                <w:iCs/>
              </w:rPr>
            </w:pPr>
            <w:r w:rsidRPr="00F556EC">
              <w:rPr>
                <w:rFonts w:cs="Segoe UI"/>
                <w:b/>
                <w:bCs/>
                <w:i/>
                <w:iCs/>
              </w:rPr>
              <w:t>A note on terminology…</w:t>
            </w:r>
          </w:p>
          <w:p w14:paraId="1F4B012B" w14:textId="77777777" w:rsidR="00533515" w:rsidRDefault="005D33F8" w:rsidP="008C10BB">
            <w:pPr>
              <w:spacing w:after="160" w:line="259" w:lineRule="auto"/>
              <w:rPr>
                <w:rStyle w:val="normaltextrun"/>
                <w:rFonts w:cs="Segoe UI"/>
                <w:color w:val="000000"/>
                <w:position w:val="2"/>
                <w:lang w:val="en-GB"/>
              </w:rPr>
            </w:pPr>
            <w:r w:rsidRPr="005F7260">
              <w:rPr>
                <w:rFonts w:cs="Segoe UI"/>
              </w:rPr>
              <w:t>Conditional approval for reimbursement ​</w:t>
            </w:r>
            <w:r w:rsidR="00901E1C">
              <w:rPr>
                <w:rFonts w:cs="Segoe UI"/>
              </w:rPr>
              <w:t xml:space="preserve">is an approach used to manage </w:t>
            </w:r>
            <w:r w:rsidR="00AD2539">
              <w:rPr>
                <w:rFonts w:cs="Segoe UI"/>
              </w:rPr>
              <w:t xml:space="preserve">clinical, </w:t>
            </w:r>
            <w:proofErr w:type="gramStart"/>
            <w:r w:rsidR="00AD2539">
              <w:rPr>
                <w:rFonts w:cs="Segoe UI"/>
              </w:rPr>
              <w:t>economic</w:t>
            </w:r>
            <w:proofErr w:type="gramEnd"/>
            <w:r w:rsidR="00AD2539">
              <w:rPr>
                <w:rFonts w:cs="Segoe UI"/>
              </w:rPr>
              <w:t xml:space="preserve"> and financial uncertainty associated with funding health technologies.</w:t>
            </w:r>
            <w:r w:rsidR="00F06373">
              <w:rPr>
                <w:rFonts w:cs="Segoe UI"/>
              </w:rPr>
              <w:t xml:space="preserve"> </w:t>
            </w:r>
            <w:r w:rsidR="00533515">
              <w:rPr>
                <w:rStyle w:val="normaltextrun"/>
                <w:rFonts w:cs="Segoe UI"/>
                <w:color w:val="000000"/>
                <w:position w:val="2"/>
                <w:lang w:val="en-GB"/>
              </w:rPr>
              <w:t xml:space="preserve">These schemes allow patients to access medicines that may not have received positive funding recommendations due to uncertainty inherent in the clinical evidence and/or the potential for considerable budget impact. </w:t>
            </w:r>
          </w:p>
          <w:p w14:paraId="1081AABB" w14:textId="49919B9E" w:rsidR="005D33F8" w:rsidRPr="00F556EC" w:rsidRDefault="00205F05" w:rsidP="008C10BB">
            <w:pPr>
              <w:spacing w:line="259" w:lineRule="auto"/>
              <w:rPr>
                <w:rFonts w:cs="Segoe UI"/>
              </w:rPr>
            </w:pPr>
            <w:r>
              <w:rPr>
                <w:rFonts w:cs="Segoe UI"/>
              </w:rPr>
              <w:t xml:space="preserve">Such arrangements are referred to as </w:t>
            </w:r>
            <w:r w:rsidR="00291AC6">
              <w:rPr>
                <w:rFonts w:cs="Segoe UI"/>
              </w:rPr>
              <w:t>managed entry agreements</w:t>
            </w:r>
            <w:r w:rsidR="007260D1">
              <w:rPr>
                <w:rFonts w:cs="Segoe UI"/>
              </w:rPr>
              <w:t xml:space="preserve"> (MEAs)</w:t>
            </w:r>
            <w:r w:rsidR="00291AC6">
              <w:rPr>
                <w:rFonts w:cs="Segoe UI"/>
              </w:rPr>
              <w:t>, man</w:t>
            </w:r>
            <w:r w:rsidR="007260D1">
              <w:rPr>
                <w:rFonts w:cs="Segoe UI"/>
              </w:rPr>
              <w:t xml:space="preserve">aged access programs or pathways (MAPs), and coverage with evidence development approaches (CEDs). </w:t>
            </w:r>
            <w:r w:rsidR="008201DB">
              <w:rPr>
                <w:rFonts w:cs="Segoe UI"/>
              </w:rPr>
              <w:t xml:space="preserve">These </w:t>
            </w:r>
            <w:r w:rsidR="004E7A93">
              <w:rPr>
                <w:rFonts w:cs="Segoe UI"/>
              </w:rPr>
              <w:t>terms</w:t>
            </w:r>
            <w:r w:rsidR="008201DB">
              <w:rPr>
                <w:rFonts w:cs="Segoe UI"/>
              </w:rPr>
              <w:t xml:space="preserve"> </w:t>
            </w:r>
            <w:r w:rsidR="004E7A93">
              <w:rPr>
                <w:rFonts w:cs="Segoe UI"/>
              </w:rPr>
              <w:t xml:space="preserve">are sometimes used </w:t>
            </w:r>
            <w:r w:rsidR="00533515">
              <w:rPr>
                <w:rFonts w:cs="Segoe UI"/>
              </w:rPr>
              <w:t>to describe approaches to manage on</w:t>
            </w:r>
            <w:r w:rsidR="00213CD4">
              <w:rPr>
                <w:rFonts w:cs="Segoe UI"/>
              </w:rPr>
              <w:t>e</w:t>
            </w:r>
            <w:r w:rsidR="000A1161">
              <w:rPr>
                <w:rFonts w:cs="Segoe UI"/>
              </w:rPr>
              <w:t xml:space="preserve"> or other of clinical, </w:t>
            </w:r>
            <w:proofErr w:type="gramStart"/>
            <w:r w:rsidR="000A1161">
              <w:rPr>
                <w:rFonts w:cs="Segoe UI"/>
              </w:rPr>
              <w:t>economic</w:t>
            </w:r>
            <w:proofErr w:type="gramEnd"/>
            <w:r w:rsidR="000A1161">
              <w:rPr>
                <w:rFonts w:cs="Segoe UI"/>
              </w:rPr>
              <w:t xml:space="preserve"> or financial uncertai</w:t>
            </w:r>
            <w:r w:rsidR="00533515">
              <w:rPr>
                <w:rFonts w:cs="Segoe UI"/>
              </w:rPr>
              <w:t xml:space="preserve">nty or in relation to all three. </w:t>
            </w:r>
          </w:p>
          <w:p w14:paraId="0ADF1A9F" w14:textId="598B1F35" w:rsidR="005D33F8" w:rsidRPr="00004233" w:rsidRDefault="0094272F" w:rsidP="008C10BB">
            <w:pPr>
              <w:pStyle w:val="paragraph"/>
              <w:spacing w:line="259" w:lineRule="auto"/>
              <w:jc w:val="both"/>
              <w:textAlignment w:val="baseline"/>
              <w:rPr>
                <w:rStyle w:val="eop"/>
                <w:rFonts w:ascii="Segoe UI" w:hAnsi="Segoe UI" w:cs="Segoe UI"/>
                <w:bCs/>
                <w:color w:val="000000"/>
                <w:lang w:val="en-US"/>
              </w:rPr>
            </w:pPr>
            <w:r w:rsidRPr="00004233">
              <w:rPr>
                <w:rStyle w:val="normaltextrun"/>
                <w:rFonts w:ascii="Segoe UI" w:hAnsi="Segoe UI" w:cs="Segoe UI"/>
                <w:bCs/>
                <w:color w:val="000000"/>
                <w:position w:val="2"/>
              </w:rPr>
              <w:t xml:space="preserve">From </w:t>
            </w:r>
            <w:r w:rsidR="00004233" w:rsidRPr="00004233">
              <w:rPr>
                <w:rStyle w:val="normaltextrun"/>
                <w:rFonts w:ascii="Segoe UI" w:hAnsi="Segoe UI" w:cs="Segoe UI"/>
                <w:bCs/>
                <w:color w:val="000000"/>
                <w:position w:val="2"/>
              </w:rPr>
              <w:t>paper</w:t>
            </w:r>
            <w:r w:rsidR="00362E47">
              <w:rPr>
                <w:rStyle w:val="normaltextrun"/>
                <w:rFonts w:ascii="Segoe UI" w:hAnsi="Segoe UI" w:cs="Segoe UI"/>
                <w:bCs/>
                <w:color w:val="000000"/>
                <w:position w:val="2"/>
              </w:rPr>
              <w:t>:</w:t>
            </w:r>
            <w:r w:rsidR="00004233" w:rsidRPr="00004233">
              <w:rPr>
                <w:rStyle w:val="normaltextrun"/>
                <w:rFonts w:ascii="Segoe UI" w:hAnsi="Segoe UI" w:cs="Segoe UI"/>
                <w:bCs/>
                <w:color w:val="000000"/>
                <w:position w:val="2"/>
              </w:rPr>
              <w:t xml:space="preserve"> </w:t>
            </w:r>
            <w:hyperlink r:id="rId173" w:anchor="page=8" w:history="1">
              <w:r w:rsidR="00004233" w:rsidRPr="004C0ED1">
                <w:rPr>
                  <w:rStyle w:val="Hyperlink"/>
                  <w:rFonts w:ascii="Segoe UI" w:hAnsi="Segoe UI" w:cs="Segoe UI"/>
                  <w:bCs/>
                  <w:position w:val="2"/>
                </w:rPr>
                <w:t>International Health Technology Market Approval, Funding and Assessment Pathways</w:t>
              </w:r>
            </w:hyperlink>
            <w:r w:rsidR="004C0ED1">
              <w:rPr>
                <w:rStyle w:val="FootnoteReference"/>
                <w:rFonts w:ascii="Segoe UI" w:hAnsi="Segoe UI" w:cs="Segoe UI"/>
                <w:bCs/>
                <w:color w:val="000000"/>
                <w:position w:val="2"/>
              </w:rPr>
              <w:footnoteReference w:id="11"/>
            </w:r>
          </w:p>
          <w:p w14:paraId="2C0CFF75" w14:textId="77777777" w:rsidR="005D33F8" w:rsidRPr="00F556EC" w:rsidRDefault="005D33F8" w:rsidP="008C10BB">
            <w:pPr>
              <w:pStyle w:val="paragraph"/>
              <w:spacing w:before="0" w:beforeAutospacing="0" w:after="160" w:afterAutospacing="0" w:line="259" w:lineRule="auto"/>
              <w:textAlignment w:val="baseline"/>
              <w:rPr>
                <w:rFonts w:ascii="Segoe UI" w:hAnsi="Segoe UI" w:cs="Segoe UI"/>
                <w:lang w:val="en-US"/>
              </w:rPr>
            </w:pPr>
            <w:r w:rsidRPr="00F556EC">
              <w:rPr>
                <w:rStyle w:val="normaltextrun"/>
                <w:rFonts w:ascii="Segoe UI" w:hAnsi="Segoe UI" w:cs="Segoe UI"/>
                <w:i/>
                <w:iCs/>
                <w:color w:val="000000"/>
                <w:position w:val="2"/>
              </w:rPr>
              <w:t>Managed Entry: </w:t>
            </w:r>
            <w:r w:rsidRPr="00F556EC">
              <w:rPr>
                <w:rStyle w:val="normaltextrun"/>
                <w:rFonts w:ascii="Segoe UI" w:hAnsi="Segoe UI" w:cs="Segoe UI"/>
                <w:i/>
                <w:iCs/>
                <w:color w:val="000000"/>
                <w:spacing w:val="9"/>
                <w:position w:val="2"/>
              </w:rPr>
              <w:t>A conditional arrangement between a manufacturer and payer that enables earlier reimbursement of a health technology to address uncertainty in its performance or to manage its utilisation. </w:t>
            </w:r>
            <w:r w:rsidRPr="00F556EC">
              <w:rPr>
                <w:rStyle w:val="eop"/>
                <w:rFonts w:ascii="Segoe UI" w:hAnsi="Segoe UI" w:cs="Segoe UI"/>
                <w:color w:val="000000"/>
                <w:lang w:val="en-US"/>
              </w:rPr>
              <w:t>​</w:t>
            </w:r>
          </w:p>
          <w:p w14:paraId="665D9BB1" w14:textId="1EEA2A40" w:rsidR="005D33F8" w:rsidRDefault="005D33F8" w:rsidP="008C10BB">
            <w:pPr>
              <w:pStyle w:val="paragraph"/>
              <w:spacing w:before="0" w:beforeAutospacing="0" w:after="160" w:afterAutospacing="0" w:line="259" w:lineRule="auto"/>
              <w:textAlignment w:val="baseline"/>
              <w:rPr>
                <w:rStyle w:val="normaltextrun"/>
                <w:rFonts w:ascii="Segoe UI" w:hAnsi="Segoe UI" w:cs="Segoe UI"/>
                <w:i/>
                <w:iCs/>
                <w:color w:val="000000"/>
                <w:spacing w:val="9"/>
                <w:position w:val="2"/>
              </w:rPr>
            </w:pPr>
            <w:r w:rsidRPr="00F556EC">
              <w:rPr>
                <w:rStyle w:val="eop"/>
                <w:rFonts w:ascii="Segoe UI" w:hAnsi="Segoe UI" w:cs="Segoe UI"/>
                <w:color w:val="000000"/>
              </w:rPr>
              <w:lastRenderedPageBreak/>
              <w:t>​</w:t>
            </w:r>
            <w:r w:rsidRPr="00F556EC">
              <w:rPr>
                <w:rStyle w:val="normaltextrun"/>
                <w:rFonts w:ascii="Segoe UI" w:hAnsi="Segoe UI" w:cs="Segoe UI"/>
                <w:i/>
                <w:iCs/>
                <w:color w:val="000000"/>
                <w:position w:val="2"/>
              </w:rPr>
              <w:t>CED: </w:t>
            </w:r>
            <w:r w:rsidRPr="00F556EC">
              <w:rPr>
                <w:rStyle w:val="normaltextrun"/>
                <w:rFonts w:ascii="Segoe UI" w:hAnsi="Segoe UI" w:cs="Segoe UI"/>
                <w:i/>
                <w:iCs/>
                <w:color w:val="000000"/>
                <w:spacing w:val="9"/>
                <w:position w:val="2"/>
              </w:rPr>
              <w:t>Early funding of a health technology conditional on gathering additional evidence to address the sources of uncertainty.</w:t>
            </w:r>
          </w:p>
          <w:p w14:paraId="302AC29F" w14:textId="3FE2B04D" w:rsidR="005D33F8" w:rsidRPr="00C963BD" w:rsidRDefault="002276BE" w:rsidP="008C10BB">
            <w:pPr>
              <w:pStyle w:val="paragraph"/>
              <w:spacing w:line="259" w:lineRule="auto"/>
              <w:jc w:val="both"/>
              <w:textAlignment w:val="baseline"/>
              <w:rPr>
                <w:rStyle w:val="eop"/>
                <w:rFonts w:ascii="Segoe UI" w:hAnsi="Segoe UI" w:cs="Segoe UI"/>
                <w:bCs/>
                <w:color w:val="000000"/>
                <w:lang w:val="en-US"/>
              </w:rPr>
            </w:pPr>
            <w:r w:rsidRPr="00C963BD">
              <w:rPr>
                <w:rStyle w:val="normaltextrun"/>
                <w:rFonts w:ascii="Segoe UI" w:hAnsi="Segoe UI" w:cs="Segoe UI"/>
                <w:bCs/>
                <w:position w:val="2"/>
                <w:lang w:val="en-GB"/>
              </w:rPr>
              <w:t xml:space="preserve">From paper: </w:t>
            </w:r>
            <w:hyperlink r:id="rId174" w:anchor="page=9" w:history="1">
              <w:r w:rsidR="00C963BD" w:rsidRPr="00C963BD">
                <w:rPr>
                  <w:rStyle w:val="Hyperlink"/>
                  <w:rFonts w:ascii="Segoe UI" w:hAnsi="Segoe UI" w:cs="Segoe UI"/>
                  <w:bCs/>
                  <w:position w:val="2"/>
                  <w:lang w:val="en-GB"/>
                </w:rPr>
                <w:t>Funding and purchasing decisions and Managing Uncertainty</w:t>
              </w:r>
            </w:hyperlink>
            <w:r w:rsidR="000D103B">
              <w:rPr>
                <w:rStyle w:val="FootnoteReference"/>
                <w:rFonts w:ascii="Segoe UI" w:hAnsi="Segoe UI" w:cs="Segoe UI"/>
                <w:bCs/>
                <w:position w:val="2"/>
                <w:lang w:val="en-GB"/>
              </w:rPr>
              <w:footnoteReference w:id="12"/>
            </w:r>
          </w:p>
          <w:p w14:paraId="7379281F" w14:textId="77777777" w:rsidR="005D33F8" w:rsidRDefault="005D33F8" w:rsidP="008C10BB">
            <w:pPr>
              <w:pStyle w:val="paragraph"/>
              <w:spacing w:before="0" w:beforeAutospacing="0" w:after="160" w:afterAutospacing="0" w:line="259" w:lineRule="auto"/>
              <w:textAlignment w:val="baseline"/>
              <w:rPr>
                <w:rStyle w:val="normaltextrun"/>
                <w:rFonts w:ascii="Segoe UI" w:hAnsi="Segoe UI" w:cs="Segoe UI"/>
                <w:i/>
                <w:iCs/>
                <w:color w:val="000000"/>
                <w:position w:val="2"/>
                <w:lang w:val="en-GB"/>
              </w:rPr>
            </w:pPr>
            <w:r w:rsidRPr="00F556EC">
              <w:rPr>
                <w:rStyle w:val="normaltextrun"/>
                <w:rFonts w:ascii="Segoe UI" w:hAnsi="Segoe UI" w:cs="Segoe UI"/>
                <w:i/>
                <w:iCs/>
                <w:color w:val="000000"/>
                <w:position w:val="2"/>
                <w:lang w:val="en-GB"/>
              </w:rPr>
              <w:t>Managed entry agreements (MEAs) are strategic arrangements between payers and sponsors, employed to ensure timely patient access to advanced healthcare treatments, particularly when there is uncertainty about their clinical or cost-effectiveness. MEAs are designed to address the inherent uncertainties surrounding the value, </w:t>
            </w:r>
            <w:proofErr w:type="gramStart"/>
            <w:r w:rsidRPr="00F556EC">
              <w:rPr>
                <w:rStyle w:val="normaltextrun"/>
                <w:rFonts w:ascii="Segoe UI" w:hAnsi="Segoe UI" w:cs="Segoe UI"/>
                <w:i/>
                <w:iCs/>
                <w:color w:val="000000"/>
                <w:position w:val="2"/>
                <w:lang w:val="en-GB"/>
              </w:rPr>
              <w:t>uptake</w:t>
            </w:r>
            <w:proofErr w:type="gramEnd"/>
            <w:r w:rsidRPr="00F556EC">
              <w:rPr>
                <w:rStyle w:val="normaltextrun"/>
                <w:rFonts w:ascii="Segoe UI" w:hAnsi="Segoe UI" w:cs="Segoe UI"/>
                <w:i/>
                <w:iCs/>
                <w:color w:val="000000"/>
                <w:position w:val="2"/>
                <w:lang w:val="en-GB"/>
              </w:rPr>
              <w:t xml:space="preserve"> and performance of emerging technologies through conditional or managed reimbursement. </w:t>
            </w:r>
          </w:p>
          <w:p w14:paraId="2821163F" w14:textId="7DDA9F9A" w:rsidR="006D71D4" w:rsidRPr="00A1194B" w:rsidRDefault="007929AB" w:rsidP="008C10BB">
            <w:pPr>
              <w:pStyle w:val="paragraph"/>
              <w:spacing w:before="0" w:beforeAutospacing="0" w:after="160" w:afterAutospacing="0" w:line="259" w:lineRule="auto"/>
              <w:textAlignment w:val="baseline"/>
              <w:rPr>
                <w:rFonts w:ascii="Segoe UI" w:hAnsi="Segoe UI" w:cs="Segoe UI"/>
                <w:color w:val="000000"/>
                <w:position w:val="2"/>
                <w:lang w:val="en-GB"/>
              </w:rPr>
            </w:pPr>
            <w:r>
              <w:rPr>
                <w:rStyle w:val="normaltextrun"/>
                <w:rFonts w:ascii="Segoe UI" w:hAnsi="Segoe UI" w:cs="Segoe UI"/>
                <w:color w:val="000000"/>
                <w:position w:val="2"/>
                <w:lang w:val="en-GB"/>
              </w:rPr>
              <w:t xml:space="preserve">References to MEAs in this document should be taken to mean </w:t>
            </w:r>
            <w:r w:rsidR="00C10BEA">
              <w:rPr>
                <w:rStyle w:val="normaltextrun"/>
                <w:rFonts w:ascii="Segoe UI" w:hAnsi="Segoe UI" w:cs="Segoe UI"/>
                <w:color w:val="000000"/>
                <w:position w:val="2"/>
                <w:lang w:val="en-GB"/>
              </w:rPr>
              <w:t xml:space="preserve">approaches to manage </w:t>
            </w:r>
            <w:r w:rsidR="002F0ABD">
              <w:rPr>
                <w:rStyle w:val="normaltextrun"/>
                <w:rFonts w:ascii="Segoe UI" w:hAnsi="Segoe UI" w:cs="Segoe UI"/>
                <w:color w:val="000000"/>
                <w:position w:val="2"/>
                <w:lang w:val="en-GB"/>
              </w:rPr>
              <w:t xml:space="preserve">any type of uncertainty unless otherwise specified. </w:t>
            </w:r>
          </w:p>
        </w:tc>
      </w:tr>
    </w:tbl>
    <w:p w14:paraId="6CFE216C" w14:textId="1DF73851" w:rsidR="006A5FD6" w:rsidRDefault="006A5FD6" w:rsidP="000D103B">
      <w:pPr>
        <w:spacing w:before="240"/>
      </w:pPr>
      <w:r>
        <w:lastRenderedPageBreak/>
        <w:t>International approaches to fund and purchase new health technologies vary widely, with differences in:​</w:t>
      </w:r>
    </w:p>
    <w:p w14:paraId="1788B99D" w14:textId="303840F6" w:rsidR="006A5FD6" w:rsidRDefault="006A5FD6" w:rsidP="008D2A3F">
      <w:pPr>
        <w:pStyle w:val="ListParagraph"/>
        <w:numPr>
          <w:ilvl w:val="0"/>
          <w:numId w:val="10"/>
        </w:numPr>
      </w:pPr>
      <w:r>
        <w:t>the depth and breadth of HTA processes ​</w:t>
      </w:r>
    </w:p>
    <w:p w14:paraId="4C12AC65" w14:textId="2C8C8DBB" w:rsidR="006A5FD6" w:rsidRDefault="006A5FD6" w:rsidP="008D2A3F">
      <w:pPr>
        <w:pStyle w:val="ListParagraph"/>
        <w:numPr>
          <w:ilvl w:val="0"/>
          <w:numId w:val="10"/>
        </w:numPr>
      </w:pPr>
      <w:r>
        <w:t xml:space="preserve">the scope, </w:t>
      </w:r>
      <w:proofErr w:type="gramStart"/>
      <w:r>
        <w:t>role</w:t>
      </w:r>
      <w:proofErr w:type="gramEnd"/>
      <w:r>
        <w:t xml:space="preserve"> and remit of HTA organisations</w:t>
      </w:r>
      <w:r w:rsidR="00D26410">
        <w:t xml:space="preserve"> </w:t>
      </w:r>
    </w:p>
    <w:p w14:paraId="76442973" w14:textId="6111134D" w:rsidR="006A5FD6" w:rsidRDefault="006A5FD6" w:rsidP="008D2A3F">
      <w:pPr>
        <w:pStyle w:val="ListParagraph"/>
        <w:numPr>
          <w:ilvl w:val="0"/>
          <w:numId w:val="10"/>
        </w:numPr>
      </w:pPr>
      <w:r>
        <w:t>selection of technologies eligible for HTA review</w:t>
      </w:r>
    </w:p>
    <w:p w14:paraId="370F4B0D" w14:textId="77777777" w:rsidR="006A5FD6" w:rsidRDefault="006A5FD6" w:rsidP="008D2A3F">
      <w:pPr>
        <w:pStyle w:val="ListParagraph"/>
        <w:numPr>
          <w:ilvl w:val="0"/>
          <w:numId w:val="10"/>
        </w:numPr>
      </w:pPr>
      <w:r>
        <w:t>how HTA outcomes influence reimbursement decisions and pricing negotiations.​</w:t>
      </w:r>
    </w:p>
    <w:p w14:paraId="1BDDC87B" w14:textId="67FABB3E" w:rsidR="006A5FD6" w:rsidRDefault="006A5FD6" w:rsidP="006A5FD6">
      <w:r>
        <w:t xml:space="preserve">Most countries that require HTA for government/insurance reimbursement </w:t>
      </w:r>
      <w:r w:rsidR="00E94184">
        <w:t>of new health technologies</w:t>
      </w:r>
      <w:r>
        <w:t xml:space="preserve"> undertake some variation of the following processes (</w:t>
      </w:r>
      <w:r w:rsidR="00031426">
        <w:t>with</w:t>
      </w:r>
      <w:r w:rsidR="00135207">
        <w:t xml:space="preserve"> </w:t>
      </w:r>
      <w:r w:rsidR="00424410">
        <w:t>respect to</w:t>
      </w:r>
      <w:r>
        <w:t xml:space="preserve"> </w:t>
      </w:r>
      <w:r w:rsidR="00135207">
        <w:t xml:space="preserve">the duration, </w:t>
      </w:r>
      <w:proofErr w:type="gramStart"/>
      <w:r w:rsidR="00135207">
        <w:t>order</w:t>
      </w:r>
      <w:proofErr w:type="gramEnd"/>
      <w:r w:rsidR="00135207">
        <w:t xml:space="preserve"> and combinations of these processes across</w:t>
      </w:r>
      <w:r w:rsidR="00031426">
        <w:t xml:space="preserve"> </w:t>
      </w:r>
      <w:r w:rsidR="00135207">
        <w:t>countries</w:t>
      </w:r>
      <w:r>
        <w:t>):​</w:t>
      </w:r>
    </w:p>
    <w:p w14:paraId="69947FF0" w14:textId="7920E66B" w:rsidR="006A5FD6" w:rsidRDefault="00C91BD5" w:rsidP="008D2A3F">
      <w:pPr>
        <w:pStyle w:val="ListParagraph"/>
        <w:numPr>
          <w:ilvl w:val="0"/>
          <w:numId w:val="11"/>
        </w:numPr>
      </w:pPr>
      <w:r>
        <w:t>m</w:t>
      </w:r>
      <w:r w:rsidR="006A5FD6">
        <w:t>arket authorisation​</w:t>
      </w:r>
    </w:p>
    <w:p w14:paraId="03CE5AD9" w14:textId="7C2B8796" w:rsidR="006A5FD6" w:rsidRDefault="00C91BD5" w:rsidP="008D2A3F">
      <w:pPr>
        <w:pStyle w:val="ListParagraph"/>
        <w:numPr>
          <w:ilvl w:val="0"/>
          <w:numId w:val="11"/>
        </w:numPr>
      </w:pPr>
      <w:r>
        <w:t>p</w:t>
      </w:r>
      <w:r w:rsidR="006A5FD6">
        <w:t>roduct benefit assessment (</w:t>
      </w:r>
      <w:proofErr w:type="gramStart"/>
      <w:r w:rsidR="006A48DA">
        <w:t>e.g.</w:t>
      </w:r>
      <w:proofErr w:type="gramEnd"/>
      <w:r>
        <w:t xml:space="preserve"> </w:t>
      </w:r>
      <w:r w:rsidR="006A5FD6">
        <w:t>clinical and economic evaluations)​</w:t>
      </w:r>
    </w:p>
    <w:p w14:paraId="2B865ECB" w14:textId="51D518C3" w:rsidR="006A5FD6" w:rsidRDefault="00C91BD5" w:rsidP="008D2A3F">
      <w:pPr>
        <w:pStyle w:val="ListParagraph"/>
        <w:numPr>
          <w:ilvl w:val="0"/>
          <w:numId w:val="11"/>
        </w:numPr>
      </w:pPr>
      <w:r>
        <w:t>r</w:t>
      </w:r>
      <w:r w:rsidR="006A5FD6">
        <w:t>ecommendation</w:t>
      </w:r>
      <w:r>
        <w:t xml:space="preserve"> </w:t>
      </w:r>
      <w:r w:rsidR="006A5FD6">
        <w:t>/</w:t>
      </w:r>
      <w:r>
        <w:t xml:space="preserve"> d</w:t>
      </w:r>
      <w:r w:rsidR="006A5FD6">
        <w:t xml:space="preserve">ecision to </w:t>
      </w:r>
      <w:proofErr w:type="gramStart"/>
      <w:r w:rsidR="006A5FD6">
        <w:t>fund</w:t>
      </w:r>
      <w:proofErr w:type="gramEnd"/>
      <w:r w:rsidR="006A5FD6">
        <w:t xml:space="preserve"> ​</w:t>
      </w:r>
    </w:p>
    <w:p w14:paraId="659976C6" w14:textId="671E59F2" w:rsidR="006A5FD6" w:rsidRDefault="00C91BD5" w:rsidP="008D2A3F">
      <w:pPr>
        <w:pStyle w:val="ListParagraph"/>
        <w:numPr>
          <w:ilvl w:val="0"/>
          <w:numId w:val="11"/>
        </w:numPr>
      </w:pPr>
      <w:r>
        <w:t>p</w:t>
      </w:r>
      <w:r w:rsidR="006A5FD6">
        <w:t>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rsidR="006A5FD6">
        <w:t>​</w:t>
      </w:r>
    </w:p>
    <w:p w14:paraId="6766122C" w14:textId="67086F2D" w:rsidR="006A5FD6" w:rsidRDefault="00C91BD5" w:rsidP="008D2A3F">
      <w:pPr>
        <w:pStyle w:val="ListParagraph"/>
        <w:numPr>
          <w:ilvl w:val="0"/>
          <w:numId w:val="11"/>
        </w:numPr>
      </w:pPr>
      <w:r>
        <w:t>p</w:t>
      </w:r>
      <w:r w:rsidR="006A5FD6">
        <w:t xml:space="preserve">ost-HTA re-review / price reductions / </w:t>
      </w:r>
      <w:r w:rsidR="00583FB4">
        <w:t>d</w:t>
      </w:r>
      <w:r w:rsidR="006A5FD6">
        <w:t>isinvestment​</w:t>
      </w:r>
      <w:r w:rsidR="00CC37D2">
        <w:t>.</w:t>
      </w:r>
    </w:p>
    <w:p w14:paraId="467062E3" w14:textId="6C461C7B" w:rsidR="00C2541F" w:rsidRDefault="00C2541F" w:rsidP="006A5FD6">
      <w:r w:rsidRPr="00C2541F">
        <w:t>Some jurisdictions (</w:t>
      </w:r>
      <w:r w:rsidR="00911713">
        <w:t>for example</w:t>
      </w:r>
      <w:r w:rsidRPr="00C2541F">
        <w:t xml:space="preserve"> France) have implemented early access strategies to </w:t>
      </w:r>
      <w:r w:rsidR="00230856">
        <w:t>enable</w:t>
      </w:r>
      <w:r w:rsidR="00230856" w:rsidRPr="00C2541F">
        <w:t xml:space="preserve"> </w:t>
      </w:r>
      <w:r w:rsidRPr="00C2541F">
        <w:t>market entry prior to regulatory approval and reimbursement</w:t>
      </w:r>
      <w:r w:rsidR="00B16AF8">
        <w:t>,</w:t>
      </w:r>
      <w:r w:rsidRPr="00C2541F">
        <w:t xml:space="preserve"> through a streamline</w:t>
      </w:r>
      <w:r w:rsidR="000A1395">
        <w:t>d</w:t>
      </w:r>
      <w:r w:rsidRPr="00C2541F">
        <w:t xml:space="preserve"> process.</w:t>
      </w:r>
      <w:r w:rsidR="00CA178D">
        <w:t xml:space="preserve"> </w:t>
      </w:r>
      <w:r w:rsidR="00FF5996">
        <w:t xml:space="preserve">Australia currently </w:t>
      </w:r>
      <w:r w:rsidR="009F07B1">
        <w:t>does not</w:t>
      </w:r>
      <w:r w:rsidR="00D50092">
        <w:t xml:space="preserve"> have a reimbursement </w:t>
      </w:r>
      <w:r w:rsidR="00BF61BD">
        <w:t xml:space="preserve">pathway for </w:t>
      </w:r>
      <w:r w:rsidR="00860496">
        <w:t>medicine</w:t>
      </w:r>
      <w:r w:rsidR="002E4FD9">
        <w:t xml:space="preserve">s which have not received regulatory approval from </w:t>
      </w:r>
      <w:r w:rsidR="00E53DAD">
        <w:t xml:space="preserve">the </w:t>
      </w:r>
      <w:r w:rsidR="002E4FD9">
        <w:t xml:space="preserve">TGA. </w:t>
      </w:r>
    </w:p>
    <w:p w14:paraId="79EF195D" w14:textId="7D13030B" w:rsidR="00C2605D" w:rsidRPr="00EB5891" w:rsidRDefault="006A5FD6" w:rsidP="006A5FD6">
      <w:r>
        <w:t xml:space="preserve">Australia’s general approach to HTA funding and purchasing decisions is </w:t>
      </w:r>
      <w:proofErr w:type="gramStart"/>
      <w:r>
        <w:t>similar to</w:t>
      </w:r>
      <w:proofErr w:type="gramEnd"/>
      <w:r>
        <w:t xml:space="preserve"> </w:t>
      </w:r>
      <w:r w:rsidR="003F15AE">
        <w:t xml:space="preserve">most </w:t>
      </w:r>
      <w:r w:rsidR="00153E40">
        <w:t xml:space="preserve">comparable </w:t>
      </w:r>
      <w:r w:rsidR="00457384">
        <w:t>countries</w:t>
      </w:r>
      <w:r>
        <w:t>. ​</w:t>
      </w:r>
      <w:r w:rsidR="00733810">
        <w:t>In Australia</w:t>
      </w:r>
      <w:r w:rsidR="00B51C83">
        <w:t>,</w:t>
      </w:r>
      <w:r w:rsidR="00733810">
        <w:t xml:space="preserve"> </w:t>
      </w:r>
      <w:r w:rsidR="00B57DCC">
        <w:t>p</w:t>
      </w:r>
      <w:r w:rsidR="00733810">
        <w:t xml:space="preserve">rice negotiations are confidential and </w:t>
      </w:r>
      <w:r w:rsidR="00B57DCC">
        <w:t>are</w:t>
      </w:r>
      <w:r w:rsidR="00733810">
        <w:t xml:space="preserve"> </w:t>
      </w:r>
      <w:r w:rsidR="00733810">
        <w:lastRenderedPageBreak/>
        <w:t>implicitly included in the HTA system. While</w:t>
      </w:r>
      <w:r w:rsidR="00AB7832">
        <w:t xml:space="preserve"> the PBAC does not negotiate prices, it determines whether </w:t>
      </w:r>
      <w:r w:rsidR="00D3599D">
        <w:t>the</w:t>
      </w:r>
      <w:r w:rsidR="000E0F85">
        <w:t xml:space="preserve"> </w:t>
      </w:r>
      <w:r w:rsidR="006D5606">
        <w:t xml:space="preserve">proposed price </w:t>
      </w:r>
      <w:r w:rsidR="00D3599D">
        <w:t>for a medicine</w:t>
      </w:r>
      <w:r w:rsidR="00C322C0">
        <w:t xml:space="preserve"> </w:t>
      </w:r>
      <w:r w:rsidR="006D5606">
        <w:t>comprise</w:t>
      </w:r>
      <w:r w:rsidR="00844E12">
        <w:t>s</w:t>
      </w:r>
      <w:r w:rsidR="006D5606">
        <w:t xml:space="preserve"> acceptable cost-</w:t>
      </w:r>
      <w:r w:rsidR="004F6AFB">
        <w:t>effectiveness</w:t>
      </w:r>
      <w:r w:rsidR="008E655C">
        <w:t>.</w:t>
      </w:r>
      <w:r w:rsidR="00C322C0" w:rsidRPr="00B32768">
        <w:t xml:space="preserve"> </w:t>
      </w:r>
      <w:r w:rsidR="00B32768" w:rsidRPr="00B32768">
        <w:t>Following a positive</w:t>
      </w:r>
      <w:r w:rsidR="00F23BFE">
        <w:t xml:space="preserve"> PBAC</w:t>
      </w:r>
      <w:r w:rsidR="00B32768" w:rsidRPr="00B32768">
        <w:t xml:space="preserve"> recommendation, a </w:t>
      </w:r>
      <w:r w:rsidR="00C4648B">
        <w:t>PO</w:t>
      </w:r>
      <w:r w:rsidR="00B32768" w:rsidRPr="00B32768">
        <w:t xml:space="preserve"> package is lodged by the applicant to the </w:t>
      </w:r>
      <w:r w:rsidR="00547225">
        <w:t>D</w:t>
      </w:r>
      <w:r w:rsidR="00B32768" w:rsidRPr="00B32768">
        <w:t>epartment before it is legislatively formalised by the Minister</w:t>
      </w:r>
      <w:r w:rsidR="00096B55">
        <w:t xml:space="preserve"> for Health</w:t>
      </w:r>
      <w:r w:rsidR="00F23BFE">
        <w:t xml:space="preserve">. If the PBAC does not </w:t>
      </w:r>
      <w:r w:rsidR="0010788D">
        <w:t>recommend</w:t>
      </w:r>
      <w:r w:rsidR="00D242B6">
        <w:t xml:space="preserve"> a medicine </w:t>
      </w:r>
      <w:r w:rsidR="00393D14">
        <w:t xml:space="preserve">for listing </w:t>
      </w:r>
      <w:r w:rsidR="00B34BAB">
        <w:t>due</w:t>
      </w:r>
      <w:r w:rsidR="007E2845">
        <w:t xml:space="preserve"> </w:t>
      </w:r>
      <w:r w:rsidR="00533B11">
        <w:t>to the proposed price</w:t>
      </w:r>
      <w:r w:rsidR="00733810">
        <w:t xml:space="preserve">, </w:t>
      </w:r>
      <w:r w:rsidR="00133283">
        <w:t>the applicant is responsible for proposing a more cost-effective price thro</w:t>
      </w:r>
      <w:r w:rsidR="00457723">
        <w:t xml:space="preserve">ugh a resubmission. </w:t>
      </w:r>
    </w:p>
    <w:p w14:paraId="15098DA6" w14:textId="07CC9527" w:rsidR="0022194C" w:rsidRDefault="0022194C" w:rsidP="006A5FD6">
      <w:r>
        <w:t>In relation to uncertainty,</w:t>
      </w:r>
      <w:r w:rsidR="00797D2F">
        <w:t xml:space="preserve"> managed entry agreements (MEAs)</w:t>
      </w:r>
      <w:r>
        <w:t xml:space="preserve"> </w:t>
      </w:r>
      <w:r w:rsidR="009C6922">
        <w:t xml:space="preserve">between payers and </w:t>
      </w:r>
      <w:r w:rsidR="00C74F87">
        <w:t>sponsors</w:t>
      </w:r>
      <w:r>
        <w:t xml:space="preserve"> </w:t>
      </w:r>
      <w:r w:rsidR="000F33E9">
        <w:t>are</w:t>
      </w:r>
      <w:r>
        <w:t xml:space="preserve"> used internationally</w:t>
      </w:r>
      <w:r w:rsidR="00797D2F">
        <w:t xml:space="preserve"> to </w:t>
      </w:r>
      <w:r w:rsidR="005F7CAB">
        <w:t>facilitate</w:t>
      </w:r>
      <w:r w:rsidR="00797D2F">
        <w:t xml:space="preserve"> timely patient access to advanced healthcare treatments, particularly when there is uncertainty about their clinical or cost-effectiveness.</w:t>
      </w:r>
      <w:r w:rsidR="00E53D06">
        <w:t xml:space="preserve"> </w:t>
      </w:r>
      <w:r w:rsidR="00703678">
        <w:t xml:space="preserve">MEAs </w:t>
      </w:r>
      <w:r w:rsidR="009170D1">
        <w:t>have been</w:t>
      </w:r>
      <w:r w:rsidR="00703678" w:rsidRPr="00703678">
        <w:t xml:space="preserve"> predominantly used for high-cost therapies </w:t>
      </w:r>
      <w:r w:rsidR="3835204D">
        <w:t xml:space="preserve">where major health benefits are anticipated, with most examples being </w:t>
      </w:r>
      <w:r w:rsidR="00703678">
        <w:t>in</w:t>
      </w:r>
      <w:r w:rsidR="00703678" w:rsidRPr="00703678">
        <w:t xml:space="preserve"> oncology and rare diseases</w:t>
      </w:r>
      <w:r w:rsidR="008B7A1E">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fldChar w:fldCharType="end"/>
      </w:r>
      <w:r w:rsidR="00703678" w:rsidRPr="00703678">
        <w:t>. Innovative approaches are being explored worldwide to refine MEAs for emerging therapies</w:t>
      </w:r>
      <w:r w:rsidR="00EF3DAC">
        <w:t>.</w:t>
      </w:r>
    </w:p>
    <w:p w14:paraId="1CFD8258" w14:textId="043E554F" w:rsidR="00CF3F23" w:rsidRPr="00EB5891" w:rsidRDefault="00E53D06" w:rsidP="006A5FD6">
      <w:r w:rsidRPr="00E53D06">
        <w:t xml:space="preserve">Australia currently operates several early </w:t>
      </w:r>
      <w:r w:rsidR="00C04CB2">
        <w:t>MEAs</w:t>
      </w:r>
      <w:r w:rsidRPr="00E53D06">
        <w:t xml:space="preserve"> or pathways, including </w:t>
      </w:r>
      <w:r w:rsidR="006E10D3">
        <w:t xml:space="preserve">the </w:t>
      </w:r>
      <w:r w:rsidRPr="00E53D06">
        <w:t xml:space="preserve">Managed Access Program (MAP) to provide access to products with </w:t>
      </w:r>
      <w:r w:rsidR="00A310B0">
        <w:t>HUCN</w:t>
      </w:r>
      <w:r w:rsidR="00D027D9">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fldChar w:fldCharType="end"/>
      </w:r>
      <w:r w:rsidRPr="00E53D06">
        <w:t xml:space="preserve"> but which have been identified by the PBAC/MSAC as having otherwise unacceptable clinical or economic uncertainty. PBAC and MSAC may </w:t>
      </w:r>
      <w:r w:rsidR="00CE03B7">
        <w:t xml:space="preserve">also </w:t>
      </w:r>
      <w:r w:rsidRPr="00E53D06">
        <w:t>recommend that specific products be subject to financial-based MEAs (such as discounts, rebates, and volume/expenditure caps), or performance</w:t>
      </w:r>
      <w:r w:rsidR="006A6D4B">
        <w:t>-</w:t>
      </w:r>
      <w:r w:rsidRPr="00E53D06">
        <w:t xml:space="preserve">based MEAs (typically </w:t>
      </w:r>
      <w:r w:rsidR="006F2DD7">
        <w:t>C</w:t>
      </w:r>
      <w:r w:rsidRPr="00E53D06">
        <w:t xml:space="preserve">overage with </w:t>
      </w:r>
      <w:r w:rsidR="006F2DD7">
        <w:t>E</w:t>
      </w:r>
      <w:r w:rsidRPr="00E53D06">
        <w:t xml:space="preserve">vidence </w:t>
      </w:r>
      <w:r w:rsidR="00CC741C">
        <w:t>Development (</w:t>
      </w:r>
      <w:r w:rsidR="006F2DD7">
        <w:t xml:space="preserve">CED) </w:t>
      </w:r>
      <w:r w:rsidRPr="00E53D06">
        <w:t>or payment-by-result</w:t>
      </w:r>
      <w:r w:rsidR="00597ED8">
        <w:t>/Pay-for-performance</w:t>
      </w:r>
      <w:r w:rsidRPr="00E53D06">
        <w:t>) within a risk-share arrangement context. MEAs can be considered within the usual PBAC/MSAC pathways and/or within the pathways of MAPs and the LDSP</w:t>
      </w:r>
      <w:r w:rsidR="00766AF3">
        <w:t>.</w:t>
      </w:r>
    </w:p>
    <w:p w14:paraId="7923756D" w14:textId="77D3217D" w:rsidR="00786A4F" w:rsidRDefault="00786A4F" w:rsidP="008D6185">
      <w:pPr>
        <w:pStyle w:val="Heading3"/>
        <w:rPr>
          <w:i/>
        </w:rPr>
      </w:pPr>
      <w:bookmarkStart w:id="192" w:name="_Toc157029102"/>
      <w:r w:rsidRPr="006647C5">
        <w:t>What we heard from stakeholders</w:t>
      </w:r>
      <w:bookmarkEnd w:id="192"/>
    </w:p>
    <w:p w14:paraId="066CE2FC" w14:textId="418D5DC0" w:rsidR="0066243C" w:rsidRDefault="0066243C" w:rsidP="0066243C">
      <w:pPr>
        <w:rPr>
          <w:lang w:val="en-US"/>
        </w:rPr>
      </w:pPr>
      <w:r w:rsidRPr="008422A0">
        <w:rPr>
          <w:lang w:val="en-US"/>
        </w:rPr>
        <w:t xml:space="preserve">Throughout the consultation submissions, a key matter of concern for stakeholders in the HTA process </w:t>
      </w:r>
      <w:r w:rsidR="00A561CA">
        <w:rPr>
          <w:lang w:val="en-US"/>
        </w:rPr>
        <w:t>has been</w:t>
      </w:r>
      <w:r w:rsidR="00A561CA" w:rsidRPr="008422A0">
        <w:rPr>
          <w:lang w:val="en-US"/>
        </w:rPr>
        <w:t xml:space="preserve"> </w:t>
      </w:r>
      <w:r w:rsidRPr="008422A0">
        <w:rPr>
          <w:lang w:val="en-US"/>
        </w:rPr>
        <w:t>the consideration of how best to manage uncertainty with respect to clinical outcomes, value for money (cost-effectiveness) and the overall financial impact</w:t>
      </w:r>
      <w:r w:rsidR="00711027">
        <w:rPr>
          <w:lang w:val="en-US"/>
        </w:rPr>
        <w:fldChar w:fldCharType="begin"/>
      </w:r>
      <w:r w:rsidR="00711027">
        <w:instrText xml:space="preserve"> XE "</w:instrText>
      </w:r>
      <w:r w:rsidR="00711027" w:rsidRPr="007012C9">
        <w:rPr>
          <w:rFonts w:eastAsia="Arial"/>
          <w:color w:val="000000" w:themeColor="text1"/>
        </w:rPr>
        <w:instrText>financial impact</w:instrText>
      </w:r>
      <w:r w:rsidR="00711027">
        <w:instrText xml:space="preserve">" </w:instrText>
      </w:r>
      <w:r w:rsidR="00711027">
        <w:rPr>
          <w:lang w:val="en-US"/>
        </w:rPr>
        <w:fldChar w:fldCharType="end"/>
      </w:r>
      <w:r w:rsidRPr="008422A0">
        <w:rPr>
          <w:lang w:val="en-US"/>
        </w:rPr>
        <w:t xml:space="preserve"> (</w:t>
      </w:r>
      <w:r w:rsidR="00060EFD">
        <w:rPr>
          <w:lang w:val="en-US"/>
        </w:rPr>
        <w:t>i.e.</w:t>
      </w:r>
      <w:r w:rsidRPr="008422A0">
        <w:rPr>
          <w:lang w:val="en-US"/>
        </w:rPr>
        <w:t xml:space="preserve"> cost to patients</w:t>
      </w:r>
      <w:r w:rsidR="00B82E20">
        <w:rPr>
          <w:lang w:val="en-US"/>
        </w:rPr>
        <w:t xml:space="preserve">, the </w:t>
      </w:r>
      <w:r w:rsidR="006900B0">
        <w:rPr>
          <w:lang w:val="en-US"/>
        </w:rPr>
        <w:t>Commonwealth</w:t>
      </w:r>
      <w:r w:rsidR="00B82E20">
        <w:rPr>
          <w:lang w:val="en-US"/>
        </w:rPr>
        <w:t>,</w:t>
      </w:r>
      <w:r w:rsidR="006900B0">
        <w:rPr>
          <w:lang w:val="en-US"/>
        </w:rPr>
        <w:t xml:space="preserve"> and state and territory governments</w:t>
      </w:r>
      <w:r w:rsidR="00FC6010">
        <w:rPr>
          <w:lang w:val="en-US"/>
        </w:rPr>
        <w:fldChar w:fldCharType="begin"/>
      </w:r>
      <w:r w:rsidR="00FC6010">
        <w:instrText xml:space="preserve"> XE "</w:instrText>
      </w:r>
      <w:r w:rsidR="00FC6010" w:rsidRPr="00F75783">
        <w:rPr>
          <w:rFonts w:eastAsia="Times New Roman" w:cs="Segoe UI"/>
          <w:color w:val="222A35"/>
          <w:kern w:val="24"/>
          <w:sz w:val="20"/>
          <w:szCs w:val="20"/>
          <w:lang w:eastAsia="en-AU"/>
        </w:rPr>
        <w:instrText>state and territory governments</w:instrText>
      </w:r>
      <w:r w:rsidR="00FC6010">
        <w:instrText xml:space="preserve">" \b </w:instrText>
      </w:r>
      <w:r w:rsidR="00FC6010">
        <w:rPr>
          <w:lang w:val="en-US"/>
        </w:rPr>
        <w:fldChar w:fldCharType="end"/>
      </w:r>
      <w:r w:rsidRPr="008422A0">
        <w:rPr>
          <w:lang w:val="en-US"/>
        </w:rPr>
        <w:t>) associated with healthcare technologies. </w:t>
      </w:r>
      <w:r w:rsidR="007E585C">
        <w:rPr>
          <w:lang w:val="en-US"/>
        </w:rPr>
        <w:t xml:space="preserve">Much of the input did not discuss financial and </w:t>
      </w:r>
      <w:r w:rsidR="00111DB6">
        <w:rPr>
          <w:lang w:val="en-US"/>
        </w:rPr>
        <w:t xml:space="preserve">budgetary impact of funding health technologies </w:t>
      </w:r>
      <w:r w:rsidR="00B36BCC">
        <w:rPr>
          <w:lang w:val="en-US"/>
        </w:rPr>
        <w:t>explicitly</w:t>
      </w:r>
      <w:r w:rsidR="00AB7211">
        <w:rPr>
          <w:lang w:val="en-US"/>
        </w:rPr>
        <w:t xml:space="preserve"> </w:t>
      </w:r>
      <w:r w:rsidR="00F04149">
        <w:rPr>
          <w:lang w:val="en-US"/>
        </w:rPr>
        <w:t>with</w:t>
      </w:r>
      <w:r w:rsidR="00991F11">
        <w:rPr>
          <w:lang w:val="en-US"/>
        </w:rPr>
        <w:t xml:space="preserve"> views regarding funding practices</w:t>
      </w:r>
      <w:r w:rsidR="00F05453">
        <w:rPr>
          <w:lang w:val="en-US"/>
        </w:rPr>
        <w:t xml:space="preserve"> </w:t>
      </w:r>
      <w:r w:rsidR="00F04149">
        <w:rPr>
          <w:lang w:val="en-US"/>
        </w:rPr>
        <w:t xml:space="preserve">being </w:t>
      </w:r>
      <w:r w:rsidR="00991F11">
        <w:rPr>
          <w:lang w:val="en-US"/>
        </w:rPr>
        <w:t xml:space="preserve">expressed indirectly </w:t>
      </w:r>
      <w:r w:rsidR="00D301ED">
        <w:rPr>
          <w:lang w:val="en-US"/>
        </w:rPr>
        <w:t>through comments</w:t>
      </w:r>
      <w:r w:rsidR="00745AEA">
        <w:rPr>
          <w:lang w:val="en-US"/>
        </w:rPr>
        <w:t xml:space="preserve"> </w:t>
      </w:r>
      <w:r w:rsidRPr="009C53E7">
        <w:rPr>
          <w:lang w:val="en-US"/>
        </w:rPr>
        <w:t>on clinical</w:t>
      </w:r>
      <w:r w:rsidR="005F63DB">
        <w:rPr>
          <w:lang w:val="en-US"/>
        </w:rPr>
        <w:t>/</w:t>
      </w:r>
      <w:r w:rsidRPr="009C53E7">
        <w:rPr>
          <w:lang w:val="en-US"/>
        </w:rPr>
        <w:t>cost effectiveness and ‘price negotiation</w:t>
      </w:r>
      <w:r w:rsidR="00182295">
        <w:rPr>
          <w:lang w:val="en-US"/>
        </w:rPr>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rPr>
          <w:lang w:val="en-US"/>
        </w:rPr>
        <w:fldChar w:fldCharType="end"/>
      </w:r>
      <w:r w:rsidRPr="009C53E7">
        <w:rPr>
          <w:lang w:val="en-US"/>
        </w:rPr>
        <w:t xml:space="preserve"> by </w:t>
      </w:r>
      <w:r w:rsidR="00E770A4">
        <w:rPr>
          <w:lang w:val="en-US"/>
        </w:rPr>
        <w:t>re</w:t>
      </w:r>
      <w:r w:rsidRPr="009C53E7">
        <w:rPr>
          <w:lang w:val="en-US"/>
        </w:rPr>
        <w:t>submission</w:t>
      </w:r>
      <w:r w:rsidR="00E770A4">
        <w:rPr>
          <w:lang w:val="en-US"/>
        </w:rPr>
        <w:t xml:space="preserve"> churn</w:t>
      </w:r>
      <w:r w:rsidRPr="009C53E7">
        <w:rPr>
          <w:lang w:val="en-US"/>
        </w:rPr>
        <w:t>’</w:t>
      </w:r>
      <w:r w:rsidR="0051096B">
        <w:rPr>
          <w:lang w:val="en-US"/>
        </w:rPr>
        <w:t>.</w:t>
      </w:r>
      <w:r w:rsidR="006A37A4">
        <w:rPr>
          <w:lang w:val="en-US"/>
        </w:rPr>
        <w:t xml:space="preserve"> </w:t>
      </w:r>
      <w:proofErr w:type="gramStart"/>
      <w:r w:rsidR="001A3ACE">
        <w:rPr>
          <w:lang w:val="en-US"/>
        </w:rPr>
        <w:t>A number of</w:t>
      </w:r>
      <w:proofErr w:type="gramEnd"/>
      <w:r w:rsidR="001A3ACE">
        <w:rPr>
          <w:lang w:val="en-US"/>
        </w:rPr>
        <w:t xml:space="preserve"> consultation submissions</w:t>
      </w:r>
      <w:r w:rsidR="00EC28B3">
        <w:rPr>
          <w:lang w:val="en-US"/>
        </w:rPr>
        <w:t xml:space="preserve"> called for changes in how</w:t>
      </w:r>
      <w:r w:rsidR="001A3ACE">
        <w:rPr>
          <w:lang w:val="en-US"/>
        </w:rPr>
        <w:t xml:space="preserve"> </w:t>
      </w:r>
      <w:r w:rsidR="001A3ACE" w:rsidRPr="001A3ACE">
        <w:rPr>
          <w:lang w:val="en-US"/>
        </w:rPr>
        <w:t>health technologies (including</w:t>
      </w:r>
      <w:r w:rsidR="0065651F">
        <w:rPr>
          <w:lang w:val="en-US"/>
        </w:rPr>
        <w:t>)</w:t>
      </w:r>
      <w:r w:rsidR="00EC28B3">
        <w:rPr>
          <w:lang w:val="en-US"/>
        </w:rPr>
        <w:t xml:space="preserve"> </w:t>
      </w:r>
      <w:r w:rsidR="00786E42">
        <w:rPr>
          <w:lang w:val="en-US"/>
        </w:rPr>
        <w:t>advanced therapie</w:t>
      </w:r>
      <w:r w:rsidR="00945A43">
        <w:rPr>
          <w:lang w:val="en-US"/>
        </w:rPr>
        <w:t>s</w:t>
      </w:r>
      <w:r w:rsidR="00700B73">
        <w:rPr>
          <w:lang w:val="en-US"/>
        </w:rPr>
        <w:fldChar w:fldCharType="begin"/>
      </w:r>
      <w:r w:rsidR="00700B73">
        <w:instrText xml:space="preserve"> XE "</w:instrText>
      </w:r>
      <w:r w:rsidR="00700B73" w:rsidRPr="00D231D2">
        <w:instrText>advanced therapies</w:instrText>
      </w:r>
      <w:r w:rsidR="00700B73">
        <w:instrText xml:space="preserve">" </w:instrText>
      </w:r>
      <w:r w:rsidR="00700B73">
        <w:rPr>
          <w:lang w:val="en-US"/>
        </w:rPr>
        <w:fldChar w:fldCharType="end"/>
      </w:r>
      <w:r w:rsidR="0065651F">
        <w:rPr>
          <w:lang w:val="en-US"/>
        </w:rPr>
        <w:t>)</w:t>
      </w:r>
      <w:r w:rsidR="001A3ACE" w:rsidRPr="001A3ACE">
        <w:rPr>
          <w:lang w:val="en-US"/>
        </w:rPr>
        <w:t xml:space="preserve"> are evaluated and funded, particularly with respect to the consideration of costs relative to the uncertain clinical benefit, and how the dual clinical and economic uncertainty is managed.</w:t>
      </w:r>
    </w:p>
    <w:p w14:paraId="06EBC54B" w14:textId="48105604" w:rsidR="004E5047" w:rsidRDefault="0066243C" w:rsidP="0066243C">
      <w:r w:rsidRPr="009C53E7">
        <w:rPr>
          <w:lang w:val="en-US"/>
        </w:rPr>
        <w:lastRenderedPageBreak/>
        <w:t>Stakeholders noted that while there are approaches to addressing clinical and economic</w:t>
      </w:r>
      <w:r w:rsidR="00EC4B31">
        <w:rPr>
          <w:lang w:val="en-US"/>
        </w:rPr>
        <w:t xml:space="preserve"> </w:t>
      </w:r>
      <w:r w:rsidRPr="009C53E7">
        <w:rPr>
          <w:lang w:val="en-US"/>
        </w:rPr>
        <w:t xml:space="preserve">uncertainty within the system, particularly in the form of </w:t>
      </w:r>
      <w:r w:rsidR="00EC4B31">
        <w:rPr>
          <w:lang w:val="en-US"/>
        </w:rPr>
        <w:t>MAPs</w:t>
      </w:r>
      <w:r w:rsidRPr="009C53E7">
        <w:rPr>
          <w:lang w:val="en-US"/>
        </w:rPr>
        <w:t xml:space="preserve">, they tend to be </w:t>
      </w:r>
      <w:proofErr w:type="spellStart"/>
      <w:r w:rsidRPr="009C53E7">
        <w:rPr>
          <w:lang w:val="en-US"/>
        </w:rPr>
        <w:t>underutilised</w:t>
      </w:r>
      <w:proofErr w:type="spellEnd"/>
      <w:r w:rsidRPr="009C53E7">
        <w:rPr>
          <w:lang w:val="en-US"/>
        </w:rPr>
        <w:t xml:space="preserve">. </w:t>
      </w:r>
      <w:r w:rsidR="00D86ED1">
        <w:t>Some stakeholders</w:t>
      </w:r>
      <w:r w:rsidR="00E244DE">
        <w:t xml:space="preserve"> from the industry sector</w:t>
      </w:r>
      <w:r w:rsidR="00D86ED1">
        <w:t xml:space="preserve"> expressed</w:t>
      </w:r>
      <w:r w:rsidR="00346F68">
        <w:t xml:space="preserve"> </w:t>
      </w:r>
      <w:r w:rsidR="00954EDD">
        <w:t>the view</w:t>
      </w:r>
      <w:r w:rsidR="00346F68">
        <w:t xml:space="preserve"> that uncertainty was being used as </w:t>
      </w:r>
      <w:r w:rsidR="003A0449">
        <w:t>a lever</w:t>
      </w:r>
      <w:r w:rsidR="00346F68">
        <w:t xml:space="preserve"> to lower prices, hindering efforts to focus on the plausible case. MAPs may be rejected by the global headquarters of the sponsor due to the low prices. Additionally,</w:t>
      </w:r>
      <w:r w:rsidR="004E5047">
        <w:t xml:space="preserve"> we have heard that</w:t>
      </w:r>
      <w:r w:rsidR="00346F68">
        <w:t xml:space="preserve"> sponsors may be hesitant to invest in CED programs </w:t>
      </w:r>
      <w:r w:rsidR="002B2E21">
        <w:t>across</w:t>
      </w:r>
      <w:r w:rsidR="00346F68">
        <w:t xml:space="preserve"> multiple countries</w:t>
      </w:r>
      <w:r w:rsidR="004E5047">
        <w:t>.</w:t>
      </w:r>
      <w:r w:rsidR="00346F68">
        <w:t xml:space="preserve"> </w:t>
      </w:r>
    </w:p>
    <w:p w14:paraId="1A4C8C28" w14:textId="760600FF" w:rsidR="0066243C" w:rsidRPr="008422A0" w:rsidRDefault="00346F68" w:rsidP="0066243C">
      <w:pPr>
        <w:rPr>
          <w:lang w:val="en-US"/>
        </w:rPr>
      </w:pPr>
      <w:r>
        <w:t xml:space="preserve">Significant data collection infrastructure and governance also needs to be established to support program development. </w:t>
      </w:r>
      <w:r w:rsidR="007328EC">
        <w:rPr>
          <w:lang w:val="en-US"/>
        </w:rPr>
        <w:t>Stakeholders from the industry sector</w:t>
      </w:r>
      <w:r w:rsidR="0066243C">
        <w:rPr>
          <w:lang w:val="en-US"/>
        </w:rPr>
        <w:t xml:space="preserve"> considered that this</w:t>
      </w:r>
      <w:r w:rsidR="0066243C" w:rsidRPr="009C53E7">
        <w:rPr>
          <w:lang w:val="en-US"/>
        </w:rPr>
        <w:t>, coupled with a conservative stance in relation to how uncertainty is viewed</w:t>
      </w:r>
      <w:r w:rsidR="00E150C1">
        <w:rPr>
          <w:lang w:val="en-US"/>
        </w:rPr>
        <w:t xml:space="preserve"> in the current system</w:t>
      </w:r>
      <w:r w:rsidR="0066243C" w:rsidRPr="009C53E7">
        <w:rPr>
          <w:lang w:val="en-US"/>
        </w:rPr>
        <w:t>, results in delays in reimbursement and pricing decision-making while steps to address clinical</w:t>
      </w:r>
      <w:r w:rsidR="005F7A59">
        <w:rPr>
          <w:lang w:val="en-US"/>
        </w:rPr>
        <w:t xml:space="preserve"> and </w:t>
      </w:r>
      <w:r w:rsidR="0066243C" w:rsidRPr="009C53E7">
        <w:rPr>
          <w:lang w:val="en-US"/>
        </w:rPr>
        <w:t>economic uncertainty are agreed to throughout the HTA process.</w:t>
      </w:r>
    </w:p>
    <w:p w14:paraId="3EC5CE66" w14:textId="1B495E1E" w:rsidR="008479B7" w:rsidRDefault="008479B7" w:rsidP="008D6185">
      <w:pPr>
        <w:pStyle w:val="Heading3"/>
      </w:pPr>
      <w:bookmarkStart w:id="193" w:name="_Toc157029103"/>
      <w:r>
        <w:t>Issues</w:t>
      </w:r>
      <w:bookmarkEnd w:id="193"/>
    </w:p>
    <w:p w14:paraId="7FB4CA85" w14:textId="7D0E5F4D" w:rsidR="003670C9" w:rsidRDefault="003670C9" w:rsidP="003670C9">
      <w:pPr>
        <w:pStyle w:val="Heading4"/>
      </w:pPr>
      <w:r>
        <w:t>Managing uncertainty</w:t>
      </w:r>
    </w:p>
    <w:p w14:paraId="60DC7F39" w14:textId="2CA82DB0" w:rsidR="008479B7" w:rsidRDefault="00E90FA1" w:rsidP="008479B7">
      <w:r>
        <w:t>We consider</w:t>
      </w:r>
      <w:r w:rsidR="008479B7">
        <w:t xml:space="preserve"> that </w:t>
      </w:r>
      <w:r w:rsidR="00A8563C">
        <w:t>a</w:t>
      </w:r>
      <w:r w:rsidR="008479B7">
        <w:t xml:space="preserve"> core </w:t>
      </w:r>
      <w:r w:rsidR="00A8563C">
        <w:t>issue for consideration</w:t>
      </w:r>
      <w:r w:rsidR="00BE190C">
        <w:t xml:space="preserve"> in relation to this</w:t>
      </w:r>
      <w:r w:rsidR="008479B7">
        <w:t xml:space="preserve"> topic </w:t>
      </w:r>
      <w:r w:rsidR="002B7ECE">
        <w:t>is</w:t>
      </w:r>
      <w:r w:rsidR="008479B7">
        <w:t xml:space="preserve"> whether revisions to the current funding, purchasing and/or uncertainty management arrangements could improve the balance between access, cost, </w:t>
      </w:r>
      <w:proofErr w:type="gramStart"/>
      <w:r w:rsidR="008479B7">
        <w:t>timeliness</w:t>
      </w:r>
      <w:proofErr w:type="gramEnd"/>
      <w:r w:rsidR="008479B7">
        <w:t xml:space="preserve"> and quality of decision-making associated with health technologies, to facilitate improved health technology access for Australian patients. </w:t>
      </w:r>
    </w:p>
    <w:p w14:paraId="0609A12D" w14:textId="12FFFDB0" w:rsidR="008479B7" w:rsidRDefault="00414CEF" w:rsidP="008479B7">
      <w:r>
        <w:t>We note</w:t>
      </w:r>
      <w:r w:rsidR="008479B7">
        <w:t xml:space="preserve"> from the stakeholder submissions and </w:t>
      </w:r>
      <w:r>
        <w:t>HTA expert</w:t>
      </w:r>
      <w:r w:rsidR="008479B7">
        <w:t xml:space="preserve"> papers that across healthcare systems, frameworks to support healthcare payers in making funding and purchasing decisions for health technologies reflect the local policy, legislative and social contexts. </w:t>
      </w:r>
    </w:p>
    <w:p w14:paraId="4BE7CC67" w14:textId="61A92805" w:rsidR="008479B7" w:rsidRDefault="00806A16" w:rsidP="008479B7">
      <w:r>
        <w:t>We have</w:t>
      </w:r>
      <w:r w:rsidR="008479B7">
        <w:t xml:space="preserve"> identified that certain common concepts and ideas from </w:t>
      </w:r>
      <w:r w:rsidR="00190547">
        <w:t>other countries</w:t>
      </w:r>
      <w:r w:rsidR="008479B7">
        <w:t xml:space="preserve"> around funding sources, financial/contract management and negotiation processes have been successful in improving timely access to </w:t>
      </w:r>
      <w:r w:rsidR="00D078C3">
        <w:t xml:space="preserve">HATV </w:t>
      </w:r>
      <w:r w:rsidR="008479B7">
        <w:t xml:space="preserve">medicines for patients and may be transferrable and applicable to the Australian healthcare context. </w:t>
      </w:r>
    </w:p>
    <w:p w14:paraId="169966AF" w14:textId="7481F6AA" w:rsidR="008479B7" w:rsidRDefault="008479B7" w:rsidP="008479B7">
      <w:r>
        <w:t xml:space="preserve">In deliberating on the options that have been presented for further consultation, </w:t>
      </w:r>
      <w:r w:rsidR="00B649D1">
        <w:t>we</w:t>
      </w:r>
      <w:r>
        <w:t xml:space="preserve"> note that for any such framework to be successful and responsive to the needs of </w:t>
      </w:r>
      <w:r w:rsidR="002E0CB4">
        <w:t>consumers</w:t>
      </w:r>
      <w:r>
        <w:t xml:space="preserve">, proper identification, </w:t>
      </w:r>
      <w:proofErr w:type="gramStart"/>
      <w:r>
        <w:t>measurement</w:t>
      </w:r>
      <w:proofErr w:type="gramEnd"/>
      <w:r>
        <w:t xml:space="preserve"> and evaluation of stakeholder-agreed indicators </w:t>
      </w:r>
      <w:r w:rsidR="008B2BE7">
        <w:t>with</w:t>
      </w:r>
      <w:r>
        <w:t xml:space="preserve"> respect of access, cost, timeliness and quality of decision-making will be essential. </w:t>
      </w:r>
    </w:p>
    <w:p w14:paraId="534E5D4B" w14:textId="21F2A1D7" w:rsidR="00E27D74" w:rsidRPr="0016583A" w:rsidRDefault="0016583A" w:rsidP="0016583A">
      <w:pPr>
        <w:spacing w:after="0"/>
        <w:rPr>
          <w:rFonts w:eastAsiaTheme="majorEastAsia" w:cstheme="majorBidi"/>
          <w:iCs/>
          <w:color w:val="008A96" w:themeColor="accent3"/>
        </w:rPr>
      </w:pPr>
      <w:r w:rsidRPr="0016583A">
        <w:rPr>
          <w:rFonts w:eastAsiaTheme="majorEastAsia" w:cstheme="majorBidi"/>
          <w:iCs/>
          <w:color w:val="008A96" w:themeColor="accent3"/>
        </w:rPr>
        <w:t xml:space="preserve">Opportunity for resolution following HTA </w:t>
      </w:r>
      <w:r w:rsidR="00F829A4">
        <w:rPr>
          <w:rFonts w:eastAsiaTheme="majorEastAsia" w:cstheme="majorBidi"/>
          <w:iCs/>
          <w:color w:val="008A96" w:themeColor="accent3"/>
        </w:rPr>
        <w:t>c</w:t>
      </w:r>
      <w:r w:rsidRPr="0016583A">
        <w:rPr>
          <w:rFonts w:eastAsiaTheme="majorEastAsia" w:cstheme="majorBidi"/>
          <w:iCs/>
          <w:color w:val="008A96" w:themeColor="accent3"/>
        </w:rPr>
        <w:t xml:space="preserve">ommittee </w:t>
      </w:r>
      <w:proofErr w:type="gramStart"/>
      <w:r w:rsidR="00F829A4">
        <w:rPr>
          <w:rFonts w:eastAsiaTheme="majorEastAsia" w:cstheme="majorBidi"/>
          <w:iCs/>
          <w:color w:val="008A96" w:themeColor="accent3"/>
        </w:rPr>
        <w:t>c</w:t>
      </w:r>
      <w:r w:rsidRPr="0016583A">
        <w:rPr>
          <w:rFonts w:eastAsiaTheme="majorEastAsia" w:cstheme="majorBidi"/>
          <w:iCs/>
          <w:color w:val="008A96" w:themeColor="accent3"/>
        </w:rPr>
        <w:t>onsideration</w:t>
      </w:r>
      <w:proofErr w:type="gramEnd"/>
      <w:r w:rsidRPr="0016583A">
        <w:rPr>
          <w:rFonts w:eastAsiaTheme="majorEastAsia" w:cstheme="majorBidi"/>
          <w:iCs/>
          <w:color w:val="008A96" w:themeColor="accent3"/>
        </w:rPr>
        <w:t xml:space="preserve"> </w:t>
      </w:r>
    </w:p>
    <w:p w14:paraId="150ECFD4" w14:textId="0D57C66F" w:rsidR="007C7652" w:rsidRDefault="00A73990" w:rsidP="008479B7">
      <w:r>
        <w:t xml:space="preserve">We note that </w:t>
      </w:r>
      <w:r w:rsidR="00362A95">
        <w:t>resubmission churn</w:t>
      </w:r>
      <w:r w:rsidR="00577E30">
        <w:t xml:space="preserve"> is </w:t>
      </w:r>
      <w:r w:rsidR="009E1B52">
        <w:t xml:space="preserve">a key factor </w:t>
      </w:r>
      <w:r w:rsidR="006B3388">
        <w:t xml:space="preserve">in </w:t>
      </w:r>
      <w:r w:rsidR="007D29FE">
        <w:t xml:space="preserve">how long it takes to subsidise </w:t>
      </w:r>
      <w:r w:rsidR="006B3388">
        <w:t>a health technology</w:t>
      </w:r>
      <w:r w:rsidR="00E65794">
        <w:t xml:space="preserve">. While </w:t>
      </w:r>
      <w:r w:rsidR="002A7F53">
        <w:t xml:space="preserve">resubmission pathways introduced in </w:t>
      </w:r>
      <w:r w:rsidR="00FC30DE">
        <w:t xml:space="preserve">2021 have </w:t>
      </w:r>
      <w:r w:rsidR="00A81F39">
        <w:t xml:space="preserve">assisted in shortening the time in which advisory committees and sponsors </w:t>
      </w:r>
      <w:r w:rsidR="00385128">
        <w:t>are able to</w:t>
      </w:r>
      <w:r w:rsidR="00A81F39">
        <w:t xml:space="preserve"> resolve issues, </w:t>
      </w:r>
      <w:r w:rsidR="000318BC">
        <w:t xml:space="preserve">the </w:t>
      </w:r>
      <w:r w:rsidR="00756419">
        <w:t xml:space="preserve">time </w:t>
      </w:r>
      <w:r w:rsidR="00224E88">
        <w:t xml:space="preserve">taken </w:t>
      </w:r>
      <w:r w:rsidR="00756419">
        <w:t>to subsid</w:t>
      </w:r>
      <w:r w:rsidR="00A4692B">
        <w:t>ise</w:t>
      </w:r>
      <w:r w:rsidR="00756419">
        <w:t xml:space="preserve"> health technologies </w:t>
      </w:r>
      <w:r w:rsidR="000318BC">
        <w:t xml:space="preserve">that </w:t>
      </w:r>
      <w:r w:rsidR="00756419">
        <w:t xml:space="preserve">do not receive a positive </w:t>
      </w:r>
      <w:r w:rsidR="00756419">
        <w:lastRenderedPageBreak/>
        <w:t xml:space="preserve">recommendation </w:t>
      </w:r>
      <w:r w:rsidR="00503331">
        <w:t xml:space="preserve">at first consideration by an advisory </w:t>
      </w:r>
      <w:r w:rsidR="00252A7F">
        <w:t>c</w:t>
      </w:r>
      <w:r w:rsidR="00503331">
        <w:t>ommittee</w:t>
      </w:r>
      <w:r w:rsidR="00D54BE0">
        <w:t xml:space="preserve"> </w:t>
      </w:r>
      <w:r w:rsidR="000D1018">
        <w:t xml:space="preserve">is several months longer than those </w:t>
      </w:r>
      <w:r w:rsidR="0023332A">
        <w:t>that</w:t>
      </w:r>
      <w:r w:rsidR="005A04F7">
        <w:t xml:space="preserve"> do receive a positive recommendation at first consideration. </w:t>
      </w:r>
    </w:p>
    <w:p w14:paraId="61E124C1" w14:textId="64D3E618" w:rsidR="00974404" w:rsidRDefault="00A1019C" w:rsidP="008479B7">
      <w:r>
        <w:t>We consider</w:t>
      </w:r>
      <w:r w:rsidR="00971C0E">
        <w:t xml:space="preserve"> that </w:t>
      </w:r>
      <w:r w:rsidR="004A5DE9">
        <w:t>allowing</w:t>
      </w:r>
      <w:r w:rsidR="001073FF">
        <w:t xml:space="preserve"> for identified issues to be resolved over a short period of time may </w:t>
      </w:r>
      <w:r w:rsidR="00615D81">
        <w:t>allow some submissions to be</w:t>
      </w:r>
      <w:r w:rsidR="00B84D93">
        <w:t>come acceptable for positive recommendation</w:t>
      </w:r>
      <w:r w:rsidR="00D50FE4">
        <w:t xml:space="preserve"> by </w:t>
      </w:r>
      <w:r w:rsidR="00336403">
        <w:t>the HTA</w:t>
      </w:r>
      <w:r w:rsidR="00DB5F1C">
        <w:t xml:space="preserve"> </w:t>
      </w:r>
      <w:r w:rsidR="00B901DC">
        <w:t>C</w:t>
      </w:r>
      <w:r w:rsidR="00DB5F1C">
        <w:t>ommittee</w:t>
      </w:r>
      <w:r w:rsidR="00B84D93">
        <w:t>.</w:t>
      </w:r>
      <w:r w:rsidR="00DB5F1C">
        <w:t xml:space="preserve"> </w:t>
      </w:r>
    </w:p>
    <w:p w14:paraId="5851DE23" w14:textId="69832987" w:rsidR="00F47A88" w:rsidRPr="00F47A88" w:rsidRDefault="00993086" w:rsidP="00F47A88">
      <w:r>
        <w:t>We consider that a</w:t>
      </w:r>
      <w:r w:rsidR="00F47A88" w:rsidRPr="00F47A88">
        <w:t>n alternate HTA process sequence that may improv</w:t>
      </w:r>
      <w:r w:rsidR="00177973">
        <w:t xml:space="preserve">e </w:t>
      </w:r>
      <w:r w:rsidR="00F47A88" w:rsidRPr="00F47A88">
        <w:t xml:space="preserve">timely access to health technologies for </w:t>
      </w:r>
      <w:r w:rsidR="004E53B9">
        <w:t>HUCN</w:t>
      </w:r>
      <w:r w:rsidR="00D027D9">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fldChar w:fldCharType="end"/>
      </w:r>
      <w:r w:rsidR="00F47A88" w:rsidRPr="00F47A88">
        <w:t xml:space="preserve"> would be for sponsors to receive early notice of negative HTA </w:t>
      </w:r>
      <w:r w:rsidR="00AA2BA3">
        <w:t>C</w:t>
      </w:r>
      <w:r w:rsidR="00F47A88" w:rsidRPr="00F47A88">
        <w:t xml:space="preserve">ommittee recommendations due to clinical, economic, pricing and/or budgetary impact concerns. With the additional pricing-related context of the HTA </w:t>
      </w:r>
      <w:r w:rsidR="00163DE1">
        <w:t>c</w:t>
      </w:r>
      <w:r w:rsidR="00F47A88" w:rsidRPr="00F47A88">
        <w:t xml:space="preserve">ommittee recommendation in hand, sponsors would be provided a </w:t>
      </w:r>
      <w:r w:rsidR="003B5A3F">
        <w:t xml:space="preserve">single </w:t>
      </w:r>
      <w:r w:rsidR="00F47A88" w:rsidRPr="00F47A88">
        <w:t xml:space="preserve">time-limited opportunity to revise the submission to resolve identified concerns, such as via revisions to the price and/or use of </w:t>
      </w:r>
      <w:r w:rsidR="00ED721F">
        <w:t>MEAs</w:t>
      </w:r>
      <w:r w:rsidR="00F47A88" w:rsidRPr="00F47A88">
        <w:t xml:space="preserve"> in negotiations with the Commonwealth, or an opportunity to decline revisions and for the HTA Committee to finalise its negative recommendation.</w:t>
      </w:r>
      <w:r w:rsidR="007A1B3A">
        <w:t xml:space="preserve"> </w:t>
      </w:r>
    </w:p>
    <w:p w14:paraId="2974EBFD" w14:textId="31D2288F" w:rsidR="00F47A88" w:rsidRDefault="00F47A88" w:rsidP="008479B7">
      <w:r w:rsidRPr="00F47A88">
        <w:t xml:space="preserve">The revised submission would then be reviewed by the HTA </w:t>
      </w:r>
      <w:r w:rsidR="00E17763">
        <w:t>C</w:t>
      </w:r>
      <w:r w:rsidRPr="00F47A88">
        <w:t>ommittee as part of finalising the HTA recommendation, either resulting in a final positive recommendation, or a confirmed negative recommendation (and exit from the HTA process).</w:t>
      </w:r>
      <w:r w:rsidR="007A1B3A">
        <w:t xml:space="preserve"> </w:t>
      </w:r>
      <w:r w:rsidRPr="00F47A88">
        <w:t> </w:t>
      </w:r>
    </w:p>
    <w:p w14:paraId="31E59988" w14:textId="60CA00BF" w:rsidR="0042099F" w:rsidRDefault="00DE7399" w:rsidP="000148A2">
      <w:pPr>
        <w:spacing w:after="0"/>
        <w:rPr>
          <w:rFonts w:eastAsiaTheme="majorEastAsia" w:cstheme="majorBidi"/>
          <w:color w:val="008A96" w:themeColor="accent3"/>
        </w:rPr>
      </w:pPr>
      <w:r>
        <w:rPr>
          <w:rFonts w:eastAsiaTheme="majorEastAsia" w:cstheme="majorBidi"/>
          <w:iCs/>
          <w:color w:val="008A96" w:themeColor="accent3"/>
        </w:rPr>
        <w:t>B</w:t>
      </w:r>
      <w:r w:rsidRPr="00DE7399">
        <w:rPr>
          <w:rFonts w:eastAsiaTheme="majorEastAsia" w:cstheme="majorBidi"/>
          <w:iCs/>
          <w:color w:val="008A96" w:themeColor="accent3"/>
        </w:rPr>
        <w:t>udget impact implications of high-cost/high</w:t>
      </w:r>
      <w:r w:rsidR="00694397">
        <w:rPr>
          <w:rFonts w:eastAsiaTheme="majorEastAsia" w:cstheme="majorBidi"/>
          <w:iCs/>
          <w:color w:val="008A96" w:themeColor="accent3"/>
        </w:rPr>
        <w:t>-</w:t>
      </w:r>
      <w:r w:rsidRPr="00DE7399">
        <w:rPr>
          <w:rFonts w:eastAsiaTheme="majorEastAsia" w:cstheme="majorBidi"/>
          <w:iCs/>
          <w:color w:val="008A96" w:themeColor="accent3"/>
        </w:rPr>
        <w:t>impact health technologies</w:t>
      </w:r>
    </w:p>
    <w:p w14:paraId="4B2096AE" w14:textId="28BE208F" w:rsidR="002F1A44" w:rsidRPr="00A527CF" w:rsidRDefault="002F1A44" w:rsidP="00A527CF">
      <w:r w:rsidRPr="00A527CF">
        <w:t xml:space="preserve">We note </w:t>
      </w:r>
      <w:r w:rsidR="00F565DE">
        <w:t>there is</w:t>
      </w:r>
      <w:r w:rsidRPr="00A527CF">
        <w:t xml:space="preserve"> increasing international experience with alternative financial arrangements to address the practical problems and risks associated with high-cost</w:t>
      </w:r>
      <w:r w:rsidR="004004CA">
        <w:t>/</w:t>
      </w:r>
      <w:r w:rsidRPr="00A527CF">
        <w:t xml:space="preserve">high-impact health technologies </w:t>
      </w:r>
      <w:r w:rsidR="00E83237">
        <w:t>for</w:t>
      </w:r>
      <w:r w:rsidR="00E83237" w:rsidRPr="00A527CF">
        <w:t xml:space="preserve"> </w:t>
      </w:r>
      <w:r w:rsidRPr="00A527CF">
        <w:t>health technology buyers and sellers</w:t>
      </w:r>
      <w:r w:rsidR="00E83237">
        <w:t xml:space="preserve">. These include </w:t>
      </w:r>
      <w:r w:rsidRPr="00A527CF">
        <w:t>specific patient-level product warranties, annuity/mortgage payments and “subscription-style” bulk</w:t>
      </w:r>
      <w:r w:rsidR="00244EC1">
        <w:t>-</w:t>
      </w:r>
      <w:r w:rsidRPr="00A527CF">
        <w:t xml:space="preserve">funding programs. </w:t>
      </w:r>
      <w:r w:rsidR="00E84832" w:rsidRPr="00A527CF">
        <w:t>We note</w:t>
      </w:r>
      <w:r w:rsidRPr="00A527CF">
        <w:t xml:space="preserve"> the use of alternative financial arrangements may in some cases</w:t>
      </w:r>
      <w:r w:rsidR="00BD4944">
        <w:t xml:space="preserve"> </w:t>
      </w:r>
      <w:r w:rsidRPr="00A527CF">
        <w:t>improve negotiation outcomes and facilitate health technology access for patients (</w:t>
      </w:r>
      <w:proofErr w:type="gramStart"/>
      <w:r w:rsidR="006A48DA">
        <w:t>e.g.</w:t>
      </w:r>
      <w:proofErr w:type="gramEnd"/>
      <w:r w:rsidRPr="00A527CF">
        <w:t xml:space="preserve"> pricing and reimbursement arrangements being piloted in Western Europe as part of pull incentives to encourage the development and provision of antimicrobials)</w:t>
      </w:r>
      <w:r w:rsidR="006C13CE">
        <w:t xml:space="preserve">. We would </w:t>
      </w:r>
      <w:r w:rsidRPr="00A527CF">
        <w:t>welcome feedback on the types of alternat</w:t>
      </w:r>
      <w:r w:rsidR="006C13CE">
        <w:t>ive</w:t>
      </w:r>
      <w:r w:rsidRPr="00A527CF">
        <w:t xml:space="preserve"> financing tools and instruments that could be used in the Australian healthcare context.</w:t>
      </w:r>
      <w:r w:rsidR="007A1B3A">
        <w:t xml:space="preserve"> </w:t>
      </w:r>
    </w:p>
    <w:p w14:paraId="032A9A35" w14:textId="46389744" w:rsidR="002F1A44" w:rsidRPr="00A527CF" w:rsidRDefault="002F1A44" w:rsidP="00A527CF">
      <w:r w:rsidRPr="00A527CF">
        <w:t xml:space="preserve">In proposing </w:t>
      </w:r>
      <w:r w:rsidR="00BF40CA" w:rsidRPr="00A527CF">
        <w:t xml:space="preserve">the </w:t>
      </w:r>
      <w:r w:rsidR="009662AF" w:rsidRPr="00A527CF">
        <w:t>option</w:t>
      </w:r>
      <w:r w:rsidR="00BF40CA" w:rsidRPr="00A527CF">
        <w:t xml:space="preserve"> to address budget impact</w:t>
      </w:r>
      <w:r w:rsidR="007A506F">
        <w:fldChar w:fldCharType="begin"/>
      </w:r>
      <w:r w:rsidR="007A506F">
        <w:instrText xml:space="preserve"> XE "</w:instrText>
      </w:r>
      <w:r w:rsidR="007A506F" w:rsidRPr="00C256AB">
        <w:rPr>
          <w:rFonts w:eastAsia="Times New Roman" w:cs="Segoe UI"/>
          <w:kern w:val="24"/>
          <w:lang w:eastAsia="en-AU"/>
        </w:rPr>
        <w:instrText>budget impact</w:instrText>
      </w:r>
      <w:r w:rsidR="007A506F">
        <w:instrText xml:space="preserve">" \b </w:instrText>
      </w:r>
      <w:r w:rsidR="007A506F">
        <w:fldChar w:fldCharType="end"/>
      </w:r>
      <w:r w:rsidR="00BF40CA" w:rsidRPr="00A527CF">
        <w:t xml:space="preserve"> implications of high-cost</w:t>
      </w:r>
      <w:r w:rsidR="007B0B2D">
        <w:t xml:space="preserve">, </w:t>
      </w:r>
      <w:r w:rsidR="00BF40CA" w:rsidRPr="00A527CF">
        <w:t>high</w:t>
      </w:r>
      <w:r w:rsidR="007B0B2D">
        <w:t>-</w:t>
      </w:r>
      <w:r w:rsidR="00BF40CA" w:rsidRPr="00A527CF">
        <w:t>impact health technologies</w:t>
      </w:r>
      <w:r w:rsidRPr="00A527CF">
        <w:t xml:space="preserve"> for further consultation, </w:t>
      </w:r>
      <w:r w:rsidR="002E68DE" w:rsidRPr="00A527CF">
        <w:t>we are</w:t>
      </w:r>
      <w:r w:rsidRPr="00A527CF">
        <w:t xml:space="preserve"> aware of the significant complexity associated with how expenditure of Commonwealth funds and the relevant accounting standards that apply to such expenditures are governed by financial and public governance legislation, and also note that sponsor companies may have certain obligations under corporations and commercial law </w:t>
      </w:r>
      <w:r w:rsidR="009412DA">
        <w:t>to</w:t>
      </w:r>
      <w:r w:rsidRPr="00A527CF">
        <w:t xml:space="preserve"> report income and revenue generated through product sales. It is therefore likely that, </w:t>
      </w:r>
      <w:r w:rsidR="00E65E82" w:rsidRPr="00A527CF">
        <w:t>if</w:t>
      </w:r>
      <w:r w:rsidRPr="00A527CF">
        <w:t xml:space="preserve"> this option </w:t>
      </w:r>
      <w:r w:rsidR="00E65E82" w:rsidRPr="00A527CF">
        <w:t>was</w:t>
      </w:r>
      <w:r w:rsidRPr="00A527CF">
        <w:t xml:space="preserve"> included in final HTA Review recommendations, extensive additional consultation outside of the</w:t>
      </w:r>
      <w:r w:rsidR="00472975">
        <w:t xml:space="preserve"> r</w:t>
      </w:r>
      <w:r w:rsidRPr="00A527CF">
        <w:t>eview w</w:t>
      </w:r>
      <w:r w:rsidR="00EE3393">
        <w:t>ould</w:t>
      </w:r>
      <w:r w:rsidRPr="00A527CF">
        <w:t xml:space="preserve"> be </w:t>
      </w:r>
      <w:r w:rsidRPr="00A527CF">
        <w:lastRenderedPageBreak/>
        <w:t xml:space="preserve">required with stakeholders and respective Commonwealth agencies (principally the </w:t>
      </w:r>
      <w:r w:rsidR="00A527CF" w:rsidRPr="00A527CF">
        <w:t xml:space="preserve">Commonwealth </w:t>
      </w:r>
      <w:r w:rsidRPr="00A527CF">
        <w:t>Department of Finance) to identify and address additional practical implementation risks associated with this option.</w:t>
      </w:r>
      <w:r w:rsidR="007A1B3A">
        <w:t xml:space="preserve"> </w:t>
      </w:r>
    </w:p>
    <w:p w14:paraId="2DC9D18E" w14:textId="03EDF98E" w:rsidR="003670C9" w:rsidRDefault="003670C9" w:rsidP="00725C3D">
      <w:pPr>
        <w:pStyle w:val="Heading4"/>
      </w:pPr>
      <w:r>
        <w:t xml:space="preserve">Recognising competition between </w:t>
      </w:r>
      <w:r w:rsidR="00725C3D">
        <w:t>different health technologies</w:t>
      </w:r>
    </w:p>
    <w:p w14:paraId="5B4D222A" w14:textId="50E3E20A" w:rsidR="00DD1183" w:rsidRDefault="00066A59" w:rsidP="00725C3D">
      <w:r>
        <w:t>Some new health technologies</w:t>
      </w:r>
      <w:r w:rsidR="003B7E45">
        <w:t xml:space="preserve"> are so similar</w:t>
      </w:r>
      <w:r w:rsidR="00A54633">
        <w:t xml:space="preserve"> in effect</w:t>
      </w:r>
      <w:r w:rsidR="003B7E45">
        <w:t xml:space="preserve"> to </w:t>
      </w:r>
      <w:r>
        <w:t xml:space="preserve">alternatives that </w:t>
      </w:r>
      <w:r w:rsidR="005031D0">
        <w:t>are already funde</w:t>
      </w:r>
      <w:r w:rsidR="00FD4D3A">
        <w:t>d</w:t>
      </w:r>
      <w:r w:rsidR="003B7E45">
        <w:t xml:space="preserve">, </w:t>
      </w:r>
      <w:r w:rsidR="006336EA">
        <w:t xml:space="preserve">that </w:t>
      </w:r>
      <w:r w:rsidR="003B7E45">
        <w:t xml:space="preserve">they offer </w:t>
      </w:r>
      <w:r w:rsidR="006C7BEC">
        <w:t>minimal</w:t>
      </w:r>
      <w:r w:rsidR="003B7E45">
        <w:t xml:space="preserve"> advantage</w:t>
      </w:r>
      <w:r w:rsidR="00FD4D3A">
        <w:t xml:space="preserve"> either in terms of improved efficacy and safety, or</w:t>
      </w:r>
      <w:r w:rsidR="00285AFA">
        <w:t xml:space="preserve"> as</w:t>
      </w:r>
      <w:r w:rsidR="00FD4D3A">
        <w:t xml:space="preserve"> an alternative treatment option </w:t>
      </w:r>
      <w:r w:rsidR="00285AFA">
        <w:t xml:space="preserve">that may deliver better outcomes for </w:t>
      </w:r>
      <w:r w:rsidR="006124C8">
        <w:t>some</w:t>
      </w:r>
      <w:r w:rsidR="00285AFA">
        <w:t xml:space="preserve"> patients. </w:t>
      </w:r>
      <w:r w:rsidR="005A10A8">
        <w:t>When funded</w:t>
      </w:r>
      <w:r w:rsidR="006C3BAD">
        <w:t>,</w:t>
      </w:r>
      <w:r w:rsidR="005A10A8">
        <w:t xml:space="preserve"> the</w:t>
      </w:r>
      <w:r w:rsidR="006C3BAD">
        <w:t>se health technologies</w:t>
      </w:r>
      <w:r w:rsidR="005A10A8">
        <w:t xml:space="preserve"> compete with existing products</w:t>
      </w:r>
      <w:r w:rsidR="00727015">
        <w:t xml:space="preserve"> for market share</w:t>
      </w:r>
      <w:r w:rsidR="005A10A8">
        <w:t xml:space="preserve">. Ordinarily the public benefits </w:t>
      </w:r>
      <w:r w:rsidR="00F16A2A">
        <w:t>when this occurs in a market because it drives competition</w:t>
      </w:r>
      <w:r w:rsidR="00727015">
        <w:t xml:space="preserve"> between suppliers on price and delivers lower prices</w:t>
      </w:r>
      <w:r w:rsidR="00F16A2A">
        <w:t xml:space="preserve">. </w:t>
      </w:r>
    </w:p>
    <w:p w14:paraId="66B693B7" w14:textId="3B41C8B9" w:rsidR="00725C3D" w:rsidRPr="00725C3D" w:rsidRDefault="00DD1183" w:rsidP="00725C3D">
      <w:r>
        <w:t xml:space="preserve">This competition is not recognised </w:t>
      </w:r>
      <w:r w:rsidR="005C7C2F">
        <w:t>in decisions by the Commonwealth</w:t>
      </w:r>
      <w:r w:rsidR="00753B69">
        <w:t xml:space="preserve"> to fund</w:t>
      </w:r>
      <w:r w:rsidR="005C7C2F">
        <w:t xml:space="preserve"> </w:t>
      </w:r>
      <w:r>
        <w:t xml:space="preserve">health technologies in Australia. </w:t>
      </w:r>
      <w:r w:rsidR="007C42C2">
        <w:t>New health technologies of this type are funded at the same cost as existing ones</w:t>
      </w:r>
      <w:r w:rsidR="002A19A0">
        <w:t xml:space="preserve"> when in an </w:t>
      </w:r>
      <w:r w:rsidR="00D97E91">
        <w:t xml:space="preserve">unsubsidised </w:t>
      </w:r>
      <w:r w:rsidR="003630E0">
        <w:t xml:space="preserve">market they would need to be marketed at a lower price. </w:t>
      </w:r>
    </w:p>
    <w:p w14:paraId="120A76F1" w14:textId="77777777" w:rsidR="00DF2A44" w:rsidRPr="00DF2A44" w:rsidRDefault="00DF2A44" w:rsidP="00DF2A44">
      <w:pPr>
        <w:pStyle w:val="Heading4"/>
      </w:pPr>
      <w:r w:rsidRPr="00DF2A44">
        <w:t>Pricing offer and negotiation guidance framework</w:t>
      </w:r>
    </w:p>
    <w:p w14:paraId="41BF7226" w14:textId="6EA1314A" w:rsidR="00963309" w:rsidRPr="00963309" w:rsidRDefault="00963309" w:rsidP="00963309">
      <w:r>
        <w:t>We note that</w:t>
      </w:r>
      <w:r w:rsidRPr="00963309">
        <w:t xml:space="preserve"> stakeholder feedback previously</w:t>
      </w:r>
      <w:r w:rsidR="00807E7B">
        <w:t xml:space="preserve"> provided</w:t>
      </w:r>
      <w:r w:rsidRPr="00963309">
        <w:t xml:space="preserve"> during the HTA Review that one of the drivers of uncertainty and delay in health technology access is the lack of certainty in whether (and how) the incremental additional clinical benefit of a health technology is accounted for (as part of “value considerations”) in </w:t>
      </w:r>
      <w:r w:rsidR="00C4648B">
        <w:t>POs</w:t>
      </w:r>
      <w:r w:rsidRPr="00963309">
        <w:t xml:space="preserve"> and price negotiations between sponsors and healthcare payers.</w:t>
      </w:r>
      <w:r w:rsidR="007A1B3A">
        <w:t xml:space="preserve"> </w:t>
      </w:r>
    </w:p>
    <w:p w14:paraId="688AFE7C" w14:textId="5520A1E9" w:rsidR="00963309" w:rsidRPr="00963309" w:rsidRDefault="00807E7B" w:rsidP="00963309">
      <w:r>
        <w:t>We</w:t>
      </w:r>
      <w:r w:rsidR="00963309" w:rsidRPr="00963309">
        <w:t xml:space="preserve"> also </w:t>
      </w:r>
      <w:r>
        <w:t>note</w:t>
      </w:r>
      <w:r w:rsidR="00963309" w:rsidRPr="00963309">
        <w:t xml:space="preserve"> that the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rsidR="00963309" w:rsidRPr="00963309">
        <w:t xml:space="preserve"> process </w:t>
      </w:r>
      <w:proofErr w:type="gramStart"/>
      <w:r w:rsidR="00963309" w:rsidRPr="00963309">
        <w:t>by definition creates</w:t>
      </w:r>
      <w:proofErr w:type="gramEnd"/>
      <w:r w:rsidR="00963309" w:rsidRPr="00963309">
        <w:t xml:space="preserve"> a dynamic tension where: </w:t>
      </w:r>
    </w:p>
    <w:p w14:paraId="3751BD5B" w14:textId="32E36907" w:rsidR="00963309" w:rsidRPr="00963309" w:rsidRDefault="001C4DFD" w:rsidP="008D2A3F">
      <w:pPr>
        <w:pStyle w:val="ListParagraph"/>
        <w:numPr>
          <w:ilvl w:val="0"/>
          <w:numId w:val="11"/>
        </w:numPr>
      </w:pPr>
      <w:r>
        <w:t>h</w:t>
      </w:r>
      <w:r w:rsidR="00963309" w:rsidRPr="00963309">
        <w:t xml:space="preserve">ealthcare payers are incentivised to seek the lowest possible purchase price to meet legislative and social obligations to ensure efficient use of public </w:t>
      </w:r>
      <w:proofErr w:type="gramStart"/>
      <w:r w:rsidR="00963309" w:rsidRPr="00963309">
        <w:t>resources</w:t>
      </w:r>
      <w:proofErr w:type="gramEnd"/>
      <w:r w:rsidR="00963309" w:rsidRPr="00963309">
        <w:t> </w:t>
      </w:r>
    </w:p>
    <w:p w14:paraId="55DA0B86" w14:textId="1CC77A70" w:rsidR="00963309" w:rsidRPr="00963309" w:rsidRDefault="00C7335A" w:rsidP="008D2A3F">
      <w:pPr>
        <w:pStyle w:val="ListParagraph"/>
        <w:numPr>
          <w:ilvl w:val="0"/>
          <w:numId w:val="11"/>
        </w:numPr>
      </w:pPr>
      <w:r>
        <w:t>h</w:t>
      </w:r>
      <w:r w:rsidR="00963309" w:rsidRPr="00963309">
        <w:t xml:space="preserve">ealth technology suppliers are incentivised to sell </w:t>
      </w:r>
      <w:r w:rsidR="003C07C4">
        <w:t>their product</w:t>
      </w:r>
      <w:r w:rsidR="00963309" w:rsidRPr="00963309">
        <w:t xml:space="preserve"> at the highest possible purchase price to maximise revenue from intellectual property and meet shareholder benefit expectations</w:t>
      </w:r>
      <w:r w:rsidR="000B18CA">
        <w:t>, and</w:t>
      </w:r>
    </w:p>
    <w:p w14:paraId="28F8E7C0" w14:textId="77777777" w:rsidR="00963309" w:rsidRPr="00963309" w:rsidRDefault="00963309" w:rsidP="008D2A3F">
      <w:pPr>
        <w:pStyle w:val="ListParagraph"/>
        <w:numPr>
          <w:ilvl w:val="0"/>
          <w:numId w:val="11"/>
        </w:numPr>
      </w:pPr>
      <w:r w:rsidRPr="00963309">
        <w:t>patients may be waiting for the negotiation process to finalise before subsidised access to health technologies are available. </w:t>
      </w:r>
    </w:p>
    <w:p w14:paraId="6FDF82F2" w14:textId="712B066E" w:rsidR="00963309" w:rsidRPr="00963309" w:rsidRDefault="00963309" w:rsidP="00963309">
      <w:r w:rsidRPr="00963309">
        <w:t xml:space="preserve">In </w:t>
      </w:r>
      <w:r w:rsidR="003902D1">
        <w:t>ou</w:t>
      </w:r>
      <w:r w:rsidR="00AF1CF7">
        <w:t>r</w:t>
      </w:r>
      <w:r w:rsidRPr="00963309">
        <w:t xml:space="preserve"> deliberations</w:t>
      </w:r>
      <w:r w:rsidR="003902D1">
        <w:t>, we</w:t>
      </w:r>
      <w:r w:rsidRPr="00963309">
        <w:t xml:space="preserve"> noted that the amount of negotiation time required to close the pricing gap between payer and supplier for certain health technologies may result in an opportunity cost that is inefficient and does not yield the best balance of outcomes for all stakeholders.</w:t>
      </w:r>
      <w:r w:rsidR="007A1B3A">
        <w:t xml:space="preserve"> </w:t>
      </w:r>
      <w:r w:rsidR="2E7A9AB8">
        <w:t>For individual patients, delays in access may have profound negative consequences.</w:t>
      </w:r>
    </w:p>
    <w:p w14:paraId="6CAF61B7" w14:textId="37E22E41" w:rsidR="00963309" w:rsidRPr="00963309" w:rsidRDefault="0059344D" w:rsidP="00963309">
      <w:r>
        <w:t>We</w:t>
      </w:r>
      <w:r w:rsidR="00963309" w:rsidRPr="00963309">
        <w:t xml:space="preserve"> noted information in the </w:t>
      </w:r>
      <w:r w:rsidR="00FC7BF8">
        <w:t>HTA expert papers</w:t>
      </w:r>
      <w:r w:rsidR="004D1C3B">
        <w:t>,</w:t>
      </w:r>
      <w:r w:rsidR="00963309" w:rsidRPr="00963309">
        <w:t xml:space="preserve"> that </w:t>
      </w:r>
      <w:proofErr w:type="gramStart"/>
      <w:r w:rsidR="00963309" w:rsidRPr="00963309">
        <w:t>a number of</w:t>
      </w:r>
      <w:proofErr w:type="gramEnd"/>
      <w:r w:rsidR="00963309" w:rsidRPr="00963309">
        <w:t xml:space="preserve"> international healthcare systems have sought to provide more explicit guidance to health technology sponsors in respect of pricing expectations and boundaries that are </w:t>
      </w:r>
      <w:r w:rsidR="00963309" w:rsidRPr="00963309">
        <w:lastRenderedPageBreak/>
        <w:t>influenced by the clinical benefit of a health technology (as identified in a HTA evaluation), in order to facilitate faster price setting and negotiation processes. Examples internationally have included: </w:t>
      </w:r>
    </w:p>
    <w:p w14:paraId="1F44A796" w14:textId="69B529A0" w:rsidR="00963309" w:rsidRPr="00963309" w:rsidRDefault="005E559B" w:rsidP="008D2A3F">
      <w:pPr>
        <w:pStyle w:val="ListParagraph"/>
        <w:numPr>
          <w:ilvl w:val="0"/>
          <w:numId w:val="11"/>
        </w:numPr>
      </w:pPr>
      <w:r>
        <w:t>e</w:t>
      </w:r>
      <w:r w:rsidR="00963309" w:rsidRPr="00963309">
        <w:t>xpectations and/or requirements for lower prices for health technologies that are evaluated on a cost-minimised basis and provide only marginal (or no) added clinical benefit compared to existing treatments (such as the arrangements currently in place in Germany)</w:t>
      </w:r>
      <w:r w:rsidR="007A1B3A">
        <w:t xml:space="preserve"> </w:t>
      </w:r>
    </w:p>
    <w:p w14:paraId="27DDF3F2" w14:textId="48631F7E" w:rsidR="00963309" w:rsidRPr="00963309" w:rsidRDefault="00104201" w:rsidP="008D2A3F">
      <w:pPr>
        <w:pStyle w:val="ListParagraph"/>
        <w:numPr>
          <w:ilvl w:val="0"/>
          <w:numId w:val="11"/>
        </w:numPr>
      </w:pPr>
      <w:r>
        <w:t>t</w:t>
      </w:r>
      <w:r w:rsidR="00963309" w:rsidRPr="00963309">
        <w:t>iered rebate/reimbursement arrangements, with rates that are linked to the incremental therapeutic benefit of a health technology compared to other available treatments (such as the arrangements in place in France and under consideration in Canada)</w:t>
      </w:r>
      <w:r w:rsidR="007A1B3A">
        <w:t xml:space="preserve"> </w:t>
      </w:r>
    </w:p>
    <w:p w14:paraId="08E44536" w14:textId="4F4C0868" w:rsidR="00963309" w:rsidRPr="00963309" w:rsidRDefault="00EF4DF9" w:rsidP="008D2A3F">
      <w:pPr>
        <w:pStyle w:val="ListParagraph"/>
        <w:numPr>
          <w:ilvl w:val="0"/>
          <w:numId w:val="11"/>
        </w:numPr>
      </w:pPr>
      <w:r>
        <w:t>s</w:t>
      </w:r>
      <w:r w:rsidR="00963309" w:rsidRPr="00963309">
        <w:t>pecific pricing modifiers linked to certain priority criteria of clinical/health equity</w:t>
      </w:r>
      <w:r w:rsidR="00A67FBB">
        <w:fldChar w:fldCharType="begin"/>
      </w:r>
      <w:r w:rsidR="00A67FBB">
        <w:instrText xml:space="preserve"> XE "</w:instrText>
      </w:r>
      <w:r w:rsidR="00A67FBB" w:rsidRPr="0021196D">
        <w:instrText>equity</w:instrText>
      </w:r>
      <w:r w:rsidR="00A67FBB">
        <w:instrText xml:space="preserve">" </w:instrText>
      </w:r>
      <w:r w:rsidR="00A67FBB">
        <w:fldChar w:fldCharType="end"/>
      </w:r>
      <w:r w:rsidR="00963309" w:rsidRPr="00963309">
        <w:t xml:space="preserve"> significance (such as the arrangements in place in Japan).</w:t>
      </w:r>
      <w:r w:rsidR="007A1B3A">
        <w:t xml:space="preserve"> </w:t>
      </w:r>
      <w:r w:rsidR="00963309" w:rsidRPr="00963309">
        <w:t> </w:t>
      </w:r>
    </w:p>
    <w:p w14:paraId="4E051B81" w14:textId="77777777" w:rsidR="0084662C" w:rsidRPr="0084662C" w:rsidRDefault="0084662C" w:rsidP="0084662C">
      <w:pPr>
        <w:pStyle w:val="Heading4"/>
      </w:pPr>
      <w:r w:rsidRPr="0084662C">
        <w:t>Re-review of health technologies</w:t>
      </w:r>
    </w:p>
    <w:p w14:paraId="43E54D3B" w14:textId="09CF5D76" w:rsidR="00E8246E" w:rsidRPr="00E8246E" w:rsidRDefault="0077368F" w:rsidP="00E8246E">
      <w:r>
        <w:t>We note</w:t>
      </w:r>
      <w:r w:rsidR="00E8246E" w:rsidRPr="00E8246E">
        <w:t xml:space="preserve"> that an underreported and under</w:t>
      </w:r>
      <w:r w:rsidR="002A399A">
        <w:t>-</w:t>
      </w:r>
      <w:r w:rsidR="00E8246E" w:rsidRPr="00E8246E">
        <w:t>discussed aspect of funding and purchasing decision-making by healthcare systems is the concept of disinvestment (</w:t>
      </w:r>
      <w:proofErr w:type="gramStart"/>
      <w:r w:rsidR="00060EFD">
        <w:t>i.e.</w:t>
      </w:r>
      <w:proofErr w:type="gramEnd"/>
      <w:r w:rsidR="00D4531F">
        <w:t xml:space="preserve"> </w:t>
      </w:r>
      <w:r w:rsidR="00E8246E" w:rsidRPr="00E8246E">
        <w:t xml:space="preserve">the deliberate and systematic reduction of funding for a health technology of questionable or comparatively low value). In deliberations on this matter, </w:t>
      </w:r>
      <w:r w:rsidR="00B91424">
        <w:t>we</w:t>
      </w:r>
      <w:r w:rsidR="00E8246E" w:rsidRPr="00E8246E">
        <w:t xml:space="preserve"> noted examples of passive and active disinvestment frameworks in Western European healthcare systems, including price adjustment mechanisms, clinical guideline reviews influencing service provider and payer behaviours, and explicit health technology re-review programs.</w:t>
      </w:r>
      <w:r w:rsidR="007A1B3A">
        <w:t xml:space="preserve"> </w:t>
      </w:r>
    </w:p>
    <w:p w14:paraId="4ED098BD" w14:textId="29225E5F" w:rsidR="00E8246E" w:rsidRPr="00E8246E" w:rsidRDefault="008C2082" w:rsidP="00E8246E">
      <w:r>
        <w:t>We acknowledge</w:t>
      </w:r>
      <w:r w:rsidR="00E8246E" w:rsidRPr="00E8246E">
        <w:t xml:space="preserve"> that disinvestment can be a complex issue for stakeholders due to a range of expectations and sensitivities, particularly in respect of perceived loss of clinical choice and the lack of clarity in how disinvestment decisions are made in practice. However</w:t>
      </w:r>
      <w:r w:rsidR="3184A680">
        <w:t>,</w:t>
      </w:r>
      <w:r>
        <w:t xml:space="preserve"> we</w:t>
      </w:r>
      <w:r w:rsidR="00E8246E" w:rsidRPr="00E8246E">
        <w:t xml:space="preserve"> also </w:t>
      </w:r>
      <w:r>
        <w:t>consider</w:t>
      </w:r>
      <w:r w:rsidR="00E8246E" w:rsidRPr="00E8246E">
        <w:t xml:space="preserve"> that a mature and well-administered healthcare system needs to be supported with funding and purchasing policies that facilitate the review of health technologies throughout their utilisation and subsidisation lifecycle, as new evidence on clinical practice and </w:t>
      </w:r>
      <w:r w:rsidR="00BA136C">
        <w:t xml:space="preserve">SOC </w:t>
      </w:r>
      <w:r w:rsidR="00E8246E" w:rsidRPr="00E8246E">
        <w:t>over time may justify the reallocation of finite resources to improve and support patient health outcomes.</w:t>
      </w:r>
      <w:r w:rsidR="007A1B3A">
        <w:t xml:space="preserve"> </w:t>
      </w:r>
    </w:p>
    <w:p w14:paraId="0C388CA6" w14:textId="43D9B9EC" w:rsidR="00DF2A44" w:rsidRPr="00725C3D" w:rsidRDefault="00E8246E" w:rsidP="00725C3D">
      <w:r w:rsidRPr="00E8246E">
        <w:t>W</w:t>
      </w:r>
      <w:r w:rsidR="008C2082">
        <w:t>e note</w:t>
      </w:r>
      <w:r w:rsidRPr="00E8246E">
        <w:t xml:space="preserve"> the Australian system has elements of disinvestment advice provision</w:t>
      </w:r>
      <w:r w:rsidR="005F7D31">
        <w:t xml:space="preserve"> </w:t>
      </w:r>
      <w:r w:rsidR="002B73C5">
        <w:t>and mechanisms</w:t>
      </w:r>
      <w:r w:rsidRPr="00E8246E">
        <w:t xml:space="preserve"> in place via the current </w:t>
      </w:r>
      <w:r w:rsidR="35C68141">
        <w:t>dr</w:t>
      </w:r>
      <w:r w:rsidR="0555F3E9">
        <w:t>ug utilisation su</w:t>
      </w:r>
      <w:r w:rsidR="76004587">
        <w:t>bcommittee</w:t>
      </w:r>
      <w:r w:rsidR="77D003D6">
        <w:t xml:space="preserve"> </w:t>
      </w:r>
      <w:r>
        <w:t>and</w:t>
      </w:r>
      <w:r w:rsidRPr="00E8246E">
        <w:t xml:space="preserve"> post-market review arrangements, </w:t>
      </w:r>
      <w:r w:rsidR="006628C8">
        <w:t>as well as statutory price reductions, and reference pricing</w:t>
      </w:r>
      <w:r w:rsidR="00741FDE">
        <w:t>. We also note that disinvestment</w:t>
      </w:r>
      <w:r w:rsidR="006628C8">
        <w:t xml:space="preserve"> </w:t>
      </w:r>
      <w:r w:rsidR="00274FD2">
        <w:t xml:space="preserve">occurs </w:t>
      </w:r>
      <w:r w:rsidR="00796192">
        <w:t>through clinical decision</w:t>
      </w:r>
      <w:r w:rsidR="00A225FC">
        <w:t>s</w:t>
      </w:r>
      <w:r w:rsidR="00796192">
        <w:t xml:space="preserve">, </w:t>
      </w:r>
      <w:r w:rsidR="00582907">
        <w:t>some stakeholders</w:t>
      </w:r>
      <w:r w:rsidR="00292254">
        <w:t xml:space="preserve"> consider</w:t>
      </w:r>
      <w:r w:rsidRPr="00E8246E">
        <w:t xml:space="preserve">, based on the available information, that a more established program </w:t>
      </w:r>
      <w:r w:rsidR="00BD23E6">
        <w:t>could</w:t>
      </w:r>
      <w:r w:rsidRPr="00E8246E">
        <w:t xml:space="preserve"> improve on current arrangements, and provide a clear mechanism for stakeholders to consult, discuss and agree on disinvestment recommendations in a predictable and rigorous manner.</w:t>
      </w:r>
      <w:r w:rsidR="007A1B3A">
        <w:t xml:space="preserve"> </w:t>
      </w:r>
    </w:p>
    <w:p w14:paraId="16F174C6" w14:textId="1FB3A0F6" w:rsidR="00990EC3" w:rsidRPr="00990EC3" w:rsidRDefault="00990EC3" w:rsidP="00990EC3">
      <w:pPr>
        <w:pStyle w:val="Heading4"/>
      </w:pPr>
      <w:r w:rsidRPr="00990EC3">
        <w:lastRenderedPageBreak/>
        <w:t>Time</w:t>
      </w:r>
      <w:r w:rsidR="006043F3">
        <w:t>-</w:t>
      </w:r>
      <w:r w:rsidRPr="00990EC3">
        <w:t xml:space="preserve">limited funding to manage </w:t>
      </w:r>
      <w:proofErr w:type="gramStart"/>
      <w:r w:rsidRPr="00990EC3">
        <w:t>uncertainty</w:t>
      </w:r>
      <w:proofErr w:type="gramEnd"/>
    </w:p>
    <w:p w14:paraId="697C824B" w14:textId="2F7D47E2" w:rsidR="00A403FE" w:rsidRPr="00A403FE" w:rsidRDefault="00A403FE" w:rsidP="00A403FE">
      <w:r>
        <w:t>We note</w:t>
      </w:r>
      <w:r w:rsidRPr="00A403FE">
        <w:t xml:space="preserve"> </w:t>
      </w:r>
      <w:proofErr w:type="gramStart"/>
      <w:r w:rsidRPr="00A403FE">
        <w:t>a number of</w:t>
      </w:r>
      <w:proofErr w:type="gramEnd"/>
      <w:r w:rsidRPr="00A403FE">
        <w:t xml:space="preserve"> Western European examples where special funding programs have been established for the purposes of providing access to promising health technologies that meet a clear unmet need (when compared to standard funding, </w:t>
      </w:r>
      <w:r w:rsidR="007C3653">
        <w:t xml:space="preserve">and </w:t>
      </w:r>
      <w:r w:rsidRPr="00A403FE">
        <w:t xml:space="preserve">reimbursement and commissioning approaches for health technologies). These funds typically have specified qualifying conditions and are restricted to certain health technologies and/or clinical indications (the UK Cancer Drugs Fund and Innovative Medicines Fund </w:t>
      </w:r>
      <w:r w:rsidR="007F0E8D">
        <w:t>are examples</w:t>
      </w:r>
      <w:r w:rsidRPr="00A403FE">
        <w:t>).</w:t>
      </w:r>
      <w:r w:rsidR="007A1B3A">
        <w:t xml:space="preserve"> </w:t>
      </w:r>
    </w:p>
    <w:p w14:paraId="689F6BAF" w14:textId="7A75F587" w:rsidR="00A403FE" w:rsidRPr="00A403FE" w:rsidRDefault="003A4D6B" w:rsidP="00A403FE">
      <w:r>
        <w:t>We note</w:t>
      </w:r>
      <w:r w:rsidR="00A403FE" w:rsidRPr="00A403FE">
        <w:t xml:space="preserve"> the general outcomes of these funding and purchasing arrangements is to either: </w:t>
      </w:r>
    </w:p>
    <w:p w14:paraId="46F2FCC1" w14:textId="5A24775E" w:rsidR="00A403FE" w:rsidRPr="00A403FE" w:rsidRDefault="005761D4" w:rsidP="008D2A3F">
      <w:pPr>
        <w:pStyle w:val="ListParagraph"/>
        <w:numPr>
          <w:ilvl w:val="0"/>
          <w:numId w:val="11"/>
        </w:numPr>
      </w:pPr>
      <w:r>
        <w:t>b</w:t>
      </w:r>
      <w:r w:rsidR="00A403FE" w:rsidRPr="00A403FE">
        <w:t>ring forward health expenditure (and patient access) that likely would have been incurred eventually after a HTA evaluation that provided a positive recommendation</w:t>
      </w:r>
      <w:r w:rsidR="00B320F7">
        <w:t>,</w:t>
      </w:r>
      <w:r w:rsidR="00A403FE" w:rsidRPr="00A403FE">
        <w:t xml:space="preserve"> and/or </w:t>
      </w:r>
    </w:p>
    <w:p w14:paraId="72D74C54" w14:textId="6537577D" w:rsidR="00A403FE" w:rsidRPr="00A403FE" w:rsidRDefault="00B320F7" w:rsidP="008D2A3F">
      <w:pPr>
        <w:pStyle w:val="ListParagraph"/>
        <w:numPr>
          <w:ilvl w:val="0"/>
          <w:numId w:val="11"/>
        </w:numPr>
      </w:pPr>
      <w:r>
        <w:t>p</w:t>
      </w:r>
      <w:r w:rsidR="00A403FE" w:rsidRPr="00A403FE">
        <w:t>rovide a capped source of new funding for health technologies of high clinical significance and relevance to patients to improve health equity</w:t>
      </w:r>
      <w:r w:rsidR="00A67FBB">
        <w:fldChar w:fldCharType="begin"/>
      </w:r>
      <w:r w:rsidR="00A67FBB">
        <w:instrText xml:space="preserve"> XE "</w:instrText>
      </w:r>
      <w:r w:rsidR="00A67FBB" w:rsidRPr="0021196D">
        <w:instrText>equity</w:instrText>
      </w:r>
      <w:r w:rsidR="00A67FBB">
        <w:instrText xml:space="preserve">" </w:instrText>
      </w:r>
      <w:r w:rsidR="00A67FBB">
        <w:fldChar w:fldCharType="end"/>
      </w:r>
      <w:r w:rsidR="00A403FE" w:rsidRPr="00A403FE">
        <w:t xml:space="preserve">, but that also have a measure of clinical, economic and/or financial uncertainty in respect of whether such funding allocations </w:t>
      </w:r>
      <w:r w:rsidR="008B5E6D">
        <w:t>are</w:t>
      </w:r>
      <w:r w:rsidR="008B5E6D" w:rsidRPr="00A403FE">
        <w:t xml:space="preserve"> </w:t>
      </w:r>
      <w:r w:rsidR="00A403FE" w:rsidRPr="00A403FE">
        <w:t xml:space="preserve">an efficient </w:t>
      </w:r>
      <w:r w:rsidR="00EF3FB4">
        <w:t>use</w:t>
      </w:r>
      <w:r w:rsidR="00EF3FB4" w:rsidRPr="00A403FE">
        <w:t xml:space="preserve"> </w:t>
      </w:r>
      <w:r w:rsidR="00A403FE" w:rsidRPr="00A403FE">
        <w:t>of health expenditure. </w:t>
      </w:r>
    </w:p>
    <w:p w14:paraId="12D003BB" w14:textId="2A492728" w:rsidR="00A403FE" w:rsidRPr="00A403FE" w:rsidRDefault="00243AF5" w:rsidP="00A403FE">
      <w:r>
        <w:t>We acknowledge</w:t>
      </w:r>
      <w:r w:rsidR="00A403FE" w:rsidRPr="00A403FE">
        <w:t xml:space="preserve"> that the funding and governance structure of a special funding program </w:t>
      </w:r>
      <w:r w:rsidR="00041901">
        <w:t>would</w:t>
      </w:r>
      <w:r w:rsidR="00A403FE" w:rsidRPr="00A403FE">
        <w:t xml:space="preserve"> require extensive consultation beyond the scope and remit of the HTA Review and be subject to a decision of </w:t>
      </w:r>
      <w:r w:rsidR="000D327E">
        <w:t>g</w:t>
      </w:r>
      <w:r w:rsidR="00A403FE" w:rsidRPr="00A403FE">
        <w:t xml:space="preserve">overnment. However, </w:t>
      </w:r>
      <w:r w:rsidR="00B2223B">
        <w:t>we</w:t>
      </w:r>
      <w:r w:rsidR="00A403FE" w:rsidRPr="00A403FE">
        <w:t xml:space="preserve"> </w:t>
      </w:r>
      <w:r w:rsidR="00742745">
        <w:t>consider</w:t>
      </w:r>
      <w:r w:rsidR="00A403FE" w:rsidRPr="00A403FE">
        <w:t xml:space="preserve"> that initial </w:t>
      </w:r>
      <w:r w:rsidR="006C3774">
        <w:t>provision</w:t>
      </w:r>
      <w:r w:rsidR="006C3774" w:rsidRPr="00A403FE">
        <w:t xml:space="preserve"> </w:t>
      </w:r>
      <w:r w:rsidR="00A403FE" w:rsidRPr="00A403FE">
        <w:t xml:space="preserve">of stakeholder feedback and advice </w:t>
      </w:r>
      <w:r w:rsidR="00581521">
        <w:t xml:space="preserve">(if received) </w:t>
      </w:r>
      <w:r w:rsidR="00A403FE" w:rsidRPr="00A403FE">
        <w:t xml:space="preserve">on the types of program design criteria (as articulated in the </w:t>
      </w:r>
      <w:r w:rsidR="00742745">
        <w:t>option below</w:t>
      </w:r>
      <w:r w:rsidR="00A403FE" w:rsidRPr="00A403FE">
        <w:t xml:space="preserve">) may </w:t>
      </w:r>
      <w:r w:rsidR="0005654A">
        <w:t>be of</w:t>
      </w:r>
      <w:r w:rsidR="0005654A" w:rsidRPr="00A403FE">
        <w:t xml:space="preserve"> </w:t>
      </w:r>
      <w:r w:rsidR="00A403FE" w:rsidRPr="00A403FE">
        <w:t xml:space="preserve">useful to </w:t>
      </w:r>
      <w:r w:rsidR="004A5599">
        <w:t>th</w:t>
      </w:r>
      <w:r w:rsidR="00717B67">
        <w:t xml:space="preserve">e </w:t>
      </w:r>
      <w:r w:rsidR="00A403FE" w:rsidRPr="00A403FE">
        <w:t>Government (</w:t>
      </w:r>
      <w:r w:rsidR="00C01BEE">
        <w:t xml:space="preserve">if </w:t>
      </w:r>
      <w:r w:rsidR="007636E2">
        <w:t>a</w:t>
      </w:r>
      <w:r w:rsidR="00A403FE" w:rsidRPr="00A403FE">
        <w:t xml:space="preserve"> final </w:t>
      </w:r>
      <w:r w:rsidR="00C01BEE">
        <w:t xml:space="preserve">committee </w:t>
      </w:r>
      <w:r w:rsidR="007636E2">
        <w:t xml:space="preserve">recommendation </w:t>
      </w:r>
      <w:r w:rsidR="00A403FE" w:rsidRPr="00A403FE">
        <w:t>include</w:t>
      </w:r>
      <w:r w:rsidR="00C01BEE">
        <w:t>s</w:t>
      </w:r>
      <w:r w:rsidR="00A403FE" w:rsidRPr="00A403FE">
        <w:t xml:space="preserve"> elements of this option and the Government </w:t>
      </w:r>
      <w:r w:rsidR="00F343D2">
        <w:t xml:space="preserve">believes it </w:t>
      </w:r>
      <w:r w:rsidR="00A403FE" w:rsidRPr="00A403FE">
        <w:t>merits further consideration).</w:t>
      </w:r>
      <w:r w:rsidR="007A1B3A">
        <w:t xml:space="preserve"> </w:t>
      </w:r>
    </w:p>
    <w:p w14:paraId="752BF648" w14:textId="0710D54C" w:rsidR="00990EC3" w:rsidRPr="00725C3D" w:rsidRDefault="009133AA" w:rsidP="00725C3D">
      <w:r>
        <w:t>We</w:t>
      </w:r>
      <w:r w:rsidR="00A403FE" w:rsidRPr="00A403FE">
        <w:t xml:space="preserve"> also </w:t>
      </w:r>
      <w:r>
        <w:t>note</w:t>
      </w:r>
      <w:r w:rsidR="00A403FE" w:rsidRPr="00A403FE">
        <w:t xml:space="preserve"> a small number of G7</w:t>
      </w:r>
      <w:r w:rsidR="000163A3">
        <w:t xml:space="preserve"> (Group of 7)</w:t>
      </w:r>
      <w:r w:rsidR="00A403FE" w:rsidRPr="00A403FE">
        <w:t xml:space="preserve"> healthcare systems (Germany and Japan) have been structured to support subsidised patient access to a broad range of health technologies at free market prices for a temporary period, prior to HTA evaluation (and subsequent price negotiation</w:t>
      </w:r>
      <w:r w:rsidR="00182295">
        <w:fldChar w:fldCharType="begin"/>
      </w:r>
      <w:r w:rsidR="00182295">
        <w:instrText xml:space="preserve"> XE "</w:instrText>
      </w:r>
      <w:r w:rsidR="00182295" w:rsidRPr="0026459C">
        <w:rPr>
          <w:rFonts w:eastAsia="Times New Roman" w:cs="Segoe UI"/>
          <w:kern w:val="24"/>
          <w:lang w:eastAsia="en-AU"/>
        </w:rPr>
        <w:instrText>price negotiation</w:instrText>
      </w:r>
      <w:r w:rsidR="00182295">
        <w:instrText xml:space="preserve">" \b </w:instrText>
      </w:r>
      <w:r w:rsidR="00182295">
        <w:fldChar w:fldCharType="end"/>
      </w:r>
      <w:r w:rsidR="00A403FE" w:rsidRPr="00A403FE">
        <w:t xml:space="preserve">). While </w:t>
      </w:r>
      <w:r w:rsidR="00056F2D">
        <w:t>we</w:t>
      </w:r>
      <w:r w:rsidR="00A403FE" w:rsidRPr="00A403FE">
        <w:t xml:space="preserve"> considered the portability and applicability of similar pricing and negotiation arrangements for the Australian healthcare context, </w:t>
      </w:r>
      <w:r w:rsidR="00056F2D">
        <w:t>we</w:t>
      </w:r>
      <w:r w:rsidR="00A403FE" w:rsidRPr="00A403FE">
        <w:t xml:space="preserve"> also noted that those systems operate under very different healthcare financing structures (being private health insurance schemes operating within a defined regulatory framework) and have distinctly different social policy and legislative perspectives regarding the role and function of </w:t>
      </w:r>
      <w:r w:rsidR="0034278D">
        <w:t xml:space="preserve">the </w:t>
      </w:r>
      <w:r w:rsidR="00A403FE" w:rsidRPr="00A403FE">
        <w:t xml:space="preserve">government in price setting and negotiation compared to the Australian healthcare system, which makes the transferability of those arrangements </w:t>
      </w:r>
      <w:r w:rsidR="00560A84">
        <w:t>more complex</w:t>
      </w:r>
      <w:r w:rsidR="00A403FE" w:rsidRPr="00A403FE">
        <w:t>.</w:t>
      </w:r>
      <w:r w:rsidR="007A1B3A">
        <w:t xml:space="preserve"> </w:t>
      </w:r>
    </w:p>
    <w:p w14:paraId="626CE980" w14:textId="3D6DE0F2" w:rsidR="00E50A63" w:rsidRDefault="00F116E4" w:rsidP="00F116E4">
      <w:pPr>
        <w:pStyle w:val="Heading4"/>
      </w:pPr>
      <w:r>
        <w:lastRenderedPageBreak/>
        <w:t xml:space="preserve">Guidance on </w:t>
      </w:r>
      <w:r w:rsidR="00A9164B">
        <w:t xml:space="preserve">and </w:t>
      </w:r>
      <w:r w:rsidR="00F94AFC">
        <w:t>policy arrangements for</w:t>
      </w:r>
      <w:r w:rsidR="00A9164B">
        <w:t xml:space="preserve"> </w:t>
      </w:r>
      <w:r w:rsidR="00F3660B">
        <w:t>MEA</w:t>
      </w:r>
      <w:r w:rsidR="00505305">
        <w:t xml:space="preserve"> instruments </w:t>
      </w:r>
    </w:p>
    <w:p w14:paraId="39C316DA" w14:textId="6A67F906" w:rsidR="00445A19" w:rsidRPr="00445A19" w:rsidRDefault="00445A19" w:rsidP="00445A19">
      <w:r>
        <w:t xml:space="preserve">We note </w:t>
      </w:r>
      <w:r w:rsidR="00111004">
        <w:t>a</w:t>
      </w:r>
      <w:r w:rsidRPr="00445A19">
        <w:t xml:space="preserve"> range of stakeholder submissions have discussed the potential </w:t>
      </w:r>
      <w:r w:rsidR="002878F7">
        <w:t>for</w:t>
      </w:r>
      <w:r w:rsidRPr="00445A19">
        <w:t xml:space="preserve"> managed access arrangements </w:t>
      </w:r>
      <w:r w:rsidR="002878F7">
        <w:t xml:space="preserve">to </w:t>
      </w:r>
      <w:r w:rsidRPr="00445A19">
        <w:t>support</w:t>
      </w:r>
      <w:r w:rsidR="002878F7">
        <w:t xml:space="preserve"> </w:t>
      </w:r>
      <w:r w:rsidRPr="00445A19">
        <w:t xml:space="preserve">timely access to health technologies for patients, and how the current </w:t>
      </w:r>
      <w:r w:rsidR="00D55D89">
        <w:t>MAP</w:t>
      </w:r>
      <w:r w:rsidRPr="00445A19">
        <w:t xml:space="preserve"> in its current design could be improved to support this objective.</w:t>
      </w:r>
      <w:r w:rsidR="007A1B3A">
        <w:t xml:space="preserve"> </w:t>
      </w:r>
    </w:p>
    <w:p w14:paraId="0C5075B3" w14:textId="78DD1388" w:rsidR="00445A19" w:rsidRPr="00445A19" w:rsidRDefault="00756C66" w:rsidP="00445A19">
      <w:r>
        <w:t>We</w:t>
      </w:r>
      <w:r w:rsidR="00445A19" w:rsidRPr="00445A19">
        <w:t xml:space="preserve"> also acknowledg</w:t>
      </w:r>
      <w:r>
        <w:t>e</w:t>
      </w:r>
      <w:r w:rsidR="00445A19" w:rsidRPr="00445A19">
        <w:t xml:space="preserve"> the findings from the House of Representatives Standing Committee Inquiry </w:t>
      </w:r>
      <w:r w:rsidR="002156D5">
        <w:t>(</w:t>
      </w:r>
      <w:hyperlink r:id="rId175" w:history="1">
        <w:r w:rsidR="002156D5" w:rsidRPr="00130484">
          <w:rPr>
            <w:rStyle w:val="Hyperlink"/>
          </w:rPr>
          <w:t>the Inquiry</w:t>
        </w:r>
      </w:hyperlink>
      <w:r w:rsidR="002156D5" w:rsidRPr="00130484">
        <w:t xml:space="preserve">) </w:t>
      </w:r>
      <w:r w:rsidR="00445A19" w:rsidRPr="00445A19">
        <w:t>report</w:t>
      </w:r>
      <w:r w:rsidR="002156D5">
        <w:t>,</w:t>
      </w:r>
      <w:r w:rsidR="00445A19" w:rsidRPr="00445A19">
        <w:t xml:space="preserve"> </w:t>
      </w:r>
      <w:hyperlink r:id="rId176" w:history="1">
        <w:r w:rsidR="00445A19" w:rsidRPr="00130484">
          <w:rPr>
            <w:rStyle w:val="Hyperlink"/>
          </w:rPr>
          <w:t>The New Frontier</w:t>
        </w:r>
        <w:r w:rsidR="00410134" w:rsidRPr="00130484">
          <w:rPr>
            <w:rStyle w:val="Hyperlink"/>
          </w:rPr>
          <w:t xml:space="preserve"> - Delivering better health for all Australians</w:t>
        </w:r>
      </w:hyperlink>
      <w:r w:rsidR="006D3161" w:rsidRPr="00130484">
        <w:t xml:space="preserve"> (The New Frontier report)</w:t>
      </w:r>
      <w:r w:rsidR="00445A19" w:rsidRPr="00445A19">
        <w:t xml:space="preserve">, and the </w:t>
      </w:r>
      <w:hyperlink r:id="rId177" w:history="1">
        <w:r w:rsidR="00606EDF" w:rsidRPr="005B4D89">
          <w:rPr>
            <w:rStyle w:val="Hyperlink"/>
          </w:rPr>
          <w:t xml:space="preserve">Australian </w:t>
        </w:r>
        <w:r w:rsidR="00445A19" w:rsidRPr="005B4D89">
          <w:rPr>
            <w:rStyle w:val="Hyperlink"/>
          </w:rPr>
          <w:t>Government response</w:t>
        </w:r>
      </w:hyperlink>
      <w:r w:rsidR="00445A19" w:rsidRPr="00445A19">
        <w:t xml:space="preserve"> to the report in respect of the recommendations on managed access arrangements. </w:t>
      </w:r>
    </w:p>
    <w:p w14:paraId="55402B8A" w14:textId="13819EC3" w:rsidR="00FA2E88" w:rsidRPr="00445A19" w:rsidRDefault="00445A19" w:rsidP="00FA2E88">
      <w:r w:rsidRPr="00445A19">
        <w:t xml:space="preserve">In deliberating on these matters, </w:t>
      </w:r>
      <w:r w:rsidR="00F607A3">
        <w:t>we note</w:t>
      </w:r>
      <w:r w:rsidRPr="00445A19">
        <w:t xml:space="preserve"> that </w:t>
      </w:r>
      <w:proofErr w:type="gramStart"/>
      <w:r w:rsidRPr="00445A19">
        <w:t>all of</w:t>
      </w:r>
      <w:proofErr w:type="gramEnd"/>
      <w:r w:rsidRPr="00445A19">
        <w:t xml:space="preserve"> the </w:t>
      </w:r>
      <w:r w:rsidR="009C4808">
        <w:t>MEAs</w:t>
      </w:r>
      <w:r w:rsidRPr="00445A19">
        <w:t xml:space="preserve"> instruments utilised internationally are also used in some form as part of current approaches to deed negotiation between the sponsor and the Commonwealth, but that existing awareness of these arrangements is variable among sponsors.</w:t>
      </w:r>
      <w:r w:rsidR="007A1B3A">
        <w:t xml:space="preserve"> </w:t>
      </w:r>
    </w:p>
    <w:p w14:paraId="51FD487E" w14:textId="39BA1388" w:rsidR="00773B5D" w:rsidRDefault="00786A4F" w:rsidP="008043C0">
      <w:pPr>
        <w:pStyle w:val="Heading3"/>
        <w:keepNext/>
        <w:keepLines/>
      </w:pPr>
      <w:bookmarkStart w:id="194" w:name="_Toc157029104"/>
      <w:r w:rsidRPr="006647C5">
        <w:t>Options</w:t>
      </w:r>
      <w:bookmarkEnd w:id="194"/>
    </w:p>
    <w:p w14:paraId="5EB3C1AF" w14:textId="3BD67C51" w:rsidR="00BF6EA7" w:rsidRDefault="00BF6EA7" w:rsidP="00E435FE">
      <w:pPr>
        <w:pStyle w:val="Heading5"/>
        <w:spacing w:after="240"/>
      </w:pPr>
      <w:r>
        <w:t>Funding and purchasing</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3512B0" w14:paraId="0F0C903A" w14:textId="77777777" w:rsidTr="003C23CA">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E90A702" w14:textId="77777777" w:rsidR="007649A3" w:rsidRPr="007649A3" w:rsidRDefault="007649A3" w:rsidP="00FE400C">
            <w:pPr>
              <w:spacing w:after="120" w:line="259" w:lineRule="auto"/>
              <w:rPr>
                <w:rFonts w:eastAsia="Times New Roman" w:cs="Segoe UI"/>
                <w:b/>
                <w:bCs/>
                <w:lang w:eastAsia="en-AU"/>
              </w:rPr>
            </w:pPr>
            <w:r w:rsidRPr="007649A3">
              <w:rPr>
                <w:rFonts w:eastAsia="Times New Roman" w:cs="Segoe UI"/>
                <w:b/>
                <w:bCs/>
                <w:lang w:eastAsia="en-AU"/>
              </w:rPr>
              <w:t xml:space="preserve">Alternative option 1: </w:t>
            </w:r>
          </w:p>
          <w:p w14:paraId="6F82B0AC" w14:textId="7DF9BB27" w:rsidR="00CC172A" w:rsidRPr="00CC172A" w:rsidRDefault="00CC172A" w:rsidP="00CC172A">
            <w:pPr>
              <w:spacing w:line="259" w:lineRule="auto"/>
              <w:rPr>
                <w:rFonts w:eastAsia="Times New Roman" w:cs="Segoe UI"/>
                <w:kern w:val="24"/>
                <w:lang w:eastAsia="en-AU"/>
              </w:rPr>
            </w:pPr>
            <w:r w:rsidRPr="00CC172A">
              <w:rPr>
                <w:rFonts w:eastAsia="Times New Roman" w:cs="Segoe UI"/>
                <w:kern w:val="24"/>
                <w:lang w:eastAsia="en-AU"/>
              </w:rPr>
              <w:t>In conjunction with options for proportionate assessment</w:t>
            </w:r>
            <w:r w:rsidR="009F5C5B">
              <w:rPr>
                <w:rFonts w:eastAsia="Times New Roman" w:cs="Segoe UI"/>
                <w:kern w:val="24"/>
                <w:lang w:eastAsia="en-AU"/>
              </w:rPr>
              <w:fldChar w:fldCharType="begin"/>
            </w:r>
            <w:r w:rsidR="009F5C5B">
              <w:instrText xml:space="preserve"> XE "</w:instrText>
            </w:r>
            <w:r w:rsidR="009F5C5B" w:rsidRPr="004B710D">
              <w:rPr>
                <w:rFonts w:eastAsia="Times New Roman" w:cs="Segoe UI"/>
                <w:kern w:val="24"/>
                <w:sz w:val="20"/>
                <w:szCs w:val="20"/>
                <w:lang w:eastAsia="en-AU"/>
              </w:rPr>
              <w:instrText xml:space="preserve">proportionate </w:instrText>
            </w:r>
            <w:proofErr w:type="spellStart"/>
            <w:proofErr w:type="gramStart"/>
            <w:r w:rsidR="009F5C5B" w:rsidRPr="004B710D">
              <w:rPr>
                <w:rFonts w:eastAsia="Times New Roman" w:cs="Segoe UI"/>
                <w:kern w:val="24"/>
                <w:lang w:eastAsia="en-AU"/>
              </w:rPr>
              <w:instrText>appraisal</w:instrText>
            </w:r>
            <w:r w:rsidR="009F5C5B" w:rsidRPr="004B710D">
              <w:rPr>
                <w:rFonts w:eastAsia="Times New Roman" w:cs="Segoe UI"/>
                <w:kern w:val="24"/>
              </w:rPr>
              <w:instrText>:</w:instrText>
            </w:r>
            <w:r w:rsidR="009F5C5B" w:rsidRPr="004B710D">
              <w:instrText>proportionate</w:instrText>
            </w:r>
            <w:proofErr w:type="spellEnd"/>
            <w:proofErr w:type="gramEnd"/>
            <w:r w:rsidR="009F5C5B" w:rsidRPr="004B710D">
              <w:instrText xml:space="preserve"> assessment</w:instrText>
            </w:r>
            <w:r w:rsidR="009F5C5B">
              <w:instrText xml:space="preserve">" </w:instrText>
            </w:r>
            <w:r w:rsidR="009F5C5B">
              <w:rPr>
                <w:rFonts w:eastAsia="Times New Roman" w:cs="Segoe UI"/>
                <w:kern w:val="24"/>
                <w:lang w:eastAsia="en-AU"/>
              </w:rPr>
              <w:fldChar w:fldCharType="end"/>
            </w:r>
            <w:r w:rsidRPr="00CC172A">
              <w:rPr>
                <w:rFonts w:eastAsia="Times New Roman" w:cs="Segoe UI"/>
                <w:kern w:val="24"/>
                <w:lang w:eastAsia="en-AU"/>
              </w:rPr>
              <w:t xml:space="preserve"> of cost-minimisation</w:t>
            </w:r>
            <w:r w:rsidRPr="00CC172A">
              <w:rPr>
                <w:rFonts w:eastAsia="Times New Roman" w:cs="Segoe UI"/>
                <w:kern w:val="24"/>
                <w:lang w:eastAsia="en-AU"/>
              </w:rPr>
              <w:fldChar w:fldCharType="begin"/>
            </w:r>
            <w:r w:rsidRPr="00CC172A">
              <w:rPr>
                <w:rFonts w:eastAsia="Times New Roman" w:cs="Segoe UI"/>
                <w:kern w:val="24"/>
                <w:lang w:eastAsia="en-AU"/>
              </w:rPr>
              <w:instrText xml:space="preserve"> XE "cost-minimisation" \b </w:instrText>
            </w:r>
            <w:r w:rsidRPr="00CC172A">
              <w:rPr>
                <w:rFonts w:eastAsia="Times New Roman" w:cs="Segoe UI"/>
                <w:kern w:val="24"/>
                <w:lang w:eastAsia="en-AU"/>
              </w:rPr>
              <w:fldChar w:fldCharType="end"/>
            </w:r>
            <w:r w:rsidRPr="00CC172A">
              <w:rPr>
                <w:rFonts w:eastAsia="Times New Roman" w:cs="Segoe UI"/>
                <w:kern w:val="24"/>
                <w:lang w:eastAsia="en-AU"/>
              </w:rPr>
              <w:t xml:space="preserve"> submissions (see </w:t>
            </w:r>
            <w:hyperlink w:anchor="_Options_–_Proportionate" w:history="1">
              <w:r w:rsidR="007E3F02" w:rsidRPr="00CC172A">
                <w:rPr>
                  <w:rStyle w:val="Hyperlink"/>
                  <w:rFonts w:eastAsia="Times New Roman" w:cs="Segoe UI"/>
                  <w:kern w:val="24"/>
                  <w:lang w:eastAsia="en-AU"/>
                </w:rPr>
                <w:t>Proportionate appraisal pathways</w:t>
              </w:r>
            </w:hyperlink>
            <w:r w:rsidRPr="00CC172A">
              <w:rPr>
                <w:rFonts w:eastAsia="Times New Roman" w:cs="Segoe UI"/>
                <w:kern w:val="24"/>
                <w:lang w:eastAsia="en-AU"/>
              </w:rPr>
              <w:t>), require offers of a lower price for health technologies that provide no added benefit. New therapies that offer no advantage in terms of improved efficacy or safety (</w:t>
            </w:r>
            <w:proofErr w:type="gramStart"/>
            <w:r w:rsidRPr="00CC172A">
              <w:rPr>
                <w:rFonts w:eastAsia="Times New Roman" w:cs="Segoe UI"/>
                <w:kern w:val="24"/>
                <w:lang w:eastAsia="en-AU"/>
              </w:rPr>
              <w:t>i.e.</w:t>
            </w:r>
            <w:proofErr w:type="gramEnd"/>
            <w:r w:rsidRPr="00CC172A">
              <w:rPr>
                <w:rFonts w:eastAsia="Times New Roman" w:cs="Segoe UI"/>
                <w:kern w:val="24"/>
                <w:lang w:eastAsia="en-AU"/>
              </w:rPr>
              <w:t xml:space="preserve"> no improved health outcomes), would be required to offer a lower price to be funded. Further work will need to be done to determine the parameters around the cost-minimisation submissions this would apply including defining the circumstances where it would be appropriate to apply these policies.</w:t>
            </w:r>
          </w:p>
          <w:p w14:paraId="36D5407D" w14:textId="77777777" w:rsidR="00DE259C" w:rsidRPr="00117D66" w:rsidRDefault="00DE259C" w:rsidP="00FE400C">
            <w:pPr>
              <w:spacing w:line="259" w:lineRule="auto"/>
              <w:jc w:val="center"/>
              <w:rPr>
                <w:rFonts w:eastAsia="Times New Roman" w:cs="Segoe UI"/>
                <w:b/>
                <w:kern w:val="24"/>
                <w:lang w:eastAsia="en-AU"/>
              </w:rPr>
            </w:pPr>
          </w:p>
          <w:p w14:paraId="68850129" w14:textId="45BB205C" w:rsidR="007649A3" w:rsidRPr="00117D66" w:rsidRDefault="007649A3" w:rsidP="00FE400C">
            <w:pPr>
              <w:spacing w:line="259" w:lineRule="auto"/>
              <w:jc w:val="center"/>
              <w:rPr>
                <w:rFonts w:eastAsia="Times New Roman" w:cs="Segoe UI"/>
                <w:b/>
                <w:kern w:val="24"/>
                <w:lang w:eastAsia="en-AU"/>
              </w:rPr>
            </w:pPr>
            <w:r w:rsidRPr="00117D66">
              <w:rPr>
                <w:rFonts w:eastAsia="Times New Roman" w:cs="Segoe UI"/>
                <w:b/>
                <w:kern w:val="24"/>
                <w:lang w:eastAsia="en-AU"/>
              </w:rPr>
              <w:t>OR</w:t>
            </w:r>
          </w:p>
          <w:p w14:paraId="518A7E46" w14:textId="77777777" w:rsidR="007649A3" w:rsidRPr="007649A3" w:rsidRDefault="007649A3" w:rsidP="00FE400C">
            <w:pPr>
              <w:spacing w:after="120" w:line="259" w:lineRule="auto"/>
              <w:rPr>
                <w:rFonts w:eastAsia="Times New Roman" w:cs="Segoe UI"/>
                <w:b/>
                <w:bCs/>
                <w:lang w:eastAsia="en-AU"/>
              </w:rPr>
            </w:pPr>
            <w:r w:rsidRPr="007649A3">
              <w:rPr>
                <w:rFonts w:eastAsia="Times New Roman" w:cs="Segoe UI"/>
                <w:b/>
                <w:bCs/>
                <w:lang w:eastAsia="en-AU"/>
              </w:rPr>
              <w:t>Alternative option 2:</w:t>
            </w:r>
          </w:p>
          <w:p w14:paraId="09F6D31D" w14:textId="728136B7" w:rsidR="007E2123" w:rsidRPr="00CC172A" w:rsidRDefault="007649A3" w:rsidP="00CC172A">
            <w:pPr>
              <w:spacing w:after="120" w:line="259" w:lineRule="auto"/>
              <w:rPr>
                <w:rFonts w:eastAsia="Times New Roman" w:cs="Segoe UI"/>
                <w:lang w:eastAsia="en-AU"/>
              </w:rPr>
            </w:pPr>
            <w:r w:rsidRPr="00CC172A">
              <w:rPr>
                <w:rFonts w:eastAsia="Times New Roman" w:cs="Segoe UI"/>
                <w:lang w:eastAsia="en-AU"/>
              </w:rPr>
              <w:t>In conjunction with options for proportionate assessment</w:t>
            </w:r>
            <w:r w:rsidR="009F5C5B">
              <w:rPr>
                <w:rFonts w:eastAsia="Times New Roman" w:cs="Segoe UI"/>
                <w:lang w:eastAsia="en-AU"/>
              </w:rPr>
              <w:fldChar w:fldCharType="begin"/>
            </w:r>
            <w:r w:rsidR="009F5C5B">
              <w:instrText xml:space="preserve"> XE "</w:instrText>
            </w:r>
            <w:r w:rsidR="009F5C5B" w:rsidRPr="004B710D">
              <w:rPr>
                <w:rFonts w:eastAsia="Times New Roman" w:cs="Segoe UI"/>
                <w:kern w:val="24"/>
                <w:sz w:val="20"/>
                <w:szCs w:val="20"/>
                <w:lang w:eastAsia="en-AU"/>
              </w:rPr>
              <w:instrText xml:space="preserve">proportionate </w:instrText>
            </w:r>
            <w:proofErr w:type="spellStart"/>
            <w:r w:rsidR="009F5C5B" w:rsidRPr="004B710D">
              <w:rPr>
                <w:rFonts w:eastAsia="Times New Roman" w:cs="Segoe UI"/>
                <w:kern w:val="24"/>
                <w:lang w:eastAsia="en-AU"/>
              </w:rPr>
              <w:instrText>appraisal</w:instrText>
            </w:r>
            <w:r w:rsidR="009F5C5B" w:rsidRPr="004B710D">
              <w:rPr>
                <w:rFonts w:eastAsia="Times New Roman" w:cs="Segoe UI"/>
                <w:kern w:val="24"/>
              </w:rPr>
              <w:instrText>:</w:instrText>
            </w:r>
            <w:r w:rsidR="009F5C5B" w:rsidRPr="004B710D">
              <w:instrText>proportionate</w:instrText>
            </w:r>
            <w:proofErr w:type="spellEnd"/>
            <w:r w:rsidR="009F5C5B" w:rsidRPr="004B710D">
              <w:instrText xml:space="preserve"> assessment</w:instrText>
            </w:r>
            <w:r w:rsidR="009F5C5B">
              <w:instrText xml:space="preserve">" </w:instrText>
            </w:r>
            <w:r w:rsidR="009F5C5B">
              <w:rPr>
                <w:rFonts w:eastAsia="Times New Roman" w:cs="Segoe UI"/>
                <w:lang w:eastAsia="en-AU"/>
              </w:rPr>
              <w:fldChar w:fldCharType="end"/>
            </w:r>
            <w:r w:rsidRPr="00CC172A">
              <w:rPr>
                <w:rFonts w:eastAsia="Times New Roman" w:cs="Segoe UI"/>
                <w:lang w:eastAsia="en-AU"/>
              </w:rPr>
              <w:t xml:space="preserve"> of cost-minimisation</w:t>
            </w:r>
            <w:r w:rsidRPr="00CC172A">
              <w:rPr>
                <w:rFonts w:eastAsia="Times New Roman" w:cs="Segoe UI"/>
                <w:lang w:eastAsia="en-AU"/>
              </w:rPr>
              <w:fldChar w:fldCharType="begin"/>
            </w:r>
            <w:r w:rsidRPr="00CC172A">
              <w:rPr>
                <w:rFonts w:eastAsia="Times New Roman" w:cs="Segoe UI"/>
                <w:lang w:eastAsia="en-AU"/>
              </w:rPr>
              <w:instrText xml:space="preserve"> XE "cost-minimisation" \b </w:instrText>
            </w:r>
            <w:r w:rsidRPr="00CC172A">
              <w:rPr>
                <w:rFonts w:eastAsia="Times New Roman" w:cs="Segoe UI"/>
                <w:lang w:eastAsia="en-AU"/>
              </w:rPr>
              <w:fldChar w:fldCharType="end"/>
            </w:r>
            <w:r w:rsidRPr="00CC172A">
              <w:rPr>
                <w:rFonts w:eastAsia="Times New Roman" w:cs="Segoe UI"/>
                <w:lang w:eastAsia="en-AU"/>
              </w:rPr>
              <w:t xml:space="preserve"> submissions </w:t>
            </w:r>
            <w:r w:rsidR="00CC172A" w:rsidRPr="00CC172A">
              <w:rPr>
                <w:rFonts w:eastAsia="Times New Roman" w:cs="Segoe UI"/>
                <w:lang w:eastAsia="en-AU"/>
              </w:rPr>
              <w:t xml:space="preserve">(see </w:t>
            </w:r>
            <w:hyperlink w:anchor="_Proportionate_appraisal_pathways:" w:history="1">
              <w:hyperlink w:anchor="_Options_–_Proportionate" w:history="1">
                <w:r w:rsidR="00362E8C" w:rsidRPr="00CC172A">
                  <w:rPr>
                    <w:rStyle w:val="Hyperlink"/>
                    <w:rFonts w:eastAsia="Times New Roman" w:cs="Segoe UI"/>
                    <w:lang w:eastAsia="en-AU"/>
                  </w:rPr>
                  <w:t>Proportionate appraisal pathways</w:t>
                </w:r>
              </w:hyperlink>
              <w:r w:rsidRPr="00CC172A">
                <w:rPr>
                  <w:rStyle w:val="Hyperlink"/>
                  <w:rFonts w:eastAsia="Times New Roman" w:cs="Segoe UI"/>
                  <w:lang w:eastAsia="en-AU"/>
                </w:rPr>
                <w:t>)</w:t>
              </w:r>
            </w:hyperlink>
            <w:r w:rsidRPr="00CC172A">
              <w:rPr>
                <w:rFonts w:eastAsia="Times New Roman" w:cs="Segoe UI"/>
                <w:lang w:eastAsia="en-AU"/>
              </w:rPr>
              <w:t>, incentivise offers of a lower price for health technologies that provide no added benefit. New therapies that offer no advantage in terms of improved efficacy or safety</w:t>
            </w:r>
            <w:r w:rsidRPr="00117D66">
              <w:rPr>
                <w:rFonts w:eastAsia="Times New Roman" w:cs="Segoe UI"/>
                <w:lang w:eastAsia="en-AU"/>
              </w:rPr>
              <w:t xml:space="preserve"> (</w:t>
            </w:r>
            <w:proofErr w:type="gramStart"/>
            <w:r w:rsidRPr="00117D66">
              <w:rPr>
                <w:rFonts w:eastAsia="Times New Roman" w:cs="Segoe UI"/>
                <w:lang w:eastAsia="en-AU"/>
              </w:rPr>
              <w:t>i</w:t>
            </w:r>
            <w:r w:rsidR="004601AB">
              <w:rPr>
                <w:rFonts w:eastAsia="Times New Roman" w:cs="Segoe UI"/>
                <w:lang w:eastAsia="en-AU"/>
              </w:rPr>
              <w:t>.</w:t>
            </w:r>
            <w:r w:rsidRPr="00117D66">
              <w:rPr>
                <w:rFonts w:eastAsia="Times New Roman" w:cs="Segoe UI"/>
                <w:lang w:eastAsia="en-AU"/>
              </w:rPr>
              <w:t>e.</w:t>
            </w:r>
            <w:proofErr w:type="gramEnd"/>
            <w:r w:rsidRPr="00117D66">
              <w:rPr>
                <w:rFonts w:eastAsia="Times New Roman" w:cs="Segoe UI"/>
                <w:lang w:eastAsia="en-AU"/>
              </w:rPr>
              <w:t xml:space="preserve"> no improved health outcomes)</w:t>
            </w:r>
            <w:r w:rsidRPr="00CC172A">
              <w:rPr>
                <w:rFonts w:eastAsia="Times New Roman" w:cs="Segoe UI"/>
                <w:lang w:eastAsia="en-AU"/>
              </w:rPr>
              <w:t>, would be encouraged to offer a lower price to be funded. Further work will need to be done to determine the parameters around the cost-minimisation submissions this would apply including defining the circumstances where it would be appropriate to apply these policies and quid pro quo options.</w:t>
            </w:r>
          </w:p>
        </w:tc>
      </w:tr>
    </w:tbl>
    <w:p w14:paraId="5CC0720E" w14:textId="3EF250AF" w:rsidR="00901DF2" w:rsidRDefault="00901DF2" w:rsidP="00FE400C">
      <w:pPr>
        <w:spacing w:after="0"/>
      </w:pPr>
    </w:p>
    <w:tbl>
      <w:tblPr>
        <w:tblStyle w:val="TableGrid"/>
        <w:tblpPr w:leftFromText="181" w:rightFromText="181" w:bottomFromText="142" w:vertAnchor="text" w:tblpY="1"/>
        <w:tblOverlap w:val="never"/>
        <w:tblW w:w="9425" w:type="dxa"/>
        <w:tblCellMar>
          <w:top w:w="113" w:type="dxa"/>
          <w:bottom w:w="113" w:type="dxa"/>
        </w:tblCellMar>
        <w:tblLook w:val="04A0" w:firstRow="1" w:lastRow="0" w:firstColumn="1" w:lastColumn="0" w:noHBand="0" w:noVBand="1"/>
      </w:tblPr>
      <w:tblGrid>
        <w:gridCol w:w="9425"/>
      </w:tblGrid>
      <w:tr w:rsidR="00DE259C" w14:paraId="2F70EEAE" w14:textId="77777777" w:rsidTr="007C1A24">
        <w:trPr>
          <w:trHeight w:val="835"/>
        </w:trPr>
        <w:tc>
          <w:tcPr>
            <w:tcW w:w="9425" w:type="dxa"/>
            <w:tcBorders>
              <w:top w:val="single" w:sz="18" w:space="0" w:color="ACC02A" w:themeColor="accent5"/>
              <w:left w:val="nil"/>
              <w:bottom w:val="nil"/>
              <w:right w:val="nil"/>
            </w:tcBorders>
            <w:shd w:val="clear" w:color="auto" w:fill="F2F2F2" w:themeFill="background1" w:themeFillShade="F2"/>
          </w:tcPr>
          <w:p w14:paraId="4AE7DE6C" w14:textId="60E64C17" w:rsidR="00DE259C" w:rsidRDefault="00DE259C" w:rsidP="008C10BB">
            <w:pPr>
              <w:spacing w:after="160" w:line="259" w:lineRule="auto"/>
              <w:rPr>
                <w:rFonts w:eastAsia="Times New Roman" w:cs="Segoe UI"/>
                <w:b/>
                <w:bCs/>
                <w:lang w:eastAsia="en-AU"/>
              </w:rPr>
            </w:pPr>
            <w:r w:rsidRPr="00DE259C">
              <w:rPr>
                <w:rFonts w:eastAsia="Times New Roman" w:cs="Segoe UI"/>
                <w:b/>
                <w:bCs/>
                <w:lang w:eastAsia="en-AU"/>
              </w:rPr>
              <w:t xml:space="preserve">Investigate further options to address budget impact implications of </w:t>
            </w:r>
            <w:proofErr w:type="gramStart"/>
            <w:r w:rsidRPr="00DE259C">
              <w:rPr>
                <w:rFonts w:eastAsia="Times New Roman" w:cs="Segoe UI"/>
                <w:b/>
                <w:bCs/>
                <w:lang w:eastAsia="en-AU"/>
              </w:rPr>
              <w:t>high-cost</w:t>
            </w:r>
            <w:proofErr w:type="gramEnd"/>
            <w:r w:rsidRPr="00DE259C">
              <w:rPr>
                <w:rFonts w:eastAsia="Times New Roman" w:cs="Segoe UI"/>
                <w:b/>
                <w:bCs/>
                <w:lang w:eastAsia="en-AU"/>
              </w:rPr>
              <w:t>/high impact health technologies</w:t>
            </w:r>
          </w:p>
          <w:p w14:paraId="62E4F9A5" w14:textId="76033114" w:rsidR="00DE259C" w:rsidRPr="00117D66" w:rsidRDefault="00DE259C" w:rsidP="00BC5219">
            <w:pPr>
              <w:spacing w:line="259" w:lineRule="auto"/>
              <w:rPr>
                <w:rFonts w:eastAsia="Times New Roman" w:cs="Segoe UI"/>
                <w:kern w:val="24"/>
                <w:lang w:eastAsia="en-AU"/>
              </w:rPr>
            </w:pPr>
            <w:r w:rsidRPr="00117D66">
              <w:rPr>
                <w:rFonts w:eastAsia="Times New Roman" w:cs="Segoe UI"/>
                <w:kern w:val="24"/>
                <w:lang w:eastAsia="en-AU"/>
              </w:rPr>
              <w:t>Identify appropriate alternate contract funding/financing tools and instruments (</w:t>
            </w:r>
            <w:proofErr w:type="gramStart"/>
            <w:r w:rsidRPr="00117D66">
              <w:rPr>
                <w:rFonts w:eastAsia="Times New Roman" w:cs="Segoe UI"/>
                <w:kern w:val="24"/>
                <w:lang w:eastAsia="en-AU"/>
              </w:rPr>
              <w:t>e.g.</w:t>
            </w:r>
            <w:proofErr w:type="gramEnd"/>
            <w:r w:rsidRPr="00117D66">
              <w:rPr>
                <w:rFonts w:eastAsia="Times New Roman" w:cs="Segoe UI"/>
                <w:kern w:val="24"/>
                <w:lang w:eastAsia="en-AU"/>
              </w:rPr>
              <w:t xml:space="preserve"> annuity payments, patient-level product warranties) in consultation with stakeholders to address budget implications of high-cost/high-impact health technologies in the Australian context. This work should focus on instruments that may help to address: </w:t>
            </w:r>
          </w:p>
          <w:p w14:paraId="054A1B97" w14:textId="12FAACA5" w:rsidR="00DE259C" w:rsidRPr="00117D66" w:rsidRDefault="00DE259C" w:rsidP="008505D7">
            <w:pPr>
              <w:pStyle w:val="ListParagraph"/>
              <w:numPr>
                <w:ilvl w:val="0"/>
                <w:numId w:val="137"/>
              </w:numPr>
              <w:spacing w:line="259" w:lineRule="auto"/>
              <w:rPr>
                <w:rFonts w:eastAsia="Times New Roman" w:cs="Segoe UI"/>
                <w:lang w:eastAsia="en-AU"/>
              </w:rPr>
            </w:pPr>
            <w:r w:rsidRPr="00117D66">
              <w:rPr>
                <w:rFonts w:eastAsia="Times New Roman" w:cs="Segoe UI"/>
                <w:lang w:eastAsia="en-AU"/>
              </w:rPr>
              <w:t xml:space="preserve">clinical, </w:t>
            </w:r>
            <w:proofErr w:type="gramStart"/>
            <w:r w:rsidRPr="00117D66">
              <w:rPr>
                <w:rFonts w:eastAsia="Times New Roman" w:cs="Segoe UI"/>
                <w:lang w:eastAsia="en-AU"/>
              </w:rPr>
              <w:t>financial</w:t>
            </w:r>
            <w:proofErr w:type="gramEnd"/>
            <w:r w:rsidRPr="00117D66">
              <w:rPr>
                <w:rFonts w:eastAsia="Times New Roman" w:cs="Segoe UI"/>
                <w:lang w:eastAsia="en-AU"/>
              </w:rPr>
              <w:t xml:space="preserve"> or economic uncertainty</w:t>
            </w:r>
            <w:r w:rsidR="001C1488">
              <w:rPr>
                <w:rFonts w:eastAsia="Times New Roman" w:cs="Segoe UI"/>
                <w:lang w:eastAsia="en-AU"/>
              </w:rPr>
              <w:t xml:space="preserve"> (see </w:t>
            </w:r>
            <w:hyperlink w:anchor="_Health_Technology_Funding_1" w:history="1">
              <w:r w:rsidR="001C1488" w:rsidRPr="001C1488">
                <w:rPr>
                  <w:rFonts w:eastAsia="Times New Roman" w:cs="Segoe UI"/>
                  <w:color w:val="1D437F" w:themeColor="accent1"/>
                  <w:u w:val="single"/>
                  <w:lang w:eastAsia="en-AU"/>
                </w:rPr>
                <w:t>Health Technology Funding and purchasing approaches and managing uncertainty</w:t>
              </w:r>
            </w:hyperlink>
            <w:r w:rsidR="001C1488">
              <w:rPr>
                <w:rFonts w:eastAsia="Times New Roman" w:cs="Segoe UI"/>
                <w:lang w:eastAsia="en-AU"/>
              </w:rPr>
              <w:t>)</w:t>
            </w:r>
          </w:p>
          <w:p w14:paraId="0E041A10" w14:textId="28D6A03C" w:rsidR="00DE259C" w:rsidRPr="00117D66" w:rsidRDefault="00DE259C" w:rsidP="008505D7">
            <w:pPr>
              <w:pStyle w:val="ListParagraph"/>
              <w:numPr>
                <w:ilvl w:val="0"/>
                <w:numId w:val="137"/>
              </w:numPr>
              <w:spacing w:line="259" w:lineRule="auto"/>
              <w:rPr>
                <w:rFonts w:eastAsia="Times New Roman" w:cs="Segoe UI"/>
                <w:lang w:eastAsia="en-AU"/>
              </w:rPr>
            </w:pPr>
            <w:r w:rsidRPr="00117D66">
              <w:rPr>
                <w:rFonts w:eastAsia="Times New Roman" w:cs="Segoe UI"/>
                <w:lang w:eastAsia="en-AU"/>
              </w:rPr>
              <w:t xml:space="preserve">resolving issues in submissions that prevent positive recommendations being made </w:t>
            </w:r>
            <w:hyperlink w:anchor="_Options_–_Proportionate" w:history="1">
              <w:r w:rsidRPr="00117D66">
                <w:rPr>
                  <w:rFonts w:eastAsia="Times New Roman" w:cs="Segoe UI"/>
                  <w:lang w:eastAsia="en-AU"/>
                </w:rPr>
                <w:t xml:space="preserve">(see </w:t>
              </w:r>
              <w:r w:rsidRPr="00117D66">
                <w:rPr>
                  <w:rFonts w:eastAsia="Times New Roman" w:cs="Segoe UI"/>
                  <w:color w:val="1D437F" w:themeColor="accent1"/>
                  <w:u w:val="single"/>
                  <w:lang w:eastAsia="en-AU"/>
                </w:rPr>
                <w:t>early resolution</w:t>
              </w:r>
              <w:r w:rsidR="00336A3C">
                <w:rPr>
                  <w:rFonts w:eastAsia="Times New Roman" w:cs="Segoe UI"/>
                  <w:color w:val="1D437F" w:themeColor="accent1"/>
                  <w:u w:val="single"/>
                  <w:lang w:eastAsia="en-AU"/>
                </w:rPr>
                <w:fldChar w:fldCharType="begin"/>
              </w:r>
              <w:r w:rsidR="00336A3C">
                <w:instrText xml:space="preserve"> XE "</w:instrText>
              </w:r>
              <w:r w:rsidR="00336A3C" w:rsidRPr="004A569D">
                <w:rPr>
                  <w:rFonts w:eastAsia="Times New Roman" w:cs="Segoe UI"/>
                  <w:color w:val="222A35"/>
                  <w:lang w:eastAsia="en-AU"/>
                </w:rPr>
                <w:instrText>early resolution</w:instrText>
              </w:r>
              <w:r w:rsidR="00336A3C">
                <w:instrText xml:space="preserve">" </w:instrText>
              </w:r>
              <w:r w:rsidR="00336A3C">
                <w:rPr>
                  <w:rFonts w:eastAsia="Times New Roman" w:cs="Segoe UI"/>
                  <w:color w:val="1D437F" w:themeColor="accent1"/>
                  <w:u w:val="single"/>
                  <w:lang w:eastAsia="en-AU"/>
                </w:rPr>
                <w:fldChar w:fldCharType="end"/>
              </w:r>
              <w:r w:rsidRPr="00117D66">
                <w:rPr>
                  <w:rFonts w:eastAsia="Times New Roman" w:cs="Segoe UI"/>
                  <w:color w:val="1D437F" w:themeColor="accent1"/>
                  <w:u w:val="single"/>
                  <w:lang w:eastAsia="en-AU"/>
                </w:rPr>
                <w:t xml:space="preserve"> options</w:t>
              </w:r>
              <w:r w:rsidRPr="00117D66">
                <w:rPr>
                  <w:rFonts w:eastAsia="Times New Roman" w:cs="Segoe UI"/>
                  <w:lang w:eastAsia="en-AU"/>
                </w:rPr>
                <w:t>)</w:t>
              </w:r>
            </w:hyperlink>
          </w:p>
          <w:p w14:paraId="14878E76" w14:textId="4EE429C2" w:rsidR="00DE259C" w:rsidRPr="00DE259C" w:rsidRDefault="00DE259C" w:rsidP="008505D7">
            <w:pPr>
              <w:pStyle w:val="ListParagraph"/>
              <w:numPr>
                <w:ilvl w:val="0"/>
                <w:numId w:val="137"/>
              </w:numPr>
              <w:spacing w:line="259" w:lineRule="auto"/>
              <w:rPr>
                <w:rFonts w:eastAsia="Times New Roman" w:cs="Segoe UI"/>
                <w:sz w:val="20"/>
                <w:szCs w:val="20"/>
                <w:lang w:eastAsia="en-AU"/>
              </w:rPr>
            </w:pPr>
            <w:r w:rsidRPr="00117D66">
              <w:rPr>
                <w:rFonts w:eastAsia="Times New Roman" w:cs="Segoe UI"/>
                <w:lang w:eastAsia="en-AU"/>
              </w:rPr>
              <w:t>addressing</w:t>
            </w:r>
            <w:r w:rsidRPr="00117D66">
              <w:rPr>
                <w:rFonts w:eastAsia="Times New Roman" w:cs="Segoe UI"/>
                <w:color w:val="222A35"/>
                <w:kern w:val="24"/>
                <w:lang w:eastAsia="en-AU"/>
              </w:rPr>
              <w:t xml:space="preserve"> lack of incentive for developing health technologies in certain areas </w:t>
            </w:r>
            <w:hyperlink w:anchor="_Health_technologies_that" w:history="1">
              <w:r w:rsidRPr="00117D66">
                <w:rPr>
                  <w:rFonts w:eastAsia="Times New Roman" w:cs="Segoe UI"/>
                  <w:color w:val="222A35"/>
                  <w:kern w:val="24"/>
                  <w:lang w:eastAsia="en-AU"/>
                </w:rPr>
                <w:t xml:space="preserve">(see </w:t>
              </w:r>
              <w:r w:rsidR="000E72E3">
                <w:rPr>
                  <w:rFonts w:eastAsia="Times New Roman" w:cs="Segoe UI"/>
                  <w:color w:val="1D437F" w:themeColor="accent1"/>
                  <w:kern w:val="24"/>
                  <w:u w:val="single"/>
                  <w:lang w:eastAsia="en-AU"/>
                </w:rPr>
                <w:t>Health technologies that address antimicrobial resistance</w:t>
              </w:r>
              <w:r w:rsidRPr="00117D66">
                <w:rPr>
                  <w:rFonts w:eastAsia="Times New Roman" w:cs="Segoe UI"/>
                  <w:color w:val="222A35"/>
                  <w:kern w:val="24"/>
                  <w:lang w:eastAsia="en-AU"/>
                </w:rPr>
                <w:fldChar w:fldCharType="begin"/>
              </w:r>
              <w:r w:rsidRPr="00117D66">
                <w:rPr>
                  <w:rFonts w:eastAsia="Times New Roman" w:cs="Segoe UI"/>
                  <w:color w:val="222A35"/>
                  <w:kern w:val="24"/>
                  <w:lang w:eastAsia="en-AU"/>
                </w:rPr>
                <w:instrText xml:space="preserve"> XE "antimicrobial resistance" \b </w:instrText>
              </w:r>
              <w:r w:rsidRPr="00117D66">
                <w:rPr>
                  <w:rFonts w:eastAsia="Times New Roman" w:cs="Segoe UI"/>
                  <w:color w:val="222A35"/>
                  <w:kern w:val="24"/>
                  <w:lang w:eastAsia="en-AU"/>
                </w:rPr>
                <w:fldChar w:fldCharType="end"/>
              </w:r>
              <w:r w:rsidRPr="00117D66">
                <w:rPr>
                  <w:rFonts w:eastAsia="Times New Roman" w:cs="Segoe UI"/>
                  <w:color w:val="222A35"/>
                  <w:kern w:val="24"/>
                  <w:lang w:eastAsia="en-AU"/>
                </w:rPr>
                <w:t>)</w:t>
              </w:r>
            </w:hyperlink>
            <w:r w:rsidRPr="00DE259C">
              <w:rPr>
                <w:rFonts w:eastAsia="Times New Roman" w:cs="Segoe UI"/>
                <w:sz w:val="20"/>
                <w:szCs w:val="20"/>
                <w:lang w:eastAsia="en-AU"/>
              </w:rPr>
              <w:t xml:space="preserve"> </w:t>
            </w:r>
          </w:p>
        </w:tc>
      </w:tr>
    </w:tbl>
    <w:p w14:paraId="3B052884" w14:textId="77777777" w:rsidR="00DE259C" w:rsidRDefault="00DE259C" w:rsidP="007C1A24">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B6F3C" w14:paraId="0C8B09FE" w14:textId="77777777">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A417477" w14:textId="4BCC04EE" w:rsidR="00AB6F3C" w:rsidRDefault="00AB6F3C">
            <w:pPr>
              <w:spacing w:after="120" w:line="259" w:lineRule="auto"/>
              <w:rPr>
                <w:rFonts w:eastAsia="Times New Roman" w:cs="Segoe UI"/>
                <w:b/>
                <w:bCs/>
                <w:lang w:eastAsia="en-AU"/>
              </w:rPr>
            </w:pPr>
            <w:r w:rsidRPr="00AB6F3C">
              <w:rPr>
                <w:rFonts w:eastAsia="Times New Roman" w:cs="Segoe UI"/>
                <w:b/>
                <w:bCs/>
                <w:lang w:eastAsia="en-AU"/>
              </w:rPr>
              <w:t>Pricing offer (PO) and negotiation guidance framework</w:t>
            </w:r>
          </w:p>
          <w:p w14:paraId="660B1C66" w14:textId="77777777" w:rsidR="00AB6F3C" w:rsidRPr="00AB6F3C" w:rsidRDefault="00AB6F3C" w:rsidP="00AB6F3C">
            <w:pPr>
              <w:spacing w:after="160" w:line="22" w:lineRule="atLeast"/>
              <w:rPr>
                <w:rFonts w:eastAsia="Times New Roman" w:cs="Segoe UI"/>
                <w:kern w:val="24"/>
                <w:lang w:eastAsia="en-AU"/>
              </w:rPr>
            </w:pPr>
            <w:r w:rsidRPr="00AB6F3C">
              <w:rPr>
                <w:rFonts w:eastAsia="Times New Roman" w:cs="Segoe UI"/>
                <w:kern w:val="24"/>
                <w:lang w:eastAsia="en-AU"/>
              </w:rPr>
              <w:t>Introduction of a PO and negotiation guidance framework for health technologies that have been approved by the TGA and positively recommended by a HTA Committee, which accounts for the comparative/incremental health benefit of the health technologies compared to existing available subsidised products, as well as overall budget impact</w:t>
            </w:r>
            <w:r w:rsidRPr="00AB6F3C">
              <w:rPr>
                <w:rFonts w:eastAsia="Times New Roman" w:cs="Segoe UI"/>
                <w:kern w:val="24"/>
                <w:lang w:eastAsia="en-AU"/>
              </w:rPr>
              <w:fldChar w:fldCharType="begin"/>
            </w:r>
            <w:r w:rsidRPr="00AB6F3C">
              <w:instrText xml:space="preserve"> XE "</w:instrText>
            </w:r>
            <w:r w:rsidRPr="00AB6F3C">
              <w:rPr>
                <w:rFonts w:eastAsia="Times New Roman" w:cs="Segoe UI"/>
                <w:kern w:val="24"/>
                <w:lang w:eastAsia="en-AU"/>
              </w:rPr>
              <w:instrText>budget impact</w:instrText>
            </w:r>
            <w:r w:rsidRPr="00AB6F3C">
              <w:instrText xml:space="preserve">" \b </w:instrText>
            </w:r>
            <w:r w:rsidRPr="00AB6F3C">
              <w:rPr>
                <w:rFonts w:eastAsia="Times New Roman" w:cs="Segoe UI"/>
                <w:kern w:val="24"/>
                <w:lang w:eastAsia="en-AU"/>
              </w:rPr>
              <w:fldChar w:fldCharType="end"/>
            </w:r>
            <w:r w:rsidRPr="00AB6F3C">
              <w:rPr>
                <w:rFonts w:eastAsia="Times New Roman" w:cs="Segoe UI"/>
                <w:kern w:val="24"/>
                <w:lang w:eastAsia="en-AU"/>
              </w:rPr>
              <w:t xml:space="preserve"> implications. </w:t>
            </w:r>
          </w:p>
          <w:p w14:paraId="534D6C0A" w14:textId="77777777" w:rsidR="00AB6F3C" w:rsidRPr="00AB6F3C" w:rsidRDefault="00AB6F3C" w:rsidP="00AB6F3C">
            <w:pPr>
              <w:spacing w:after="160" w:line="22" w:lineRule="atLeast"/>
              <w:rPr>
                <w:rFonts w:eastAsia="Times New Roman" w:cs="Segoe UI"/>
                <w:kern w:val="24"/>
                <w:lang w:eastAsia="en-AU"/>
              </w:rPr>
            </w:pPr>
            <w:r w:rsidRPr="00AB6F3C">
              <w:rPr>
                <w:rFonts w:eastAsia="Times New Roman" w:cs="Segoe UI"/>
                <w:kern w:val="24"/>
                <w:lang w:eastAsia="en-AU"/>
              </w:rPr>
              <w:t>Such prescriptive frameworks exist in a number of European healthcare systems where HTA evaluations explicitly influence reimbursement/pricing negotiation</w:t>
            </w:r>
            <w:r w:rsidRPr="00AB6F3C">
              <w:rPr>
                <w:rFonts w:eastAsia="Times New Roman" w:cs="Segoe UI"/>
                <w:kern w:val="24"/>
                <w:lang w:eastAsia="en-AU"/>
              </w:rPr>
              <w:fldChar w:fldCharType="begin"/>
            </w:r>
            <w:r w:rsidRPr="00AB6F3C">
              <w:instrText xml:space="preserve"> XE "</w:instrText>
            </w:r>
            <w:r w:rsidRPr="00AB6F3C">
              <w:rPr>
                <w:rFonts w:eastAsia="Times New Roman" w:cs="Segoe UI"/>
                <w:kern w:val="24"/>
                <w:lang w:eastAsia="en-AU"/>
              </w:rPr>
              <w:instrText xml:space="preserve">price </w:instrText>
            </w:r>
            <w:proofErr w:type="spellStart"/>
            <w:proofErr w:type="gramStart"/>
            <w:r w:rsidRPr="00AB6F3C">
              <w:rPr>
                <w:rFonts w:eastAsia="Times New Roman" w:cs="Segoe UI"/>
                <w:kern w:val="24"/>
                <w:lang w:eastAsia="en-AU"/>
              </w:rPr>
              <w:instrText>negotiation</w:instrText>
            </w:r>
            <w:r w:rsidRPr="00AB6F3C">
              <w:rPr>
                <w:rFonts w:eastAsia="Times New Roman" w:cs="Segoe UI"/>
                <w:kern w:val="24"/>
              </w:rPr>
              <w:instrText>:</w:instrText>
            </w:r>
            <w:r w:rsidRPr="00AB6F3C">
              <w:instrText>pricing</w:instrText>
            </w:r>
            <w:proofErr w:type="spellEnd"/>
            <w:proofErr w:type="gramEnd"/>
            <w:r w:rsidRPr="00AB6F3C">
              <w:instrText xml:space="preserve"> negotiation" \b </w:instrText>
            </w:r>
            <w:r w:rsidRPr="00AB6F3C">
              <w:rPr>
                <w:rFonts w:eastAsia="Times New Roman" w:cs="Segoe UI"/>
                <w:kern w:val="24"/>
                <w:lang w:eastAsia="en-AU"/>
              </w:rPr>
              <w:fldChar w:fldCharType="end"/>
            </w:r>
            <w:r w:rsidRPr="00AB6F3C">
              <w:rPr>
                <w:rFonts w:eastAsia="Times New Roman" w:cs="Segoe UI"/>
                <w:kern w:val="24"/>
                <w:lang w:eastAsia="en-AU"/>
              </w:rPr>
              <w:t xml:space="preserve"> parameters. </w:t>
            </w:r>
          </w:p>
          <w:p w14:paraId="37A07725" w14:textId="77777777" w:rsidR="00AB6F3C" w:rsidRPr="00AB6F3C" w:rsidRDefault="00AB6F3C" w:rsidP="00AB6F3C">
            <w:pPr>
              <w:spacing w:after="160" w:line="22" w:lineRule="atLeast"/>
              <w:rPr>
                <w:rFonts w:eastAsia="Times New Roman" w:cs="Segoe UI"/>
                <w:kern w:val="24"/>
                <w:lang w:eastAsia="en-AU"/>
              </w:rPr>
            </w:pPr>
            <w:r w:rsidRPr="00AB6F3C">
              <w:rPr>
                <w:rFonts w:eastAsia="Times New Roman" w:cs="Segoe UI"/>
                <w:kern w:val="24"/>
                <w:lang w:eastAsia="en-AU"/>
              </w:rPr>
              <w:t>This framework may be designed to apply to: </w:t>
            </w:r>
          </w:p>
          <w:p w14:paraId="22078CF3" w14:textId="77777777" w:rsidR="00AB6F3C" w:rsidRPr="00AB6F3C" w:rsidRDefault="00AB6F3C" w:rsidP="008505D7">
            <w:pPr>
              <w:pStyle w:val="ListParagraph"/>
              <w:numPr>
                <w:ilvl w:val="0"/>
                <w:numId w:val="168"/>
              </w:numPr>
              <w:spacing w:line="22" w:lineRule="atLeast"/>
              <w:rPr>
                <w:rFonts w:eastAsia="Times New Roman" w:cs="Segoe UI"/>
                <w:color w:val="222A35"/>
                <w:kern w:val="24"/>
                <w:lang w:eastAsia="en-AU"/>
              </w:rPr>
            </w:pPr>
            <w:r w:rsidRPr="00AB6F3C">
              <w:rPr>
                <w:rFonts w:eastAsia="Times New Roman" w:cs="Segoe UI"/>
                <w:color w:val="222A35"/>
                <w:kern w:val="24"/>
                <w:lang w:eastAsia="en-AU"/>
              </w:rPr>
              <w:t xml:space="preserve">all health technologies submitted for HTA </w:t>
            </w:r>
            <w:proofErr w:type="gramStart"/>
            <w:r w:rsidRPr="00AB6F3C">
              <w:rPr>
                <w:rFonts w:eastAsia="Times New Roman" w:cs="Segoe UI"/>
                <w:color w:val="222A35"/>
                <w:kern w:val="24"/>
                <w:lang w:eastAsia="en-AU"/>
              </w:rPr>
              <w:t>evaluation;</w:t>
            </w:r>
            <w:proofErr w:type="gramEnd"/>
            <w:r w:rsidRPr="00AB6F3C">
              <w:rPr>
                <w:rFonts w:eastAsia="Times New Roman" w:cs="Segoe UI"/>
                <w:color w:val="222A35"/>
                <w:kern w:val="24"/>
                <w:lang w:eastAsia="en-AU"/>
              </w:rPr>
              <w:t xml:space="preserve"> </w:t>
            </w:r>
          </w:p>
          <w:p w14:paraId="16B71D32" w14:textId="77777777" w:rsidR="00AB6F3C" w:rsidRPr="00AB6F3C" w:rsidRDefault="00AB6F3C" w:rsidP="008505D7">
            <w:pPr>
              <w:pStyle w:val="ListParagraph"/>
              <w:numPr>
                <w:ilvl w:val="0"/>
                <w:numId w:val="168"/>
              </w:numPr>
              <w:spacing w:line="22" w:lineRule="atLeast"/>
              <w:rPr>
                <w:rFonts w:eastAsia="Times New Roman" w:cs="Segoe UI"/>
                <w:color w:val="222A35"/>
                <w:kern w:val="24"/>
                <w:lang w:eastAsia="en-AU"/>
              </w:rPr>
            </w:pPr>
            <w:r w:rsidRPr="00AB6F3C">
              <w:rPr>
                <w:rFonts w:eastAsia="Times New Roman" w:cs="Segoe UI"/>
                <w:color w:val="222A35"/>
                <w:kern w:val="24"/>
                <w:lang w:eastAsia="en-AU"/>
              </w:rPr>
              <w:t>health technologies submitted for HTA evaluation on a cost-minimisation</w:t>
            </w:r>
            <w:r w:rsidRPr="00AB6F3C">
              <w:rPr>
                <w:rFonts w:eastAsia="Times New Roman" w:cs="Segoe UI"/>
                <w:color w:val="222A35"/>
                <w:kern w:val="24"/>
                <w:lang w:eastAsia="en-AU"/>
              </w:rPr>
              <w:fldChar w:fldCharType="begin"/>
            </w:r>
            <w:r w:rsidRPr="00AB6F3C">
              <w:rPr>
                <w:rFonts w:eastAsia="Times New Roman" w:cs="Segoe UI"/>
                <w:color w:val="222A35"/>
                <w:kern w:val="24"/>
                <w:lang w:eastAsia="en-AU"/>
              </w:rPr>
              <w:instrText xml:space="preserve"> XE "cost-minimisation" \b </w:instrText>
            </w:r>
            <w:r w:rsidRPr="00AB6F3C">
              <w:rPr>
                <w:rFonts w:eastAsia="Times New Roman" w:cs="Segoe UI"/>
                <w:color w:val="222A35"/>
                <w:kern w:val="24"/>
                <w:lang w:eastAsia="en-AU"/>
              </w:rPr>
              <w:fldChar w:fldCharType="end"/>
            </w:r>
            <w:r w:rsidRPr="00AB6F3C">
              <w:rPr>
                <w:rFonts w:eastAsia="Times New Roman" w:cs="Segoe UI"/>
                <w:color w:val="222A35"/>
                <w:kern w:val="24"/>
                <w:lang w:eastAsia="en-AU"/>
              </w:rPr>
              <w:t xml:space="preserve"> basis; or </w:t>
            </w:r>
          </w:p>
          <w:p w14:paraId="2C1DC13D" w14:textId="09E7D59E" w:rsidR="00AB6F3C" w:rsidRPr="00AB6F3C" w:rsidRDefault="00AB6F3C" w:rsidP="008505D7">
            <w:pPr>
              <w:pStyle w:val="ListParagraph"/>
              <w:numPr>
                <w:ilvl w:val="0"/>
                <w:numId w:val="168"/>
              </w:numPr>
              <w:spacing w:after="120" w:line="22" w:lineRule="atLeast"/>
              <w:rPr>
                <w:rFonts w:eastAsia="Times New Roman" w:cs="Segoe UI"/>
                <w:lang w:eastAsia="en-AU"/>
              </w:rPr>
            </w:pPr>
            <w:r w:rsidRPr="00AB6F3C">
              <w:rPr>
                <w:rFonts w:eastAsia="Times New Roman" w:cs="Segoe UI"/>
                <w:color w:val="222A35"/>
                <w:kern w:val="24"/>
                <w:lang w:eastAsia="en-AU"/>
              </w:rPr>
              <w:t>specific health technologies that meet defined criteria (e.g. advanced therapies</w:t>
            </w:r>
            <w:r w:rsidRPr="00AB6F3C">
              <w:rPr>
                <w:rFonts w:eastAsia="Times New Roman" w:cs="Segoe UI"/>
                <w:color w:val="222A35"/>
                <w:kern w:val="24"/>
                <w:lang w:eastAsia="en-AU"/>
              </w:rPr>
              <w:fldChar w:fldCharType="begin"/>
            </w:r>
            <w:r w:rsidRPr="00AB6F3C">
              <w:rPr>
                <w:rFonts w:eastAsia="Times New Roman" w:cs="Segoe UI"/>
                <w:color w:val="222A35"/>
                <w:kern w:val="24"/>
                <w:lang w:eastAsia="en-AU"/>
              </w:rPr>
              <w:instrText xml:space="preserve"> XE "highly specialised </w:instrText>
            </w:r>
            <w:proofErr w:type="spellStart"/>
            <w:proofErr w:type="gramStart"/>
            <w:r w:rsidRPr="00AB6F3C">
              <w:rPr>
                <w:rFonts w:eastAsia="Times New Roman" w:cs="Segoe UI"/>
                <w:color w:val="222A35"/>
                <w:kern w:val="24"/>
                <w:lang w:eastAsia="en-AU"/>
              </w:rPr>
              <w:instrText>therapies:HST</w:instrText>
            </w:r>
            <w:proofErr w:type="spellEnd"/>
            <w:proofErr w:type="gramEnd"/>
            <w:r w:rsidRPr="00AB6F3C">
              <w:rPr>
                <w:rFonts w:eastAsia="Times New Roman" w:cs="Segoe UI"/>
                <w:color w:val="222A35"/>
                <w:kern w:val="24"/>
                <w:lang w:eastAsia="en-AU"/>
              </w:rPr>
              <w:instrText xml:space="preserve">" \b </w:instrText>
            </w:r>
            <w:r w:rsidRPr="00AB6F3C">
              <w:rPr>
                <w:rFonts w:eastAsia="Times New Roman" w:cs="Segoe UI"/>
                <w:color w:val="222A35"/>
                <w:kern w:val="24"/>
                <w:lang w:eastAsia="en-AU"/>
              </w:rPr>
              <w:fldChar w:fldCharType="end"/>
            </w:r>
            <w:r w:rsidRPr="00AB6F3C">
              <w:rPr>
                <w:rFonts w:eastAsia="Times New Roman" w:cs="Segoe UI"/>
                <w:color w:val="222A35"/>
                <w:kern w:val="24"/>
                <w:lang w:eastAsia="en-AU"/>
              </w:rPr>
              <w:t>, first-in-class therapies of high clinical benefit that address unmet need, health technologies that support measures to address health equity</w:t>
            </w:r>
            <w:r w:rsidRPr="00AB6F3C">
              <w:rPr>
                <w:rFonts w:eastAsia="Times New Roman" w:cs="Segoe UI"/>
                <w:color w:val="222A35"/>
                <w:kern w:val="24"/>
                <w:lang w:eastAsia="en-AU"/>
              </w:rPr>
              <w:fldChar w:fldCharType="begin"/>
            </w:r>
            <w:r w:rsidRPr="00AB6F3C">
              <w:rPr>
                <w:rFonts w:eastAsia="Times New Roman" w:cs="Segoe UI"/>
                <w:color w:val="222A35"/>
                <w:kern w:val="24"/>
                <w:lang w:eastAsia="en-AU"/>
              </w:rPr>
              <w:instrText xml:space="preserve"> XE "equity" </w:instrText>
            </w:r>
            <w:r w:rsidRPr="00AB6F3C">
              <w:rPr>
                <w:rFonts w:eastAsia="Times New Roman" w:cs="Segoe UI"/>
                <w:color w:val="222A35"/>
                <w:kern w:val="24"/>
                <w:lang w:eastAsia="en-AU"/>
              </w:rPr>
              <w:fldChar w:fldCharType="end"/>
            </w:r>
            <w:r w:rsidRPr="00AB6F3C">
              <w:rPr>
                <w:rFonts w:eastAsia="Times New Roman" w:cs="Segoe UI"/>
                <w:color w:val="222A35"/>
                <w:kern w:val="24"/>
                <w:lang w:eastAsia="en-AU"/>
              </w:rPr>
              <w:t xml:space="preserve"> and/or other priority areas)</w:t>
            </w:r>
          </w:p>
        </w:tc>
      </w:tr>
    </w:tbl>
    <w:p w14:paraId="702B5FD1" w14:textId="77777777" w:rsidR="00AB6F3C" w:rsidRDefault="00AB6F3C" w:rsidP="008C10BB">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FC4E02" w14:paraId="34A29A2F" w14:textId="77777777" w:rsidTr="00D360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6E57871F" w14:textId="438AD124" w:rsidR="00FC4E02" w:rsidRDefault="003542B1" w:rsidP="008C10BB">
            <w:pPr>
              <w:spacing w:after="120" w:line="259" w:lineRule="auto"/>
              <w:rPr>
                <w:rFonts w:eastAsia="Times New Roman" w:cs="Segoe UI"/>
                <w:b/>
                <w:bCs/>
                <w:lang w:eastAsia="en-AU"/>
              </w:rPr>
            </w:pPr>
            <w:r w:rsidRPr="003542B1">
              <w:rPr>
                <w:rFonts w:eastAsia="Times New Roman" w:cs="Segoe UI"/>
                <w:b/>
                <w:bCs/>
                <w:lang w:eastAsia="en-AU"/>
              </w:rPr>
              <w:t>Post-listing re-assessment of health technologie</w:t>
            </w:r>
            <w:r>
              <w:rPr>
                <w:rFonts w:eastAsia="Times New Roman" w:cs="Segoe UI"/>
                <w:b/>
                <w:bCs/>
                <w:lang w:eastAsia="en-AU"/>
              </w:rPr>
              <w:t>s</w:t>
            </w:r>
          </w:p>
          <w:p w14:paraId="0886C0E4" w14:textId="35AD2B1C" w:rsidR="00FC4E02" w:rsidRPr="006732A5" w:rsidRDefault="003542B1" w:rsidP="00BC5219">
            <w:pPr>
              <w:spacing w:after="120" w:line="259" w:lineRule="auto"/>
              <w:rPr>
                <w:rFonts w:eastAsia="Times New Roman" w:cs="Segoe UI"/>
                <w:lang w:eastAsia="en-AU"/>
              </w:rPr>
            </w:pPr>
            <w:r w:rsidRPr="003542B1">
              <w:rPr>
                <w:rFonts w:eastAsia="Times New Roman" w:cs="Segoe UI"/>
                <w:lang w:eastAsia="en-AU"/>
              </w:rPr>
              <w:t xml:space="preserve">Introduction of a systematic and enhanced, rapid program that (re-) reviews health technologies to provide funding/purchasing and disinvestment advice to the HTA Committee for consideration at set periodic intervals after the initial HTA evaluation. </w:t>
            </w:r>
            <w:r w:rsidRPr="003542B1">
              <w:rPr>
                <w:rFonts w:eastAsia="Times New Roman" w:cs="Segoe UI"/>
                <w:lang w:eastAsia="en-AU"/>
              </w:rPr>
              <w:lastRenderedPageBreak/>
              <w:t>As part of establishing this standing program, an explicit disinvestment framework should also be designed and communicated to stakeholders after appropriate consultations.</w:t>
            </w:r>
            <w:r w:rsidR="00FC4E02" w:rsidRPr="006732A5">
              <w:rPr>
                <w:rFonts w:eastAsia="Times New Roman" w:cs="Segoe UI"/>
                <w:lang w:eastAsia="en-AU"/>
              </w:rPr>
              <w:t xml:space="preserve"> </w:t>
            </w:r>
          </w:p>
        </w:tc>
      </w:tr>
    </w:tbl>
    <w:p w14:paraId="6BE3E3BD" w14:textId="07643246" w:rsidR="00BF6EA7" w:rsidRPr="00BF6EA7" w:rsidRDefault="00BF6EA7" w:rsidP="00E435FE">
      <w:pPr>
        <w:pStyle w:val="Heading5"/>
        <w:spacing w:after="240"/>
      </w:pPr>
      <w:r>
        <w:lastRenderedPageBreak/>
        <w:t>Managing uncertainty</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891825" w14:paraId="1EEA546F" w14:textId="77777777" w:rsidTr="00D360C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F7487BE" w14:textId="0BC9B551" w:rsidR="00891825" w:rsidRDefault="00891825" w:rsidP="008C10BB">
            <w:pPr>
              <w:spacing w:after="120" w:line="259" w:lineRule="auto"/>
              <w:rPr>
                <w:rFonts w:eastAsia="Times New Roman" w:cs="Segoe UI"/>
                <w:b/>
                <w:bCs/>
                <w:lang w:eastAsia="en-AU"/>
              </w:rPr>
            </w:pPr>
            <w:r w:rsidRPr="00891825">
              <w:rPr>
                <w:rFonts w:eastAsia="Times New Roman" w:cs="Segoe UI"/>
                <w:b/>
                <w:bCs/>
                <w:lang w:eastAsia="en-AU"/>
              </w:rPr>
              <w:t xml:space="preserve">Bridging funding coverage for earlier access to therapies of likely </w:t>
            </w:r>
            <w:r w:rsidR="00FE48DA">
              <w:rPr>
                <w:b/>
                <w:bCs/>
              </w:rPr>
              <w:t xml:space="preserve">HATV </w:t>
            </w:r>
            <w:r w:rsidRPr="00891825">
              <w:rPr>
                <w:rFonts w:eastAsia="Times New Roman" w:cs="Segoe UI"/>
                <w:b/>
                <w:bCs/>
                <w:lang w:eastAsia="en-AU"/>
              </w:rPr>
              <w:t>and HUCN</w:t>
            </w:r>
            <w:r w:rsidR="00D027D9">
              <w:rPr>
                <w:rFonts w:eastAsia="Times New Roman" w:cs="Segoe UI"/>
                <w:b/>
                <w:bCs/>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b/>
                <w:bCs/>
                <w:lang w:eastAsia="en-AU"/>
              </w:rPr>
              <w:fldChar w:fldCharType="end"/>
            </w:r>
            <w:r w:rsidRPr="00891825">
              <w:rPr>
                <w:rFonts w:eastAsia="Times New Roman" w:cs="Segoe UI"/>
                <w:b/>
                <w:bCs/>
                <w:lang w:eastAsia="en-AU"/>
              </w:rPr>
              <w:t xml:space="preserve"> </w:t>
            </w:r>
          </w:p>
          <w:p w14:paraId="7A8E40ED" w14:textId="77777777" w:rsidR="00DD0134" w:rsidRPr="00DD0134" w:rsidRDefault="00DD0134" w:rsidP="00DD0134">
            <w:pPr>
              <w:spacing w:after="120"/>
              <w:rPr>
                <w:rFonts w:eastAsia="Times New Roman" w:cs="Segoe UI"/>
                <w:lang w:eastAsia="en-AU"/>
              </w:rPr>
            </w:pPr>
            <w:r w:rsidRPr="00DD0134">
              <w:rPr>
                <w:rFonts w:eastAsia="Times New Roman" w:cs="Segoe UI"/>
                <w:lang w:eastAsia="en-AU"/>
              </w:rPr>
              <w:t>Establish bridging funding through a capped special funding program (separate and distinct from the PBS special appropriations) or legislate to enable conditional listings on the PBS.</w:t>
            </w:r>
          </w:p>
          <w:p w14:paraId="603AB19F" w14:textId="6B3EC9F1" w:rsidR="0031240B" w:rsidRPr="0031240B" w:rsidRDefault="0031240B" w:rsidP="00DD0134">
            <w:pPr>
              <w:spacing w:after="120"/>
              <w:rPr>
                <w:rFonts w:eastAsia="Times New Roman" w:cs="Segoe UI"/>
                <w:lang w:eastAsia="en-AU"/>
              </w:rPr>
            </w:pPr>
            <w:r w:rsidRPr="0031240B">
              <w:rPr>
                <w:rFonts w:eastAsia="Times New Roman" w:cs="Segoe UI"/>
                <w:lang w:eastAsia="en-AU"/>
              </w:rPr>
              <w:t xml:space="preserve">The purpose of either of these options would be to provide for a time-limited period, bridging funding coverage for earlier access to exceptionally promising, time-critical, therapies of </w:t>
            </w:r>
            <w:r w:rsidR="00FE48DA">
              <w:rPr>
                <w:rFonts w:eastAsia="Times New Roman" w:cs="Segoe UI"/>
                <w:lang w:eastAsia="en-AU"/>
              </w:rPr>
              <w:t>H</w:t>
            </w:r>
            <w:r w:rsidR="00FE48DA">
              <w:t>ATV</w:t>
            </w:r>
            <w:r w:rsidRPr="0031240B">
              <w:rPr>
                <w:rFonts w:eastAsia="Times New Roman" w:cs="Segoe UI"/>
                <w:lang w:eastAsia="en-AU"/>
              </w:rPr>
              <w:t xml:space="preserve"> and HUCN</w:t>
            </w:r>
            <w:r w:rsidR="00D027D9">
              <w:rPr>
                <w:rFonts w:eastAsia="Times New Roman" w:cs="Segoe UI"/>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lang w:eastAsia="en-AU"/>
              </w:rPr>
              <w:fldChar w:fldCharType="end"/>
            </w:r>
            <w:r w:rsidRPr="0031240B">
              <w:rPr>
                <w:rFonts w:eastAsia="Times New Roman" w:cs="Segoe UI"/>
                <w:lang w:eastAsia="en-AU"/>
              </w:rPr>
              <w:t>, but that have significant clinical, economic and/or financial-based uncertainty. The program would need to be designed in a way that does not introduce further complexity into the system nor create perverse incentives that would prolong assessment and commercial negotiations.</w:t>
            </w:r>
          </w:p>
          <w:p w14:paraId="46BD11FA" w14:textId="1B47F02B" w:rsidR="0031240B" w:rsidRPr="0031240B" w:rsidRDefault="0031240B" w:rsidP="00DD0134">
            <w:pPr>
              <w:spacing w:after="120"/>
              <w:rPr>
                <w:rFonts w:eastAsia="Times New Roman" w:cs="Segoe UI"/>
                <w:lang w:eastAsia="en-AU"/>
              </w:rPr>
            </w:pPr>
            <w:r w:rsidRPr="0031240B">
              <w:rPr>
                <w:rFonts w:eastAsia="Times New Roman" w:cs="Segoe UI"/>
                <w:lang w:eastAsia="en-AU"/>
              </w:rPr>
              <w:t>The design of this program should incorporate specific details on the eligibility requirements that health technologies need to meet to qualify for funding from this program that aligned with the core HTA and pricing negotiation</w:t>
            </w:r>
            <w:r w:rsidR="00DD0134" w:rsidRPr="00DD0134">
              <w:rPr>
                <w:rFonts w:eastAsia="Times New Roman" w:cs="Segoe UI"/>
                <w:lang w:eastAsia="en-AU"/>
              </w:rPr>
              <w:fldChar w:fldCharType="begin"/>
            </w:r>
            <w:r w:rsidR="00DD0134" w:rsidRPr="00DD0134">
              <w:rPr>
                <w:rFonts w:eastAsia="Times New Roman" w:cs="Segoe UI"/>
                <w:lang w:eastAsia="en-AU"/>
              </w:rPr>
              <w:instrText xml:space="preserve"> XE "price </w:instrText>
            </w:r>
            <w:proofErr w:type="spellStart"/>
            <w:proofErr w:type="gramStart"/>
            <w:r w:rsidR="00DD0134" w:rsidRPr="00DD0134">
              <w:rPr>
                <w:rFonts w:eastAsia="Times New Roman" w:cs="Segoe UI"/>
                <w:lang w:eastAsia="en-AU"/>
              </w:rPr>
              <w:instrText>negotiation:pricing</w:instrText>
            </w:r>
            <w:proofErr w:type="spellEnd"/>
            <w:proofErr w:type="gramEnd"/>
            <w:r w:rsidR="00DD0134" w:rsidRPr="00DD0134">
              <w:rPr>
                <w:rFonts w:eastAsia="Times New Roman" w:cs="Segoe UI"/>
                <w:lang w:eastAsia="en-AU"/>
              </w:rPr>
              <w:instrText xml:space="preserve"> negotiation" \b </w:instrText>
            </w:r>
            <w:r w:rsidR="00DD0134" w:rsidRPr="00DD0134">
              <w:rPr>
                <w:rFonts w:eastAsia="Times New Roman" w:cs="Segoe UI"/>
                <w:lang w:eastAsia="en-AU"/>
              </w:rPr>
              <w:fldChar w:fldCharType="end"/>
            </w:r>
            <w:r w:rsidRPr="0031240B">
              <w:rPr>
                <w:rFonts w:eastAsia="Times New Roman" w:cs="Segoe UI"/>
                <w:lang w:eastAsia="en-AU"/>
              </w:rPr>
              <w:t xml:space="preserve"> steps that are features of the Australian HTA process and include, but not be limited to:</w:t>
            </w:r>
            <w:r w:rsidR="00DD0134" w:rsidRPr="00DD0134">
              <w:rPr>
                <w:rFonts w:eastAsia="Times New Roman" w:cs="Segoe UI"/>
                <w:lang w:eastAsia="en-AU"/>
              </w:rPr>
              <w:t> </w:t>
            </w:r>
          </w:p>
          <w:p w14:paraId="7588A9EB" w14:textId="7A154B8E" w:rsidR="009F1D22" w:rsidRPr="009F1D22" w:rsidRDefault="009F1D22" w:rsidP="008505D7">
            <w:pPr>
              <w:pStyle w:val="ListParagraph"/>
              <w:numPr>
                <w:ilvl w:val="0"/>
                <w:numId w:val="107"/>
              </w:numPr>
              <w:spacing w:after="120"/>
              <w:rPr>
                <w:rFonts w:eastAsia="Times New Roman" w:cs="Segoe UI"/>
                <w:lang w:eastAsia="en-AU"/>
              </w:rPr>
            </w:pPr>
            <w:r w:rsidRPr="009F1D22">
              <w:rPr>
                <w:rFonts w:eastAsia="Times New Roman" w:cs="Segoe UI"/>
                <w:lang w:eastAsia="en-AU"/>
              </w:rPr>
              <w:t>Early identification and nomination via horizon scanning</w:t>
            </w:r>
            <w:r w:rsidRPr="009F1D22">
              <w:rPr>
                <w:rFonts w:eastAsia="Times New Roman" w:cs="Segoe UI"/>
                <w:lang w:eastAsia="en-AU"/>
              </w:rPr>
              <w:fldChar w:fldCharType="begin"/>
            </w:r>
            <w:r w:rsidRPr="009F1D22">
              <w:rPr>
                <w:rFonts w:eastAsia="Times New Roman" w:cs="Segoe UI"/>
                <w:lang w:eastAsia="en-AU"/>
              </w:rPr>
              <w:instrText xml:space="preserve"> XE "horizon scanning" \b </w:instrText>
            </w:r>
            <w:r w:rsidRPr="009F1D22">
              <w:rPr>
                <w:rFonts w:eastAsia="Times New Roman" w:cs="Segoe UI"/>
                <w:lang w:eastAsia="en-AU"/>
              </w:rPr>
              <w:fldChar w:fldCharType="end"/>
            </w:r>
            <w:r w:rsidRPr="009F1D22">
              <w:rPr>
                <w:rFonts w:eastAsia="Times New Roman" w:cs="Segoe UI"/>
                <w:lang w:eastAsia="en-AU"/>
              </w:rPr>
              <w:t xml:space="preserve"> and/or designation on a Priority List of HUCN</w:t>
            </w:r>
            <w:r w:rsidR="00D027D9">
              <w:rPr>
                <w:rFonts w:eastAsia="Times New Roman" w:cs="Segoe UI"/>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lang w:eastAsia="en-AU"/>
              </w:rPr>
              <w:fldChar w:fldCharType="end"/>
            </w:r>
            <w:r w:rsidRPr="009F1D22">
              <w:rPr>
                <w:rFonts w:eastAsia="Times New Roman" w:cs="Segoe UI"/>
                <w:lang w:eastAsia="en-AU"/>
              </w:rPr>
              <w:t xml:space="preserve"> conditions. </w:t>
            </w:r>
          </w:p>
          <w:p w14:paraId="45F00FAD" w14:textId="3FAC22A4" w:rsidR="0031240B" w:rsidRPr="006732A5" w:rsidRDefault="0031240B" w:rsidP="008505D7">
            <w:pPr>
              <w:pStyle w:val="ListParagraph"/>
              <w:numPr>
                <w:ilvl w:val="0"/>
                <w:numId w:val="107"/>
              </w:numPr>
              <w:spacing w:after="120"/>
              <w:rPr>
                <w:rFonts w:eastAsia="Times New Roman" w:cs="Segoe UI"/>
                <w:lang w:eastAsia="en-AU"/>
              </w:rPr>
            </w:pPr>
            <w:r w:rsidRPr="006732A5">
              <w:rPr>
                <w:rFonts w:eastAsia="Times New Roman" w:cs="Segoe UI"/>
                <w:lang w:eastAsia="en-AU"/>
              </w:rPr>
              <w:t>Eligibility requirements to lodge TGA and PBAC submissions (simultaneously) for the health technology within 6 months of receiving first international regulatory approval (</w:t>
            </w:r>
            <w:proofErr w:type="gramStart"/>
            <w:r w:rsidRPr="006732A5">
              <w:rPr>
                <w:rFonts w:eastAsia="Times New Roman" w:cs="Segoe UI"/>
                <w:lang w:eastAsia="en-AU"/>
              </w:rPr>
              <w:t>i</w:t>
            </w:r>
            <w:r w:rsidR="00BE1F73">
              <w:rPr>
                <w:rFonts w:eastAsia="Times New Roman" w:cs="Segoe UI"/>
                <w:lang w:eastAsia="en-AU"/>
              </w:rPr>
              <w:t>.</w:t>
            </w:r>
            <w:r w:rsidRPr="006732A5">
              <w:rPr>
                <w:rFonts w:eastAsia="Times New Roman" w:cs="Segoe UI"/>
                <w:lang w:eastAsia="en-AU"/>
              </w:rPr>
              <w:t>e</w:t>
            </w:r>
            <w:r w:rsidR="00BE1F73">
              <w:rPr>
                <w:rFonts w:eastAsia="Times New Roman" w:cs="Segoe UI"/>
                <w:lang w:eastAsia="en-AU"/>
              </w:rPr>
              <w:t>.</w:t>
            </w:r>
            <w:proofErr w:type="gramEnd"/>
            <w:r w:rsidRPr="006732A5">
              <w:rPr>
                <w:rFonts w:eastAsia="Times New Roman" w:cs="Segoe UI"/>
                <w:lang w:eastAsia="en-AU"/>
              </w:rPr>
              <w:t xml:space="preserve"> FDA/EMA)</w:t>
            </w:r>
          </w:p>
          <w:p w14:paraId="25962FDF" w14:textId="25C04136" w:rsidR="0031240B" w:rsidRPr="006732A5" w:rsidRDefault="0031240B" w:rsidP="008505D7">
            <w:pPr>
              <w:pStyle w:val="ListParagraph"/>
              <w:numPr>
                <w:ilvl w:val="0"/>
                <w:numId w:val="107"/>
              </w:numPr>
              <w:spacing w:after="120"/>
              <w:rPr>
                <w:rFonts w:eastAsia="Times New Roman" w:cs="Segoe UI"/>
                <w:lang w:eastAsia="en-AU"/>
              </w:rPr>
            </w:pPr>
            <w:r w:rsidRPr="006732A5">
              <w:rPr>
                <w:rFonts w:eastAsia="Times New Roman" w:cs="Segoe UI"/>
                <w:lang w:eastAsia="en-AU"/>
              </w:rPr>
              <w:t xml:space="preserve">Requirement for parallel TGA/HTA Committee submission lodgement as part of a broader overall approach to support timely recommendations. </w:t>
            </w:r>
          </w:p>
          <w:p w14:paraId="0DB7578E" w14:textId="3C3ED79B" w:rsidR="0031240B" w:rsidRPr="006732A5" w:rsidRDefault="0031240B" w:rsidP="008505D7">
            <w:pPr>
              <w:pStyle w:val="ListParagraph"/>
              <w:numPr>
                <w:ilvl w:val="0"/>
                <w:numId w:val="107"/>
              </w:numPr>
              <w:spacing w:after="120"/>
              <w:rPr>
                <w:rFonts w:eastAsia="Times New Roman" w:cs="Segoe UI"/>
                <w:lang w:eastAsia="en-AU"/>
              </w:rPr>
            </w:pPr>
            <w:r w:rsidRPr="006732A5">
              <w:rPr>
                <w:rFonts w:eastAsia="Times New Roman" w:cs="Segoe UI"/>
                <w:lang w:eastAsia="en-AU"/>
              </w:rPr>
              <w:t xml:space="preserve">Approach undertaken by the applications and evaluation that: </w:t>
            </w:r>
          </w:p>
          <w:p w14:paraId="4DA69862" w14:textId="035E20E1" w:rsidR="0031240B" w:rsidRPr="006732A5" w:rsidRDefault="0031240B" w:rsidP="008505D7">
            <w:pPr>
              <w:pStyle w:val="ListParagraph"/>
              <w:numPr>
                <w:ilvl w:val="1"/>
                <w:numId w:val="107"/>
              </w:numPr>
              <w:spacing w:after="120"/>
              <w:rPr>
                <w:rFonts w:eastAsia="Times New Roman" w:cs="Segoe UI"/>
                <w:lang w:eastAsia="en-AU"/>
              </w:rPr>
            </w:pPr>
            <w:r w:rsidRPr="006732A5">
              <w:rPr>
                <w:rFonts w:eastAsia="Times New Roman" w:cs="Segoe UI"/>
                <w:lang w:eastAsia="en-AU"/>
              </w:rPr>
              <w:t>provides the HTA committee with options to make recommendations for interim conditions of funding for the purposes of bridging access, and recommendations that inform further price and access negotiations; or</w:t>
            </w:r>
            <w:r w:rsidR="009F1D22" w:rsidRPr="009F1D22">
              <w:rPr>
                <w:rFonts w:eastAsia="Times New Roman" w:cs="Segoe UI"/>
                <w:lang w:eastAsia="en-AU"/>
              </w:rPr>
              <w:t> </w:t>
            </w:r>
          </w:p>
          <w:p w14:paraId="0B30D17B" w14:textId="1ECC430F" w:rsidR="0031240B" w:rsidRPr="006732A5" w:rsidRDefault="0031240B" w:rsidP="008505D7">
            <w:pPr>
              <w:pStyle w:val="ListParagraph"/>
              <w:numPr>
                <w:ilvl w:val="1"/>
                <w:numId w:val="107"/>
              </w:numPr>
              <w:spacing w:after="120"/>
              <w:rPr>
                <w:rFonts w:eastAsia="Times New Roman" w:cs="Segoe UI"/>
                <w:lang w:eastAsia="en-AU"/>
              </w:rPr>
            </w:pPr>
            <w:r w:rsidRPr="006732A5">
              <w:rPr>
                <w:rFonts w:eastAsia="Times New Roman" w:cs="Segoe UI"/>
                <w:lang w:eastAsia="en-AU"/>
              </w:rPr>
              <w:t xml:space="preserve">facilitates finalisation of price and access negotiations between the sponsor and the healthcare payer prior to presentation to the HTA committee for consideration. </w:t>
            </w:r>
          </w:p>
          <w:p w14:paraId="6AE1020B" w14:textId="536055CA" w:rsidR="0031240B" w:rsidRPr="006732A5" w:rsidRDefault="0031240B" w:rsidP="008505D7">
            <w:pPr>
              <w:pStyle w:val="ListParagraph"/>
              <w:numPr>
                <w:ilvl w:val="0"/>
                <w:numId w:val="107"/>
              </w:numPr>
              <w:spacing w:after="120"/>
              <w:rPr>
                <w:rFonts w:eastAsia="Times New Roman" w:cs="Segoe UI"/>
                <w:lang w:eastAsia="en-AU"/>
              </w:rPr>
            </w:pPr>
            <w:r w:rsidRPr="006732A5">
              <w:rPr>
                <w:rFonts w:eastAsia="Times New Roman" w:cs="Segoe UI"/>
                <w:lang w:eastAsia="en-AU"/>
              </w:rPr>
              <w:t>Administration that enables clinical data to be collected and reviewed</w:t>
            </w:r>
            <w:r w:rsidR="00E00128" w:rsidRPr="006732A5">
              <w:rPr>
                <w:rFonts w:eastAsia="Times New Roman" w:cs="Segoe UI"/>
                <w:lang w:eastAsia="en-AU"/>
              </w:rPr>
              <w:t>.</w:t>
            </w:r>
            <w:r w:rsidRPr="006732A5">
              <w:rPr>
                <w:rFonts w:eastAsia="Times New Roman" w:cs="Segoe UI"/>
                <w:lang w:eastAsia="en-AU"/>
              </w:rPr>
              <w:t xml:space="preserve"> </w:t>
            </w:r>
          </w:p>
          <w:p w14:paraId="2488607D" w14:textId="7A35DD15" w:rsidR="00891825" w:rsidRPr="006732A5" w:rsidRDefault="0031240B" w:rsidP="008505D7">
            <w:pPr>
              <w:pStyle w:val="ListParagraph"/>
              <w:numPr>
                <w:ilvl w:val="0"/>
                <w:numId w:val="107"/>
              </w:numPr>
              <w:spacing w:after="120" w:line="259" w:lineRule="auto"/>
              <w:rPr>
                <w:rFonts w:eastAsia="Times New Roman" w:cs="Segoe UI"/>
                <w:lang w:eastAsia="en-AU"/>
              </w:rPr>
            </w:pPr>
            <w:r w:rsidRPr="006732A5">
              <w:rPr>
                <w:rFonts w:eastAsia="Times New Roman" w:cs="Segoe UI"/>
                <w:lang w:eastAsia="en-AU"/>
              </w:rPr>
              <w:lastRenderedPageBreak/>
              <w:t>A clear process for re-assessment</w:t>
            </w:r>
            <w:r w:rsidR="009F1D22" w:rsidRPr="009F1D22">
              <w:rPr>
                <w:rFonts w:eastAsia="Times New Roman" w:cs="Segoe UI"/>
                <w:lang w:eastAsia="en-AU"/>
              </w:rPr>
              <w:fldChar w:fldCharType="begin"/>
            </w:r>
            <w:r w:rsidR="009F1D22" w:rsidRPr="009F1D22">
              <w:rPr>
                <w:rFonts w:eastAsia="Times New Roman" w:cs="Segoe UI"/>
                <w:lang w:eastAsia="en-AU"/>
              </w:rPr>
              <w:instrText xml:space="preserve"> XE "re-assessment" \b </w:instrText>
            </w:r>
            <w:r w:rsidR="009F1D22" w:rsidRPr="009F1D22">
              <w:rPr>
                <w:rFonts w:eastAsia="Times New Roman" w:cs="Segoe UI"/>
                <w:lang w:eastAsia="en-AU"/>
              </w:rPr>
              <w:fldChar w:fldCharType="end"/>
            </w:r>
            <w:r w:rsidRPr="006732A5">
              <w:rPr>
                <w:rFonts w:eastAsia="Times New Roman" w:cs="Segoe UI"/>
                <w:lang w:eastAsia="en-AU"/>
              </w:rPr>
              <w:t xml:space="preserve"> and final decision-making on whether (and when) the health technology should transition onto ongoing funding arrangements (such as the PBS, </w:t>
            </w:r>
            <w:proofErr w:type="gramStart"/>
            <w:r w:rsidRPr="006732A5">
              <w:rPr>
                <w:rFonts w:eastAsia="Times New Roman" w:cs="Segoe UI"/>
                <w:lang w:eastAsia="en-AU"/>
              </w:rPr>
              <w:t>MBS</w:t>
            </w:r>
            <w:proofErr w:type="gramEnd"/>
            <w:r w:rsidRPr="006732A5">
              <w:rPr>
                <w:rFonts w:eastAsia="Times New Roman" w:cs="Segoe UI"/>
                <w:lang w:eastAsia="en-AU"/>
              </w:rPr>
              <w:t xml:space="preserve"> or NHRA-style arrangements, with or without additional evidence development), or whether bridging funding should be withdrawn. Such decisions would be based on what pre-defined evidence has accrued during the time limited period, and whether the health technology is performing as anticipated.</w:t>
            </w:r>
            <w:r w:rsidR="00891825" w:rsidRPr="006732A5">
              <w:rPr>
                <w:rFonts w:eastAsia="Times New Roman" w:cs="Segoe UI"/>
                <w:lang w:eastAsia="en-AU"/>
              </w:rPr>
              <w:t xml:space="preserve"> </w:t>
            </w:r>
          </w:p>
        </w:tc>
      </w:tr>
    </w:tbl>
    <w:p w14:paraId="1CD2C7E5" w14:textId="77777777" w:rsidR="00891825" w:rsidRDefault="00891825" w:rsidP="00FE400C">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C737B2" w14:paraId="4E1C18C4" w14:textId="77777777" w:rsidTr="00010679">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06E43E1" w14:textId="596F58EE" w:rsidR="00C737B2" w:rsidRDefault="00C737B2" w:rsidP="008C10BB">
            <w:pPr>
              <w:spacing w:after="120" w:line="259" w:lineRule="auto"/>
              <w:rPr>
                <w:rFonts w:eastAsia="Times New Roman" w:cs="Segoe UI"/>
                <w:b/>
                <w:bCs/>
                <w:lang w:eastAsia="en-AU"/>
              </w:rPr>
            </w:pPr>
            <w:r w:rsidRPr="00C737B2">
              <w:rPr>
                <w:rFonts w:eastAsia="Times New Roman" w:cs="Segoe UI"/>
                <w:b/>
                <w:bCs/>
                <w:lang w:eastAsia="en-AU"/>
              </w:rPr>
              <w:t xml:space="preserve">Revised guidance on the uses of different managed entry tools </w:t>
            </w:r>
          </w:p>
          <w:p w14:paraId="0D3DCC03" w14:textId="77777777" w:rsidR="009F1D22" w:rsidRPr="009F1D22" w:rsidRDefault="009F1D22" w:rsidP="009F1D22">
            <w:pPr>
              <w:spacing w:after="120"/>
              <w:rPr>
                <w:rFonts w:eastAsia="Times New Roman" w:cs="Segoe UI"/>
                <w:lang w:eastAsia="en-AU"/>
              </w:rPr>
            </w:pPr>
            <w:r w:rsidRPr="009F1D22">
              <w:rPr>
                <w:rFonts w:eastAsia="Times New Roman" w:cs="Segoe UI"/>
                <w:lang w:eastAsia="en-AU"/>
              </w:rPr>
              <w:t xml:space="preserve">Revised guidance and policy arrangements that encourage the creative proposition and utilisation of managed entry arrangement instruments by the respective parties, supported by more explicit HTA committee recommendations enabled by appropriate changes to current policy and legislation, would facilitate greater uptake and provide more options to sponsors and the Commonwealth to engage with uncertainty more constructively and collaboratively, as part of improving timely access to health technologies. </w:t>
            </w:r>
          </w:p>
          <w:p w14:paraId="112EDE8A" w14:textId="1F3E8800" w:rsidR="00C737B2" w:rsidRPr="00837CDF" w:rsidRDefault="00C737B2" w:rsidP="00BC5219">
            <w:pPr>
              <w:spacing w:after="120" w:line="259" w:lineRule="auto"/>
              <w:rPr>
                <w:rFonts w:eastAsia="Times New Roman" w:cs="Segoe UI"/>
                <w:lang w:eastAsia="en-AU"/>
              </w:rPr>
            </w:pPr>
            <w:r w:rsidRPr="00C737B2">
              <w:rPr>
                <w:rFonts w:eastAsia="Times New Roman" w:cs="Segoe UI"/>
                <w:lang w:eastAsia="en-AU"/>
              </w:rPr>
              <w:t>Note: this may need to be accompanied by changes to negotiation guidance, policy, regulations and/or legislation to facilitate implementation.</w:t>
            </w:r>
          </w:p>
        </w:tc>
      </w:tr>
    </w:tbl>
    <w:p w14:paraId="10273C3B" w14:textId="69D83306" w:rsidR="009F7398" w:rsidRDefault="00201726" w:rsidP="002B7524">
      <w:pPr>
        <w:pStyle w:val="Heading2"/>
        <w:tabs>
          <w:tab w:val="num" w:pos="709"/>
        </w:tabs>
        <w:spacing w:line="259" w:lineRule="auto"/>
        <w:rPr>
          <w:szCs w:val="36"/>
        </w:rPr>
      </w:pPr>
      <w:bookmarkStart w:id="195" w:name="_Health_technologies_that"/>
      <w:bookmarkStart w:id="196" w:name="_Toc157029105"/>
      <w:bookmarkStart w:id="197" w:name="_Toc157029497"/>
      <w:bookmarkStart w:id="198" w:name="_Toc157030189"/>
      <w:bookmarkEnd w:id="195"/>
      <w:r>
        <w:t>Health technologies that address a</w:t>
      </w:r>
      <w:r w:rsidR="00CD71A3">
        <w:t xml:space="preserve">ntimicrobial </w:t>
      </w:r>
      <w:r>
        <w:t>r</w:t>
      </w:r>
      <w:r w:rsidR="008F52B9">
        <w:t>esistance</w:t>
      </w:r>
      <w:r w:rsidR="00DA4B97">
        <w:t xml:space="preserve"> (AMR)</w:t>
      </w:r>
      <w:bookmarkEnd w:id="196"/>
      <w:bookmarkEnd w:id="197"/>
      <w:bookmarkEnd w:id="198"/>
      <w:r w:rsidR="00B21E69">
        <w:fldChar w:fldCharType="begin"/>
      </w:r>
      <w:r w:rsidR="00B21E69">
        <w:instrText xml:space="preserve"> XE "</w:instrText>
      </w:r>
      <w:r w:rsidR="00B21E69" w:rsidRPr="002D7ECA">
        <w:instrText>antimicrobial resistance</w:instrText>
      </w:r>
      <w:r w:rsidR="00B21E69">
        <w:instrText xml:space="preserve">" \b </w:instrText>
      </w:r>
      <w:r w:rsidR="00B21E69">
        <w:fldChar w:fldCharType="end"/>
      </w:r>
    </w:p>
    <w:p w14:paraId="2486353C" w14:textId="28DFF81D" w:rsidR="003017EC" w:rsidRDefault="00AF351A" w:rsidP="00AF351A">
      <w:pPr>
        <w:pStyle w:val="Heading3"/>
      </w:pPr>
      <w:bookmarkStart w:id="199" w:name="_Toc157029106"/>
      <w:r>
        <w:t>Current state</w:t>
      </w:r>
      <w:bookmarkEnd w:id="199"/>
    </w:p>
    <w:p w14:paraId="45388023" w14:textId="45F3E6FF" w:rsidR="00AF351A" w:rsidRPr="00AF351A" w:rsidRDefault="00AF351A" w:rsidP="00AF351A">
      <w:r>
        <w:t>I</w:t>
      </w:r>
      <w:r w:rsidRPr="00AF351A">
        <w:t>n recent years, the healthcare implications associated with the rise in AMR have gained prominence in health policy dialogue, as seen by recent statements by the G7 nations expressing concerns regarding the population health, social and economic consequences associated with AMR</w:t>
      </w:r>
      <w:r w:rsidR="00A508EF">
        <w:t>.</w:t>
      </w:r>
      <w:r w:rsidR="003026EC">
        <w:rPr>
          <w:rStyle w:val="FootnoteReference"/>
        </w:rPr>
        <w:footnoteReference w:id="13"/>
      </w:r>
      <w:r w:rsidRPr="00AF351A">
        <w:t> </w:t>
      </w:r>
    </w:p>
    <w:p w14:paraId="2398879F" w14:textId="02DB9AFC" w:rsidR="00AF351A" w:rsidRPr="00AF351A" w:rsidRDefault="00AF351A" w:rsidP="00AF351A">
      <w:r w:rsidRPr="00AF351A">
        <w:t xml:space="preserve">Of relevance to </w:t>
      </w:r>
      <w:r w:rsidR="0079661B">
        <w:t>this review</w:t>
      </w:r>
      <w:r w:rsidRPr="00AF351A">
        <w:t xml:space="preserve"> are matters in respect of the availability of antimicrobial health technologies in the Australian market, and the current HTA processes and policies that are applied in the evaluation of such health technologies for market authorisation and public subsidy.</w:t>
      </w:r>
      <w:r w:rsidR="007A1B3A">
        <w:t xml:space="preserve"> </w:t>
      </w:r>
    </w:p>
    <w:p w14:paraId="2D97AE7D" w14:textId="45155917" w:rsidR="00AF351A" w:rsidRPr="00AF351A" w:rsidRDefault="00AF351A" w:rsidP="00AF351A">
      <w:r w:rsidRPr="00AF351A">
        <w:t xml:space="preserve">As noted in the commissioned </w:t>
      </w:r>
      <w:hyperlink r:id="rId178" w:history="1">
        <w:r w:rsidRPr="006B450A">
          <w:rPr>
            <w:rStyle w:val="Hyperlink"/>
          </w:rPr>
          <w:t>literature review on international approval, funding and assessment pathways</w:t>
        </w:r>
      </w:hyperlink>
      <w:r w:rsidRPr="00AF351A">
        <w:t>: </w:t>
      </w:r>
    </w:p>
    <w:p w14:paraId="2F0DAF14" w14:textId="5F079641" w:rsidR="00AF351A" w:rsidRDefault="00AF351A" w:rsidP="00AF351A">
      <w:pPr>
        <w:ind w:left="720"/>
      </w:pPr>
      <w:r w:rsidRPr="00AF351A">
        <w:lastRenderedPageBreak/>
        <w:t>“</w:t>
      </w:r>
      <w:r w:rsidR="00553708">
        <w:rPr>
          <w:i/>
          <w:iCs/>
        </w:rPr>
        <w:t>T</w:t>
      </w:r>
      <w:r w:rsidRPr="00AF351A">
        <w:rPr>
          <w:i/>
          <w:iCs/>
        </w:rPr>
        <w:t>here is currently no special pathway for the reimbursement of antimicrobials in Australia. The PBAC guidelines do highlight, however, that submissions for new antimicrobials must consider the ‘General principles of antimicrobial use’ contained in Therapeutic guidelines: antibiotic and principles proposed by the Joint Expert Advisory Committee on Antibiotic Resistance for consideration of the target population”.</w:t>
      </w:r>
      <w:r w:rsidRPr="00AF351A">
        <w:t> </w:t>
      </w:r>
    </w:p>
    <w:p w14:paraId="612F5FEE" w14:textId="2F2E1DDB" w:rsidR="00832CEA" w:rsidRPr="00A773A1" w:rsidRDefault="00832CEA" w:rsidP="00A773A1">
      <w:pPr>
        <w:pStyle w:val="paragraph"/>
        <w:spacing w:before="0" w:beforeAutospacing="0" w:after="160" w:afterAutospacing="0" w:line="259" w:lineRule="auto"/>
        <w:textAlignment w:val="baseline"/>
        <w:rPr>
          <w:rFonts w:ascii="Segoe UI" w:hAnsi="Segoe UI" w:cs="Segoe UI"/>
        </w:rPr>
      </w:pPr>
      <w:r w:rsidRPr="00A773A1">
        <w:rPr>
          <w:rStyle w:val="normaltextrun"/>
          <w:rFonts w:ascii="Segoe UI" w:hAnsi="Segoe UI" w:cs="Segoe UI"/>
        </w:rPr>
        <w:t xml:space="preserve">Across the </w:t>
      </w:r>
      <w:hyperlink r:id="rId179" w:history="1">
        <w:r w:rsidRPr="000E5BAC">
          <w:rPr>
            <w:rStyle w:val="Hyperlink"/>
            <w:rFonts w:ascii="Segoe UI" w:hAnsi="Segoe UI" w:cs="Segoe UI"/>
          </w:rPr>
          <w:t>research papers commissioned by the Reference Committee</w:t>
        </w:r>
      </w:hyperlink>
      <w:r w:rsidRPr="00A773A1">
        <w:rPr>
          <w:rStyle w:val="normaltextrun"/>
          <w:rFonts w:ascii="Segoe UI" w:hAnsi="Segoe UI" w:cs="Segoe UI"/>
        </w:rPr>
        <w:t>, the following observations in respect of AMR and evaluation and funding for antimicrobials in the international context were noted:</w:t>
      </w:r>
      <w:r w:rsidRPr="00A773A1">
        <w:rPr>
          <w:rStyle w:val="eop"/>
          <w:rFonts w:ascii="Segoe UI" w:hAnsi="Segoe UI" w:cs="Segoe UI"/>
        </w:rPr>
        <w:t> </w:t>
      </w:r>
    </w:p>
    <w:p w14:paraId="71800892" w14:textId="411C1FB8" w:rsidR="00832CEA" w:rsidRPr="00A773A1" w:rsidRDefault="00832CEA" w:rsidP="008D2A3F">
      <w:pPr>
        <w:pStyle w:val="paragraph"/>
        <w:numPr>
          <w:ilvl w:val="0"/>
          <w:numId w:val="21"/>
        </w:numPr>
        <w:spacing w:before="0" w:beforeAutospacing="0" w:after="160" w:afterAutospacing="0" w:line="259" w:lineRule="auto"/>
        <w:ind w:left="357" w:hanging="357"/>
        <w:contextualSpacing/>
        <w:textAlignment w:val="baseline"/>
        <w:rPr>
          <w:rFonts w:ascii="Segoe UI" w:hAnsi="Segoe UI" w:cs="Segoe UI"/>
        </w:rPr>
      </w:pPr>
      <w:r w:rsidRPr="00A773A1">
        <w:rPr>
          <w:rStyle w:val="normaltextrun"/>
          <w:rFonts w:ascii="Segoe UI" w:hAnsi="Segoe UI" w:cs="Segoe UI"/>
        </w:rPr>
        <w:t>Most countries do not have a special pathway for the reimbursement of antimicrobials, although certain countries allow limited exemptions and flexibility in the reimbursement process for antimicrobial products</w:t>
      </w:r>
      <w:r w:rsidR="005A1341">
        <w:rPr>
          <w:rStyle w:val="normaltextrun"/>
          <w:rFonts w:ascii="Segoe UI" w:hAnsi="Segoe UI" w:cs="Segoe UI"/>
        </w:rPr>
        <w:t>.</w:t>
      </w:r>
      <w:r w:rsidRPr="00A773A1">
        <w:rPr>
          <w:rStyle w:val="eop"/>
          <w:rFonts w:ascii="Segoe UI" w:hAnsi="Segoe UI" w:cs="Segoe UI"/>
        </w:rPr>
        <w:t> </w:t>
      </w:r>
    </w:p>
    <w:p w14:paraId="57D5C472" w14:textId="6EF9A318" w:rsidR="00832CEA" w:rsidRPr="00A773A1" w:rsidRDefault="00832CEA" w:rsidP="008D2A3F">
      <w:pPr>
        <w:pStyle w:val="paragraph"/>
        <w:numPr>
          <w:ilvl w:val="0"/>
          <w:numId w:val="21"/>
        </w:numPr>
        <w:spacing w:before="0" w:beforeAutospacing="0" w:after="160" w:afterAutospacing="0" w:line="259" w:lineRule="auto"/>
        <w:ind w:left="357" w:hanging="357"/>
        <w:contextualSpacing/>
        <w:textAlignment w:val="baseline"/>
        <w:rPr>
          <w:rFonts w:ascii="Segoe UI" w:hAnsi="Segoe UI" w:cs="Segoe UI"/>
        </w:rPr>
      </w:pPr>
      <w:r w:rsidRPr="00A773A1">
        <w:rPr>
          <w:rStyle w:val="normaltextrun"/>
          <w:rFonts w:ascii="Segoe UI" w:hAnsi="Segoe UI" w:cs="Segoe UI"/>
        </w:rPr>
        <w:t>HTA agencies have historically had scarce guidance on evaluating antibiotic agents, antimicrobial agents, communicable diseases, and infectious diseases</w:t>
      </w:r>
      <w:r w:rsidR="005A1341">
        <w:rPr>
          <w:rStyle w:val="normaltextrun"/>
          <w:rFonts w:ascii="Segoe UI" w:hAnsi="Segoe UI" w:cs="Segoe UI"/>
        </w:rPr>
        <w:t>.</w:t>
      </w:r>
      <w:r w:rsidRPr="00A773A1">
        <w:rPr>
          <w:rStyle w:val="eop"/>
          <w:rFonts w:ascii="Segoe UI" w:hAnsi="Segoe UI" w:cs="Segoe UI"/>
        </w:rPr>
        <w:t> </w:t>
      </w:r>
    </w:p>
    <w:p w14:paraId="3EDE298C" w14:textId="555366BB" w:rsidR="00832CEA" w:rsidRPr="00A773A1" w:rsidRDefault="00832CEA" w:rsidP="008D2A3F">
      <w:pPr>
        <w:pStyle w:val="paragraph"/>
        <w:numPr>
          <w:ilvl w:val="0"/>
          <w:numId w:val="21"/>
        </w:numPr>
        <w:spacing w:before="0" w:beforeAutospacing="0" w:after="160" w:afterAutospacing="0" w:line="259" w:lineRule="auto"/>
        <w:ind w:left="357" w:hanging="357"/>
        <w:contextualSpacing/>
        <w:textAlignment w:val="baseline"/>
        <w:rPr>
          <w:rFonts w:ascii="Segoe UI" w:hAnsi="Segoe UI" w:cs="Segoe UI"/>
        </w:rPr>
      </w:pPr>
      <w:r w:rsidRPr="00A773A1">
        <w:rPr>
          <w:rStyle w:val="normaltextrun"/>
          <w:rFonts w:ascii="Segoe UI" w:hAnsi="Segoe UI" w:cs="Segoe UI"/>
        </w:rPr>
        <w:t>In Germany and France, certain antimicrobials are exempted from HTA (as part of a policy that presumes therapeutic benefit for designated products) and may be afforded additional price negotiation</w:t>
      </w:r>
      <w:r w:rsidR="00182295">
        <w:rPr>
          <w:rStyle w:val="normaltextrun"/>
          <w:rFonts w:ascii="Segoe UI" w:hAnsi="Segoe UI" w:cs="Segoe UI"/>
        </w:rPr>
        <w:fldChar w:fldCharType="begin"/>
      </w:r>
      <w:r w:rsidR="00182295">
        <w:instrText xml:space="preserve"> XE "</w:instrText>
      </w:r>
      <w:r w:rsidR="00182295" w:rsidRPr="0026459C">
        <w:rPr>
          <w:rFonts w:cs="Segoe UI"/>
          <w:kern w:val="24"/>
          <w:lang w:eastAsia="en-AU"/>
        </w:rPr>
        <w:instrText>price negotiation</w:instrText>
      </w:r>
      <w:r w:rsidR="00182295">
        <w:instrText xml:space="preserve">" \b </w:instrText>
      </w:r>
      <w:r w:rsidR="00182295">
        <w:rPr>
          <w:rStyle w:val="normaltextrun"/>
          <w:rFonts w:ascii="Segoe UI" w:hAnsi="Segoe UI" w:cs="Segoe UI"/>
        </w:rPr>
        <w:fldChar w:fldCharType="end"/>
      </w:r>
      <w:r w:rsidRPr="00A773A1">
        <w:rPr>
          <w:rStyle w:val="normaltextrun"/>
          <w:rFonts w:ascii="Segoe UI" w:hAnsi="Segoe UI" w:cs="Segoe UI"/>
        </w:rPr>
        <w:t xml:space="preserve"> flexibility and/or excluded from standard reference pricing arrangements</w:t>
      </w:r>
      <w:r w:rsidR="00546544">
        <w:rPr>
          <w:rStyle w:val="normaltextrun"/>
          <w:rFonts w:ascii="Segoe UI" w:hAnsi="Segoe UI" w:cs="Segoe UI"/>
        </w:rPr>
        <w:t>.</w:t>
      </w:r>
      <w:r w:rsidRPr="00A773A1">
        <w:rPr>
          <w:rStyle w:val="eop"/>
          <w:rFonts w:ascii="Segoe UI" w:hAnsi="Segoe UI" w:cs="Segoe UI"/>
        </w:rPr>
        <w:t> </w:t>
      </w:r>
    </w:p>
    <w:p w14:paraId="6BECBB6B" w14:textId="3F7B593C" w:rsidR="00832CEA" w:rsidRPr="00A773A1" w:rsidRDefault="00832CEA" w:rsidP="008D2A3F">
      <w:pPr>
        <w:pStyle w:val="paragraph"/>
        <w:numPr>
          <w:ilvl w:val="0"/>
          <w:numId w:val="21"/>
        </w:numPr>
        <w:spacing w:before="0" w:beforeAutospacing="0" w:after="160" w:afterAutospacing="0" w:line="259" w:lineRule="auto"/>
        <w:ind w:left="357" w:hanging="357"/>
        <w:contextualSpacing/>
        <w:textAlignment w:val="baseline"/>
        <w:rPr>
          <w:rFonts w:ascii="Segoe UI" w:hAnsi="Segoe UI" w:cs="Segoe UI"/>
        </w:rPr>
      </w:pPr>
      <w:r w:rsidRPr="00A773A1">
        <w:rPr>
          <w:rStyle w:val="normaltextrun"/>
          <w:rFonts w:ascii="Segoe UI" w:hAnsi="Segoe UI" w:cs="Segoe UI"/>
        </w:rPr>
        <w:t xml:space="preserve">In the UK, a recent pilot HTA process by NICE and </w:t>
      </w:r>
      <w:r w:rsidR="00CC7990">
        <w:rPr>
          <w:rStyle w:val="normaltextrun"/>
          <w:rFonts w:ascii="Segoe UI" w:hAnsi="Segoe UI" w:cs="Segoe UI"/>
        </w:rPr>
        <w:t>National Health Service (</w:t>
      </w:r>
      <w:r w:rsidRPr="00A773A1">
        <w:rPr>
          <w:rStyle w:val="normaltextrun"/>
          <w:rFonts w:ascii="Segoe UI" w:hAnsi="Segoe UI" w:cs="Segoe UI"/>
        </w:rPr>
        <w:t>NHS</w:t>
      </w:r>
      <w:r w:rsidR="00CC7990">
        <w:rPr>
          <w:rStyle w:val="normaltextrun"/>
          <w:rFonts w:ascii="Segoe UI" w:hAnsi="Segoe UI" w:cs="Segoe UI"/>
        </w:rPr>
        <w:t>)</w:t>
      </w:r>
      <w:r w:rsidRPr="00A773A1">
        <w:rPr>
          <w:rStyle w:val="normaltextrun"/>
          <w:rFonts w:ascii="Segoe UI" w:hAnsi="Segoe UI" w:cs="Segoe UI"/>
        </w:rPr>
        <w:t xml:space="preserve"> England trialled a delinked price-volume payment model for </w:t>
      </w:r>
      <w:r w:rsidR="0037776B">
        <w:rPr>
          <w:rStyle w:val="normaltextrun"/>
          <w:rFonts w:ascii="Segoe UI" w:hAnsi="Segoe UI" w:cs="Segoe UI"/>
        </w:rPr>
        <w:t>2</w:t>
      </w:r>
      <w:r w:rsidR="0037776B" w:rsidRPr="00A773A1">
        <w:rPr>
          <w:rStyle w:val="normaltextrun"/>
          <w:rFonts w:ascii="Segoe UI" w:hAnsi="Segoe UI" w:cs="Segoe UI"/>
        </w:rPr>
        <w:t xml:space="preserve"> </w:t>
      </w:r>
      <w:r w:rsidRPr="00A773A1">
        <w:rPr>
          <w:rStyle w:val="normaltextrun"/>
          <w:rFonts w:ascii="Segoe UI" w:hAnsi="Segoe UI" w:cs="Segoe UI"/>
        </w:rPr>
        <w:t>antimicrobial products, as well as an alternative HTA process utilising additional dimensions of value specific to antimicrobials (</w:t>
      </w:r>
      <w:r w:rsidR="007C6521">
        <w:rPr>
          <w:rStyle w:val="normaltextrun"/>
          <w:rFonts w:ascii="Segoe UI" w:hAnsi="Segoe UI" w:cs="Segoe UI"/>
        </w:rPr>
        <w:t>s</w:t>
      </w:r>
      <w:r w:rsidRPr="00A773A1">
        <w:rPr>
          <w:rStyle w:val="normaltextrun"/>
          <w:rFonts w:ascii="Segoe UI" w:hAnsi="Segoe UI" w:cs="Segoe UI"/>
        </w:rPr>
        <w:t xml:space="preserve">pectrum, </w:t>
      </w:r>
      <w:r w:rsidR="007C6521">
        <w:rPr>
          <w:rStyle w:val="normaltextrun"/>
          <w:rFonts w:ascii="Segoe UI" w:hAnsi="Segoe UI" w:cs="Segoe UI"/>
        </w:rPr>
        <w:t>t</w:t>
      </w:r>
      <w:r w:rsidRPr="00A773A1">
        <w:rPr>
          <w:rStyle w:val="normaltextrun"/>
          <w:rFonts w:ascii="Segoe UI" w:hAnsi="Segoe UI" w:cs="Segoe UI"/>
        </w:rPr>
        <w:t xml:space="preserve">ransmission, </w:t>
      </w:r>
      <w:r w:rsidR="007C6521">
        <w:rPr>
          <w:rStyle w:val="normaltextrun"/>
          <w:rFonts w:ascii="Segoe UI" w:hAnsi="Segoe UI" w:cs="Segoe UI"/>
        </w:rPr>
        <w:t>e</w:t>
      </w:r>
      <w:r w:rsidRPr="00A773A1">
        <w:rPr>
          <w:rStyle w:val="normaltextrun"/>
          <w:rFonts w:ascii="Segoe UI" w:hAnsi="Segoe UI" w:cs="Segoe UI"/>
        </w:rPr>
        <w:t xml:space="preserve">nablement, </w:t>
      </w:r>
      <w:r w:rsidR="007C6521">
        <w:rPr>
          <w:rStyle w:val="normaltextrun"/>
          <w:rFonts w:ascii="Segoe UI" w:hAnsi="Segoe UI" w:cs="Segoe UI"/>
        </w:rPr>
        <w:t>d</w:t>
      </w:r>
      <w:r w:rsidRPr="00A773A1">
        <w:rPr>
          <w:rStyle w:val="normaltextrun"/>
          <w:rFonts w:ascii="Segoe UI" w:hAnsi="Segoe UI" w:cs="Segoe UI"/>
        </w:rPr>
        <w:t xml:space="preserve">iversity, </w:t>
      </w:r>
      <w:r w:rsidR="007C6521">
        <w:rPr>
          <w:rStyle w:val="normaltextrun"/>
          <w:rFonts w:ascii="Segoe UI" w:hAnsi="Segoe UI" w:cs="Segoe UI"/>
        </w:rPr>
        <w:t>i</w:t>
      </w:r>
      <w:r w:rsidRPr="00A773A1">
        <w:rPr>
          <w:rStyle w:val="normaltextrun"/>
          <w:rFonts w:ascii="Segoe UI" w:hAnsi="Segoe UI" w:cs="Segoe UI"/>
        </w:rPr>
        <w:t xml:space="preserve">nsurance </w:t>
      </w:r>
      <w:r w:rsidR="007C6521">
        <w:rPr>
          <w:rStyle w:val="normaltextrun"/>
          <w:rFonts w:ascii="Segoe UI" w:hAnsi="Segoe UI" w:cs="Segoe UI"/>
        </w:rPr>
        <w:t>v</w:t>
      </w:r>
      <w:r w:rsidRPr="00A773A1">
        <w:rPr>
          <w:rStyle w:val="normaltextrun"/>
          <w:rFonts w:ascii="Segoe UI" w:hAnsi="Segoe UI" w:cs="Segoe UI"/>
        </w:rPr>
        <w:t xml:space="preserve">alue – </w:t>
      </w:r>
      <w:r w:rsidR="00651808">
        <w:rPr>
          <w:rStyle w:val="normaltextrun"/>
          <w:rFonts w:ascii="Segoe UI" w:hAnsi="Segoe UI" w:cs="Segoe UI"/>
        </w:rPr>
        <w:t>(</w:t>
      </w:r>
      <w:r w:rsidR="00ED7DFD" w:rsidRPr="00DE259C">
        <w:rPr>
          <w:rStyle w:val="normaltextrun"/>
          <w:rFonts w:ascii="Segoe UI" w:hAnsi="Segoe UI"/>
        </w:rPr>
        <w:t>Spectrum, Transmission, Enablement, Diversity, Insurance Value</w:t>
      </w:r>
      <w:r w:rsidR="00ED7DFD" w:rsidRPr="00A773A1">
        <w:rPr>
          <w:rStyle w:val="normaltextrun"/>
          <w:rFonts w:ascii="Segoe UI" w:hAnsi="Segoe UI" w:cs="Segoe UI"/>
        </w:rPr>
        <w:t xml:space="preserve"> </w:t>
      </w:r>
      <w:r w:rsidR="00ED7DFD">
        <w:rPr>
          <w:rStyle w:val="normaltextrun"/>
          <w:rFonts w:ascii="Segoe UI" w:hAnsi="Segoe UI" w:cs="Segoe UI"/>
        </w:rPr>
        <w:t>(</w:t>
      </w:r>
      <w:r w:rsidRPr="00A773A1">
        <w:rPr>
          <w:rStyle w:val="normaltextrun"/>
          <w:rFonts w:ascii="Segoe UI" w:hAnsi="Segoe UI" w:cs="Segoe UI"/>
        </w:rPr>
        <w:t>STEDI</w:t>
      </w:r>
      <w:r w:rsidR="00651808">
        <w:rPr>
          <w:rStyle w:val="normaltextrun"/>
          <w:rFonts w:ascii="Segoe UI" w:hAnsi="Segoe UI" w:cs="Segoe UI"/>
        </w:rPr>
        <w:t>)</w:t>
      </w:r>
      <w:r w:rsidRPr="00A773A1">
        <w:rPr>
          <w:rStyle w:val="normaltextrun"/>
          <w:rFonts w:ascii="Segoe UI" w:hAnsi="Segoe UI" w:cs="Segoe UI"/>
        </w:rPr>
        <w:t>) combined with standard HTA dimensions in the UK context (such as clinical effectiveness, costs, safety, etc).</w:t>
      </w:r>
      <w:r w:rsidR="007A1B3A">
        <w:rPr>
          <w:rStyle w:val="normaltextrun"/>
          <w:rFonts w:ascii="Segoe UI" w:hAnsi="Segoe UI" w:cs="Segoe UI"/>
        </w:rPr>
        <w:t xml:space="preserve"> </w:t>
      </w:r>
    </w:p>
    <w:p w14:paraId="73DEF6B9" w14:textId="7D2236B0" w:rsidR="00832CEA" w:rsidRPr="00A773A1" w:rsidRDefault="00832CEA" w:rsidP="008D2A3F">
      <w:pPr>
        <w:pStyle w:val="paragraph"/>
        <w:numPr>
          <w:ilvl w:val="0"/>
          <w:numId w:val="21"/>
        </w:numPr>
        <w:spacing w:before="0" w:beforeAutospacing="0" w:after="160" w:afterAutospacing="0" w:line="259" w:lineRule="auto"/>
        <w:ind w:left="357" w:hanging="357"/>
        <w:contextualSpacing/>
        <w:textAlignment w:val="baseline"/>
        <w:rPr>
          <w:rFonts w:ascii="Segoe UI" w:hAnsi="Segoe UI" w:cs="Segoe UI"/>
        </w:rPr>
      </w:pPr>
      <w:r w:rsidRPr="00A773A1">
        <w:rPr>
          <w:rStyle w:val="normaltextrun"/>
          <w:rFonts w:ascii="Segoe UI" w:hAnsi="Segoe UI" w:cs="Segoe UI"/>
        </w:rPr>
        <w:t>In Sweden, a partially price-volume delinked guarantee of supply arrangement was tested to determine if such financial support (as a pull mechanism) would make additional antimicrobials of significant medical value available in the Swedish market.</w:t>
      </w:r>
      <w:r w:rsidR="007A1B3A">
        <w:rPr>
          <w:rStyle w:val="normaltextrun"/>
          <w:rFonts w:ascii="Segoe UI" w:hAnsi="Segoe UI" w:cs="Segoe UI"/>
        </w:rPr>
        <w:t xml:space="preserve"> </w:t>
      </w:r>
      <w:r w:rsidRPr="00A773A1">
        <w:rPr>
          <w:rStyle w:val="eop"/>
          <w:rFonts w:ascii="Segoe UI" w:hAnsi="Segoe UI" w:cs="Segoe UI"/>
        </w:rPr>
        <w:t> </w:t>
      </w:r>
    </w:p>
    <w:p w14:paraId="4BAC04FA" w14:textId="1CD8F723" w:rsidR="00832CEA" w:rsidRPr="00A773A1" w:rsidRDefault="00832CEA" w:rsidP="00EC1398">
      <w:pPr>
        <w:pStyle w:val="paragraph"/>
        <w:numPr>
          <w:ilvl w:val="0"/>
          <w:numId w:val="21"/>
        </w:numPr>
        <w:spacing w:before="0" w:beforeAutospacing="0" w:after="160" w:afterAutospacing="0" w:line="259" w:lineRule="auto"/>
        <w:ind w:left="357" w:hanging="357"/>
        <w:textAlignment w:val="baseline"/>
        <w:rPr>
          <w:rFonts w:ascii="Segoe UI" w:hAnsi="Segoe UI" w:cs="Segoe UI"/>
        </w:rPr>
      </w:pPr>
      <w:r w:rsidRPr="00A773A1">
        <w:rPr>
          <w:rStyle w:val="normaltextrun"/>
          <w:rFonts w:ascii="Segoe UI" w:hAnsi="Segoe UI" w:cs="Segoe UI"/>
        </w:rPr>
        <w:t>In the US, the FDA may grant special “qualified infectious disease product” designations which provide additional market exclusivity extensions specific to the designated antimicrobial product.</w:t>
      </w:r>
      <w:r w:rsidR="007A1B3A">
        <w:rPr>
          <w:rStyle w:val="normaltextrun"/>
          <w:rFonts w:ascii="Segoe UI" w:hAnsi="Segoe UI" w:cs="Segoe UI"/>
        </w:rPr>
        <w:t xml:space="preserve"> </w:t>
      </w:r>
    </w:p>
    <w:p w14:paraId="2147C8B5" w14:textId="71061102" w:rsidR="00832CEA" w:rsidRPr="00A773A1" w:rsidRDefault="00832CEA" w:rsidP="00A773A1">
      <w:pPr>
        <w:pStyle w:val="paragraph"/>
        <w:spacing w:before="0" w:beforeAutospacing="0" w:after="160" w:afterAutospacing="0" w:line="259" w:lineRule="auto"/>
        <w:textAlignment w:val="baseline"/>
        <w:rPr>
          <w:rFonts w:ascii="Segoe UI" w:hAnsi="Segoe UI" w:cs="Segoe UI"/>
        </w:rPr>
      </w:pPr>
      <w:r w:rsidRPr="00A773A1">
        <w:rPr>
          <w:rStyle w:val="normaltextrun"/>
          <w:rFonts w:ascii="Segoe UI" w:hAnsi="Segoe UI" w:cs="Segoe UI"/>
        </w:rPr>
        <w:t>The research papers also noted the following HTA process and policy implications that can arise when evaluating antimicrobial products:</w:t>
      </w:r>
      <w:r w:rsidRPr="00A773A1">
        <w:rPr>
          <w:rStyle w:val="eop"/>
          <w:rFonts w:ascii="Segoe UI" w:hAnsi="Segoe UI" w:cs="Segoe UI"/>
        </w:rPr>
        <w:t> </w:t>
      </w:r>
    </w:p>
    <w:p w14:paraId="59EB9215" w14:textId="7B518523" w:rsidR="00832CEA" w:rsidRPr="00A773A1" w:rsidRDefault="00832CEA" w:rsidP="008D2A3F">
      <w:pPr>
        <w:pStyle w:val="paragraph"/>
        <w:numPr>
          <w:ilvl w:val="0"/>
          <w:numId w:val="21"/>
        </w:numPr>
        <w:spacing w:before="0" w:beforeAutospacing="0" w:after="240" w:afterAutospacing="0" w:line="259" w:lineRule="auto"/>
        <w:ind w:left="357" w:hanging="357"/>
        <w:contextualSpacing/>
        <w:textAlignment w:val="baseline"/>
        <w:rPr>
          <w:rStyle w:val="normaltextrun"/>
        </w:rPr>
      </w:pPr>
      <w:r w:rsidRPr="00A773A1">
        <w:rPr>
          <w:rStyle w:val="normaltextrun"/>
          <w:rFonts w:ascii="Segoe UI" w:hAnsi="Segoe UI" w:cs="Segoe UI"/>
        </w:rPr>
        <w:t>NICE noted as part of its documentation supporting the antimicrobial HTA pilot that:</w:t>
      </w:r>
      <w:r w:rsidRPr="00A773A1">
        <w:rPr>
          <w:rStyle w:val="normaltextrun"/>
        </w:rPr>
        <w:t> </w:t>
      </w:r>
    </w:p>
    <w:p w14:paraId="3D5010A9" w14:textId="3AC6851E" w:rsidR="00832CEA" w:rsidRPr="00A773A1" w:rsidRDefault="002C22DE" w:rsidP="008D2A3F">
      <w:pPr>
        <w:pStyle w:val="paragraph"/>
        <w:numPr>
          <w:ilvl w:val="1"/>
          <w:numId w:val="21"/>
        </w:numPr>
        <w:spacing w:before="0" w:beforeAutospacing="0" w:after="240" w:afterAutospacing="0" w:line="259" w:lineRule="auto"/>
        <w:contextualSpacing/>
        <w:textAlignment w:val="baseline"/>
        <w:rPr>
          <w:rStyle w:val="normaltextrun"/>
        </w:rPr>
      </w:pPr>
      <w:r>
        <w:rPr>
          <w:rStyle w:val="normaltextrun"/>
          <w:rFonts w:ascii="Segoe UI" w:hAnsi="Segoe UI" w:cs="Segoe UI"/>
        </w:rPr>
        <w:t>T</w:t>
      </w:r>
      <w:r w:rsidR="00832CEA" w:rsidRPr="00A773A1">
        <w:rPr>
          <w:rStyle w:val="normaltextrun"/>
          <w:rFonts w:ascii="Segoe UI" w:hAnsi="Segoe UI" w:cs="Segoe UI"/>
        </w:rPr>
        <w:t>here can be difficulties in defining the relevant population and subgroups for antimicrobials, as market authorisation may be focused on pathogens rather than clinical indications</w:t>
      </w:r>
      <w:r w:rsidR="006261C9">
        <w:rPr>
          <w:rStyle w:val="normaltextrun"/>
          <w:rFonts w:ascii="Segoe UI" w:hAnsi="Segoe UI" w:cs="Segoe UI"/>
        </w:rPr>
        <w:t>.</w:t>
      </w:r>
      <w:r w:rsidR="007A1B3A">
        <w:rPr>
          <w:rStyle w:val="normaltextrun"/>
          <w:rFonts w:ascii="Segoe UI" w:hAnsi="Segoe UI" w:cs="Segoe UI"/>
        </w:rPr>
        <w:t xml:space="preserve"> </w:t>
      </w:r>
    </w:p>
    <w:p w14:paraId="439C05DA" w14:textId="724E0395" w:rsidR="00832CEA" w:rsidRPr="00A773A1" w:rsidRDefault="00832CEA" w:rsidP="008D2A3F">
      <w:pPr>
        <w:pStyle w:val="paragraph"/>
        <w:numPr>
          <w:ilvl w:val="1"/>
          <w:numId w:val="21"/>
        </w:numPr>
        <w:spacing w:before="0" w:beforeAutospacing="0" w:after="240" w:afterAutospacing="0" w:line="259" w:lineRule="auto"/>
        <w:contextualSpacing/>
        <w:textAlignment w:val="baseline"/>
        <w:rPr>
          <w:rStyle w:val="normaltextrun"/>
        </w:rPr>
      </w:pPr>
      <w:r w:rsidRPr="00A773A1">
        <w:rPr>
          <w:rStyle w:val="normaltextrun"/>
          <w:rFonts w:ascii="Segoe UI" w:hAnsi="Segoe UI" w:cs="Segoe UI"/>
        </w:rPr>
        <w:lastRenderedPageBreak/>
        <w:t>In determining the population for antimicrobial utilisation, consideration should be given to the setting of antimicrobial use (community, hospital or restricted to intensive care use), as the rate of infections and transmission dynamics will differ based on the setting.</w:t>
      </w:r>
      <w:r w:rsidR="007A1B3A">
        <w:rPr>
          <w:rStyle w:val="normaltextrun"/>
          <w:rFonts w:ascii="Segoe UI" w:hAnsi="Segoe UI" w:cs="Segoe UI"/>
        </w:rPr>
        <w:t xml:space="preserve"> </w:t>
      </w:r>
    </w:p>
    <w:p w14:paraId="53994998" w14:textId="48B37B13" w:rsidR="00832CEA" w:rsidRPr="00A773A1" w:rsidRDefault="00832CEA" w:rsidP="008D2A3F">
      <w:pPr>
        <w:pStyle w:val="paragraph"/>
        <w:numPr>
          <w:ilvl w:val="1"/>
          <w:numId w:val="21"/>
        </w:numPr>
        <w:spacing w:before="0" w:beforeAutospacing="0" w:after="240" w:afterAutospacing="0" w:line="259" w:lineRule="auto"/>
        <w:contextualSpacing/>
        <w:textAlignment w:val="baseline"/>
        <w:rPr>
          <w:rStyle w:val="normaltextrun"/>
        </w:rPr>
      </w:pPr>
      <w:r w:rsidRPr="00A773A1">
        <w:rPr>
          <w:rStyle w:val="normaltextrun"/>
          <w:rFonts w:ascii="Segoe UI" w:hAnsi="Segoe UI" w:cs="Segoe UI"/>
        </w:rPr>
        <w:t>The benefits of antimicrobials can extend beyond the patients treated, to the wider population, so the perspective of the HTA evaluation needs to be explicit.</w:t>
      </w:r>
      <w:r w:rsidR="007A1B3A">
        <w:rPr>
          <w:rStyle w:val="normaltextrun"/>
          <w:rFonts w:ascii="Segoe UI" w:hAnsi="Segoe UI" w:cs="Segoe UI"/>
        </w:rPr>
        <w:t xml:space="preserve"> </w:t>
      </w:r>
    </w:p>
    <w:p w14:paraId="3AA93E69" w14:textId="38116CB2" w:rsidR="00832CEA" w:rsidRPr="00A773A1" w:rsidRDefault="00832CEA" w:rsidP="00B507FA">
      <w:pPr>
        <w:pStyle w:val="paragraph"/>
        <w:numPr>
          <w:ilvl w:val="1"/>
          <w:numId w:val="21"/>
        </w:numPr>
        <w:spacing w:before="0" w:beforeAutospacing="0" w:after="160" w:afterAutospacing="0" w:line="259" w:lineRule="auto"/>
        <w:textAlignment w:val="baseline"/>
        <w:rPr>
          <w:rStyle w:val="normaltextrun"/>
        </w:rPr>
      </w:pPr>
      <w:r w:rsidRPr="00A773A1">
        <w:rPr>
          <w:rStyle w:val="normaltextrun"/>
          <w:rFonts w:ascii="Segoe UI" w:hAnsi="Segoe UI" w:cs="Segoe UI"/>
        </w:rPr>
        <w:t>As antimicrobials may be used for a wide range of different indications, there can be a variety of comparators based on the infection site, pathogen, and mechanism of resistance, and whether the treatment is used in the microbiology-directed or empiric setting (</w:t>
      </w:r>
      <w:proofErr w:type="gramStart"/>
      <w:r w:rsidR="00060EFD">
        <w:rPr>
          <w:rStyle w:val="normaltextrun"/>
          <w:rFonts w:ascii="Segoe UI" w:hAnsi="Segoe UI" w:cs="Segoe UI"/>
        </w:rPr>
        <w:t>i.e.</w:t>
      </w:r>
      <w:proofErr w:type="gramEnd"/>
      <w:r w:rsidR="001F6C0F">
        <w:rPr>
          <w:rStyle w:val="normaltextrun"/>
          <w:rFonts w:ascii="Segoe UI" w:hAnsi="Segoe UI" w:cs="Segoe UI"/>
        </w:rPr>
        <w:t xml:space="preserve"> </w:t>
      </w:r>
      <w:r w:rsidRPr="00A773A1">
        <w:rPr>
          <w:rStyle w:val="normaltextrun"/>
          <w:rFonts w:ascii="Segoe UI" w:hAnsi="Segoe UI" w:cs="Segoe UI"/>
        </w:rPr>
        <w:t>after testing the susceptibility of the pathogen, or on the basis of clinical suspicion of the pathogen and its mechanism of resistance)</w:t>
      </w:r>
      <w:r w:rsidR="00A8435A">
        <w:rPr>
          <w:rStyle w:val="normaltextrun"/>
          <w:rFonts w:ascii="Segoe UI" w:hAnsi="Segoe UI" w:cs="Segoe UI"/>
        </w:rPr>
        <w:t>.</w:t>
      </w:r>
      <w:r w:rsidRPr="00A773A1">
        <w:rPr>
          <w:rStyle w:val="normaltextrun"/>
        </w:rPr>
        <w:t> </w:t>
      </w:r>
    </w:p>
    <w:p w14:paraId="09CC1518" w14:textId="21FA9111" w:rsidR="00832CEA" w:rsidRPr="00A773A1" w:rsidRDefault="00832CEA" w:rsidP="00BA420C">
      <w:pPr>
        <w:pStyle w:val="paragraph"/>
        <w:spacing w:before="0" w:beforeAutospacing="0" w:after="160" w:afterAutospacing="0" w:line="259" w:lineRule="auto"/>
        <w:textAlignment w:val="baseline"/>
        <w:rPr>
          <w:rStyle w:val="normaltextrun"/>
        </w:rPr>
      </w:pPr>
      <w:proofErr w:type="gramStart"/>
      <w:r w:rsidRPr="00A773A1">
        <w:rPr>
          <w:rStyle w:val="normaltextrun"/>
          <w:rFonts w:ascii="Segoe UI" w:hAnsi="Segoe UI" w:cs="Segoe UI"/>
        </w:rPr>
        <w:t>A number of</w:t>
      </w:r>
      <w:proofErr w:type="gramEnd"/>
      <w:r w:rsidRPr="00A773A1">
        <w:rPr>
          <w:rStyle w:val="normaltextrun"/>
          <w:rFonts w:ascii="Segoe UI" w:hAnsi="Segoe UI" w:cs="Segoe UI"/>
        </w:rPr>
        <w:t xml:space="preserve"> recent academic papers have also argued for revisions to HTA guidance documents to emphasise the consideration of community externalities associated with antimicrobial agents and other infectious diseases, including:</w:t>
      </w:r>
      <w:r w:rsidR="007A1B3A">
        <w:rPr>
          <w:rStyle w:val="normaltextrun"/>
          <w:rFonts w:ascii="Segoe UI" w:hAnsi="Segoe UI" w:cs="Segoe UI"/>
        </w:rPr>
        <w:t xml:space="preserve"> </w:t>
      </w:r>
    </w:p>
    <w:p w14:paraId="7551F01D" w14:textId="78E2DFA3" w:rsidR="00832CEA" w:rsidRPr="00A773A1" w:rsidRDefault="00832CEA" w:rsidP="00BA420C">
      <w:pPr>
        <w:pStyle w:val="paragraph"/>
        <w:numPr>
          <w:ilvl w:val="0"/>
          <w:numId w:val="21"/>
        </w:numPr>
        <w:spacing w:before="0" w:beforeAutospacing="0" w:after="160" w:afterAutospacing="0" w:line="259" w:lineRule="auto"/>
        <w:contextualSpacing/>
        <w:textAlignment w:val="baseline"/>
        <w:rPr>
          <w:rFonts w:ascii="Segoe UI" w:hAnsi="Segoe UI" w:cs="Segoe UI"/>
        </w:rPr>
      </w:pPr>
      <w:r w:rsidRPr="00A773A1">
        <w:rPr>
          <w:rStyle w:val="normaltextrun"/>
          <w:rFonts w:ascii="Segoe UI" w:hAnsi="Segoe UI" w:cs="Segoe UI"/>
        </w:rPr>
        <w:t>accounting for reduced transmission rates</w:t>
      </w:r>
      <w:r w:rsidRPr="00A773A1">
        <w:rPr>
          <w:rStyle w:val="eop"/>
          <w:rFonts w:ascii="Segoe UI" w:hAnsi="Segoe UI" w:cs="Segoe UI"/>
        </w:rPr>
        <w:t> </w:t>
      </w:r>
    </w:p>
    <w:p w14:paraId="637583CA" w14:textId="32AA7045" w:rsidR="00832CEA" w:rsidRPr="00A773A1" w:rsidRDefault="00832CEA" w:rsidP="00BA420C">
      <w:pPr>
        <w:pStyle w:val="paragraph"/>
        <w:numPr>
          <w:ilvl w:val="0"/>
          <w:numId w:val="21"/>
        </w:numPr>
        <w:spacing w:before="0" w:beforeAutospacing="0" w:after="160" w:afterAutospacing="0" w:line="259" w:lineRule="auto"/>
        <w:contextualSpacing/>
        <w:textAlignment w:val="baseline"/>
        <w:rPr>
          <w:rFonts w:ascii="Segoe UI" w:hAnsi="Segoe UI" w:cs="Segoe UI"/>
        </w:rPr>
      </w:pPr>
      <w:r w:rsidRPr="00A773A1">
        <w:rPr>
          <w:rStyle w:val="normaltextrun"/>
          <w:rFonts w:ascii="Segoe UI" w:hAnsi="Segoe UI" w:cs="Segoe UI"/>
        </w:rPr>
        <w:t>costs of treating resistant cases</w:t>
      </w:r>
      <w:r w:rsidRPr="00A773A1">
        <w:rPr>
          <w:rStyle w:val="eop"/>
          <w:rFonts w:ascii="Segoe UI" w:hAnsi="Segoe UI" w:cs="Segoe UI"/>
        </w:rPr>
        <w:t> </w:t>
      </w:r>
    </w:p>
    <w:p w14:paraId="2E4DD4F2" w14:textId="6E570B57" w:rsidR="00832CEA" w:rsidRPr="00A773A1" w:rsidRDefault="48105C5E" w:rsidP="00BA420C">
      <w:pPr>
        <w:pStyle w:val="paragraph"/>
        <w:numPr>
          <w:ilvl w:val="0"/>
          <w:numId w:val="21"/>
        </w:numPr>
        <w:spacing w:before="0" w:beforeAutospacing="0" w:after="160" w:afterAutospacing="0" w:line="259" w:lineRule="auto"/>
        <w:contextualSpacing/>
        <w:textAlignment w:val="baseline"/>
        <w:rPr>
          <w:rFonts w:ascii="Segoe UI" w:hAnsi="Segoe UI" w:cs="Segoe UI"/>
        </w:rPr>
      </w:pPr>
      <w:r w:rsidRPr="7C4B7610">
        <w:rPr>
          <w:rStyle w:val="normaltextrun"/>
          <w:rFonts w:ascii="Segoe UI" w:hAnsi="Segoe UI" w:cs="Segoe UI"/>
        </w:rPr>
        <w:t>QALY</w:t>
      </w:r>
      <w:r w:rsidR="00832CEA" w:rsidRPr="00A773A1">
        <w:rPr>
          <w:rStyle w:val="normaltextrun"/>
          <w:rFonts w:ascii="Segoe UI" w:hAnsi="Segoe UI" w:cs="Segoe UI"/>
        </w:rPr>
        <w:t xml:space="preserve"> gained from avoiding infection</w:t>
      </w:r>
      <w:r w:rsidR="000B18CA">
        <w:rPr>
          <w:rStyle w:val="normaltextrun"/>
          <w:rFonts w:ascii="Segoe UI" w:hAnsi="Segoe UI" w:cs="Segoe UI"/>
        </w:rPr>
        <w:t>, and</w:t>
      </w:r>
    </w:p>
    <w:p w14:paraId="7AEF055A" w14:textId="77777777" w:rsidR="00832CEA" w:rsidRPr="00A773A1" w:rsidRDefault="00832CEA" w:rsidP="00BA420C">
      <w:pPr>
        <w:pStyle w:val="paragraph"/>
        <w:numPr>
          <w:ilvl w:val="0"/>
          <w:numId w:val="21"/>
        </w:numPr>
        <w:spacing w:before="0" w:beforeAutospacing="0" w:after="160" w:afterAutospacing="0" w:line="259" w:lineRule="auto"/>
        <w:contextualSpacing/>
        <w:textAlignment w:val="baseline"/>
        <w:rPr>
          <w:rFonts w:ascii="Segoe UI" w:hAnsi="Segoe UI" w:cs="Segoe UI"/>
        </w:rPr>
      </w:pPr>
      <w:r w:rsidRPr="00A773A1">
        <w:rPr>
          <w:rStyle w:val="normaltextrun"/>
          <w:rFonts w:ascii="Segoe UI" w:hAnsi="Segoe UI" w:cs="Segoe UI"/>
        </w:rPr>
        <w:t>performing sensitivity analyses on different levels of resistance.</w:t>
      </w:r>
      <w:r w:rsidRPr="00A773A1">
        <w:rPr>
          <w:rStyle w:val="eop"/>
          <w:rFonts w:ascii="Segoe UI" w:hAnsi="Segoe UI" w:cs="Segoe UI"/>
        </w:rPr>
        <w:t> </w:t>
      </w:r>
    </w:p>
    <w:p w14:paraId="72BBCFF7" w14:textId="46B170EA" w:rsidR="00AF351A" w:rsidRDefault="00833213" w:rsidP="00833213">
      <w:pPr>
        <w:pStyle w:val="Heading3"/>
      </w:pPr>
      <w:bookmarkStart w:id="200" w:name="_Toc157029107"/>
      <w:r>
        <w:t>What we heard from stakeholders</w:t>
      </w:r>
      <w:bookmarkEnd w:id="200"/>
    </w:p>
    <w:p w14:paraId="4D9A58E3" w14:textId="519FC484" w:rsidR="00833213" w:rsidRPr="00833213" w:rsidRDefault="00833213" w:rsidP="006374A4">
      <w:pPr>
        <w:pStyle w:val="paragraph"/>
        <w:spacing w:before="0" w:beforeAutospacing="0" w:after="240" w:afterAutospacing="0" w:line="259" w:lineRule="auto"/>
        <w:textAlignment w:val="baseline"/>
        <w:rPr>
          <w:rFonts w:ascii="Segoe UI" w:hAnsi="Segoe UI" w:cs="Segoe UI"/>
          <w:sz w:val="18"/>
          <w:szCs w:val="18"/>
        </w:rPr>
      </w:pPr>
      <w:r w:rsidRPr="00833213">
        <w:rPr>
          <w:rStyle w:val="normaltextrun"/>
          <w:rFonts w:ascii="Segoe UI" w:hAnsi="Segoe UI" w:cs="Segoe UI"/>
        </w:rPr>
        <w:t xml:space="preserve">The Reference Committee noted that only a limited number of stakeholders directly addressed matters in respect of AMR and antimicrobial access and availability during the initial consultation. Much of the stakeholder feedback received can be summarised in the following observations from the </w:t>
      </w:r>
      <w:r w:rsidR="0E784F0D" w:rsidRPr="00687095">
        <w:rPr>
          <w:rFonts w:ascii="Segoe UI" w:eastAsia="Segoe UI" w:hAnsi="Segoe UI" w:cs="Segoe UI"/>
          <w:color w:val="111111"/>
        </w:rPr>
        <w:t>Australian Antimicrobial Resistance Network</w:t>
      </w:r>
      <w:r w:rsidR="0E784F0D" w:rsidRPr="63BC76F3">
        <w:t xml:space="preserve"> </w:t>
      </w:r>
      <w:r w:rsidRPr="00833213">
        <w:rPr>
          <w:rStyle w:val="normaltextrun"/>
          <w:rFonts w:ascii="Segoe UI" w:hAnsi="Segoe UI" w:cs="Segoe UI"/>
        </w:rPr>
        <w:t>submission to the HTA Review:</w:t>
      </w:r>
      <w:r w:rsidRPr="00833213">
        <w:rPr>
          <w:rStyle w:val="eop"/>
          <w:rFonts w:ascii="Segoe UI" w:hAnsi="Segoe UI" w:cs="Segoe UI"/>
        </w:rPr>
        <w:t> </w:t>
      </w:r>
    </w:p>
    <w:p w14:paraId="3550E1FE" w14:textId="45DD9D58" w:rsidR="00833213" w:rsidRPr="00833213" w:rsidRDefault="00833213" w:rsidP="006374A4">
      <w:pPr>
        <w:pStyle w:val="paragraph"/>
        <w:spacing w:before="0" w:beforeAutospacing="0" w:after="0" w:afterAutospacing="0" w:line="259" w:lineRule="auto"/>
        <w:ind w:left="720"/>
        <w:textAlignment w:val="baseline"/>
        <w:rPr>
          <w:rFonts w:ascii="Segoe UI" w:hAnsi="Segoe UI" w:cs="Segoe UI"/>
        </w:rPr>
      </w:pPr>
      <w:r w:rsidRPr="00833213">
        <w:rPr>
          <w:rStyle w:val="normaltextrun"/>
          <w:rFonts w:ascii="Segoe UI" w:hAnsi="Segoe UI" w:cs="Segoe UI"/>
          <w:i/>
          <w:color w:val="000000"/>
          <w:shd w:val="clear" w:color="auto" w:fill="FFFFFF"/>
        </w:rPr>
        <w:t xml:space="preserve">There is a widely acknowledged market failure that exists for novel antimicrobials that makes investment in their development and commercialisation loss making. This market failure exits for several </w:t>
      </w:r>
      <w:proofErr w:type="gramStart"/>
      <w:r w:rsidRPr="00833213">
        <w:rPr>
          <w:rStyle w:val="normaltextrun"/>
          <w:rFonts w:ascii="Segoe UI" w:hAnsi="Segoe UI" w:cs="Segoe UI"/>
          <w:i/>
          <w:color w:val="000000"/>
          <w:shd w:val="clear" w:color="auto" w:fill="FFFFFF"/>
        </w:rPr>
        <w:t>reasons;</w:t>
      </w:r>
      <w:proofErr w:type="gramEnd"/>
      <w:r w:rsidRPr="00833213">
        <w:rPr>
          <w:rStyle w:val="eop"/>
          <w:rFonts w:ascii="Segoe UI" w:hAnsi="Segoe UI" w:cs="Segoe UI"/>
          <w:color w:val="000000"/>
        </w:rPr>
        <w:t> </w:t>
      </w:r>
    </w:p>
    <w:p w14:paraId="7AFAABD4" w14:textId="4706680A" w:rsidR="00833213" w:rsidRPr="00833213" w:rsidRDefault="00833213" w:rsidP="006374A4">
      <w:pPr>
        <w:pStyle w:val="paragraph"/>
        <w:spacing w:before="0" w:beforeAutospacing="0" w:after="0" w:afterAutospacing="0" w:line="259" w:lineRule="auto"/>
        <w:ind w:left="1440"/>
        <w:textAlignment w:val="baseline"/>
        <w:rPr>
          <w:rFonts w:ascii="Segoe UI" w:hAnsi="Segoe UI" w:cs="Segoe UI"/>
          <w:sz w:val="18"/>
          <w:szCs w:val="18"/>
        </w:rPr>
      </w:pPr>
      <w:r w:rsidRPr="00833213">
        <w:rPr>
          <w:rStyle w:val="scxw189558246"/>
          <w:rFonts w:ascii="Segoe UI" w:hAnsi="Segoe UI" w:cs="Segoe UI"/>
        </w:rPr>
        <w:t> </w:t>
      </w:r>
      <w:r w:rsidRPr="00833213">
        <w:rPr>
          <w:rStyle w:val="normaltextrun"/>
          <w:rFonts w:ascii="Segoe UI" w:hAnsi="Segoe UI" w:cs="Segoe UI"/>
          <w:i/>
          <w:color w:val="000000"/>
          <w:shd w:val="clear" w:color="auto" w:fill="FFFFFF"/>
        </w:rPr>
        <w:t>1. Uptake of novel antimicrobials is slow</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2. Constrained hospital budgets</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3. A lack of rapid point of care diagnostics</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4. Traditional reimbursement systems undervalue novel antimicrobials</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5. Clinical value is difficult to demonstrate</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6. High cost of product launch</w:t>
      </w:r>
      <w:r w:rsidRPr="00833213">
        <w:rPr>
          <w:rStyle w:val="scxw189558246"/>
          <w:rFonts w:ascii="Segoe UI" w:hAnsi="Segoe UI" w:cs="Segoe UI"/>
          <w:color w:val="000000"/>
        </w:rPr>
        <w:t> </w:t>
      </w:r>
      <w:r w:rsidRPr="00833213">
        <w:rPr>
          <w:rFonts w:ascii="Segoe UI" w:hAnsi="Segoe UI" w:cs="Segoe UI"/>
          <w:color w:val="000000"/>
        </w:rPr>
        <w:br/>
      </w:r>
      <w:r w:rsidRPr="00833213">
        <w:rPr>
          <w:rStyle w:val="normaltextrun"/>
          <w:rFonts w:ascii="Segoe UI" w:hAnsi="Segoe UI" w:cs="Segoe UI"/>
          <w:i/>
          <w:color w:val="000000"/>
          <w:shd w:val="clear" w:color="auto" w:fill="FFFFFF"/>
        </w:rPr>
        <w:t>7. Lack of regulatory pathways and incentives specific for antimicrobials</w:t>
      </w:r>
      <w:r w:rsidRPr="00833213">
        <w:rPr>
          <w:rStyle w:val="eop"/>
          <w:rFonts w:ascii="Segoe UI" w:hAnsi="Segoe UI" w:cs="Segoe UI"/>
          <w:color w:val="000000"/>
        </w:rPr>
        <w:t> </w:t>
      </w:r>
    </w:p>
    <w:p w14:paraId="7D9EED0E" w14:textId="77777777" w:rsidR="00833213" w:rsidRPr="00833213" w:rsidRDefault="00833213" w:rsidP="006374A4">
      <w:pPr>
        <w:pStyle w:val="paragraph"/>
        <w:spacing w:before="0" w:beforeAutospacing="0" w:after="0" w:afterAutospacing="0" w:line="259" w:lineRule="auto"/>
        <w:ind w:left="1440"/>
        <w:textAlignment w:val="baseline"/>
        <w:rPr>
          <w:rFonts w:ascii="Segoe UI" w:hAnsi="Segoe UI" w:cs="Segoe UI"/>
          <w:sz w:val="18"/>
          <w:szCs w:val="18"/>
        </w:rPr>
      </w:pPr>
      <w:r w:rsidRPr="00833213">
        <w:rPr>
          <w:rStyle w:val="eop"/>
          <w:rFonts w:ascii="Segoe UI" w:hAnsi="Segoe UI" w:cs="Segoe UI"/>
        </w:rPr>
        <w:t> </w:t>
      </w:r>
    </w:p>
    <w:p w14:paraId="54F93AD4" w14:textId="02E941E0" w:rsidR="00833213" w:rsidRPr="00833213" w:rsidRDefault="00833213" w:rsidP="006374A4">
      <w:pPr>
        <w:pStyle w:val="paragraph"/>
        <w:spacing w:before="0" w:beforeAutospacing="0" w:after="0" w:afterAutospacing="0" w:line="259" w:lineRule="auto"/>
        <w:ind w:left="720"/>
        <w:textAlignment w:val="baseline"/>
        <w:rPr>
          <w:rFonts w:ascii="Segoe UI" w:hAnsi="Segoe UI" w:cs="Segoe UI"/>
        </w:rPr>
      </w:pPr>
      <w:r w:rsidRPr="00833213">
        <w:rPr>
          <w:rStyle w:val="normaltextrun"/>
          <w:rFonts w:ascii="Segoe UI" w:hAnsi="Segoe UI" w:cs="Segoe UI"/>
          <w:i/>
          <w:color w:val="000000"/>
          <w:shd w:val="clear" w:color="auto" w:fill="FFFFFF"/>
        </w:rPr>
        <w:lastRenderedPageBreak/>
        <w:t>Australia has the additional challenge of being a small market, and this, combined with the high cost of registration here, limits the availability of new antibiotics, restricting access to the best therapies.</w:t>
      </w:r>
      <w:r w:rsidRPr="00833213">
        <w:rPr>
          <w:rStyle w:val="eop"/>
          <w:rFonts w:ascii="Segoe UI" w:hAnsi="Segoe UI" w:cs="Segoe UI"/>
          <w:color w:val="000000"/>
        </w:rPr>
        <w:t> </w:t>
      </w:r>
    </w:p>
    <w:p w14:paraId="1ED3FEAB" w14:textId="77777777" w:rsidR="00071235" w:rsidRDefault="00071235" w:rsidP="006374A4">
      <w:pPr>
        <w:pStyle w:val="paragraph"/>
        <w:spacing w:before="0" w:beforeAutospacing="0" w:after="0" w:afterAutospacing="0" w:line="259" w:lineRule="auto"/>
        <w:ind w:left="720"/>
        <w:textAlignment w:val="baseline"/>
        <w:rPr>
          <w:rStyle w:val="normaltextrun"/>
          <w:rFonts w:ascii="Segoe UI" w:hAnsi="Segoe UI" w:cs="Segoe UI"/>
          <w:i/>
          <w:color w:val="000000"/>
          <w:shd w:val="clear" w:color="auto" w:fill="FFFFFF"/>
        </w:rPr>
      </w:pPr>
    </w:p>
    <w:p w14:paraId="279A7C4B" w14:textId="7942ED9E" w:rsidR="00833213" w:rsidRDefault="00833213" w:rsidP="006374A4">
      <w:pPr>
        <w:pStyle w:val="paragraph"/>
        <w:spacing w:before="0" w:beforeAutospacing="0" w:after="240" w:afterAutospacing="0" w:line="259" w:lineRule="auto"/>
        <w:ind w:left="720"/>
        <w:textAlignment w:val="baseline"/>
        <w:rPr>
          <w:rStyle w:val="eop"/>
          <w:rFonts w:ascii="Calibri" w:hAnsi="Calibri" w:cs="Calibri"/>
          <w:color w:val="000000"/>
        </w:rPr>
      </w:pPr>
      <w:r w:rsidRPr="00833213">
        <w:rPr>
          <w:rStyle w:val="normaltextrun"/>
          <w:rFonts w:ascii="Segoe UI" w:hAnsi="Segoe UI" w:cs="Segoe UI"/>
          <w:i/>
          <w:color w:val="000000"/>
          <w:shd w:val="clear" w:color="auto" w:fill="FFFFFF"/>
        </w:rPr>
        <w:t>Current reimbursement methods, where payments are linked to sales volume, do not recognise the broader value that antimicrobials provide to society as crucial lifesaving, and health system</w:t>
      </w:r>
      <w:r w:rsidR="003E28CE">
        <w:rPr>
          <w:rStyle w:val="normaltextrun"/>
          <w:rFonts w:ascii="Segoe UI" w:hAnsi="Segoe UI" w:cs="Segoe UI"/>
          <w:i/>
          <w:color w:val="000000"/>
          <w:shd w:val="clear" w:color="auto" w:fill="FFFFFF"/>
        </w:rPr>
        <w:t>-</w:t>
      </w:r>
      <w:r w:rsidRPr="00833213">
        <w:rPr>
          <w:rStyle w:val="normaltextrun"/>
          <w:rFonts w:ascii="Segoe UI" w:hAnsi="Segoe UI" w:cs="Segoe UI"/>
          <w:i/>
          <w:color w:val="000000"/>
          <w:shd w:val="clear" w:color="auto" w:fill="FFFFFF"/>
        </w:rPr>
        <w:t>enabling medicines.</w:t>
      </w:r>
      <w:r>
        <w:rPr>
          <w:rStyle w:val="eop"/>
          <w:rFonts w:ascii="Calibri" w:hAnsi="Calibri" w:cs="Calibri"/>
          <w:color w:val="000000"/>
        </w:rPr>
        <w:t> </w:t>
      </w:r>
    </w:p>
    <w:p w14:paraId="29724160" w14:textId="6F5FC922" w:rsidR="00363BAC" w:rsidRDefault="00363BAC" w:rsidP="008043C0">
      <w:pPr>
        <w:pStyle w:val="Heading3"/>
        <w:keepNext/>
        <w:keepLines/>
        <w:rPr>
          <w:rStyle w:val="eop"/>
        </w:rPr>
      </w:pPr>
      <w:bookmarkStart w:id="201" w:name="_Toc157029108"/>
      <w:r w:rsidRPr="00363BAC">
        <w:rPr>
          <w:rStyle w:val="eop"/>
        </w:rPr>
        <w:t>Issues</w:t>
      </w:r>
      <w:bookmarkEnd w:id="201"/>
    </w:p>
    <w:p w14:paraId="0B36ABF5" w14:textId="0DE967CC" w:rsidR="005160A9" w:rsidRDefault="008443CB" w:rsidP="005160A9">
      <w:r>
        <w:t>We note</w:t>
      </w:r>
      <w:r w:rsidR="005160A9">
        <w:t xml:space="preserve"> the evidence and information </w:t>
      </w:r>
      <w:proofErr w:type="gramStart"/>
      <w:r w:rsidR="005160A9">
        <w:t>provided that</w:t>
      </w:r>
      <w:proofErr w:type="gramEnd"/>
      <w:r w:rsidR="005160A9">
        <w:t xml:space="preserve"> point to the core problem statement, being that the current general approach to the HTA evaluation and HTA Committee recommendations in respect of antimicrobial health technologies may not be sufficiently flexible to support timely access and appropriate levels of availability to address population health needs. </w:t>
      </w:r>
    </w:p>
    <w:p w14:paraId="4B6F976A" w14:textId="7FAAB687" w:rsidR="005160A9" w:rsidRDefault="00053963" w:rsidP="005160A9">
      <w:r>
        <w:t>We</w:t>
      </w:r>
      <w:r w:rsidR="005160A9">
        <w:t xml:space="preserve"> also acknowledge that, given the market failure and the broader challenges in respect of antimicrobial product availability (from initial clinical development through to eventual health system access), and the dynamic tension between economic, social and health system objectives with respect to the use and stewardship of antimicrobial products, it is likely that reform options and recommendations proposed will need to be considered in conjunction with other policy measures that are beyond the scope of this Review. </w:t>
      </w:r>
    </w:p>
    <w:p w14:paraId="01D53D1E" w14:textId="4AED193F" w:rsidR="005160A9" w:rsidRDefault="005160A9" w:rsidP="005160A9">
      <w:r>
        <w:t xml:space="preserve">Supporting this view, </w:t>
      </w:r>
      <w:r w:rsidR="00053963">
        <w:t>we acknowledge</w:t>
      </w:r>
      <w:r>
        <w:t xml:space="preserve"> that the </w:t>
      </w:r>
      <w:hyperlink r:id="rId180" w:history="1">
        <w:r w:rsidRPr="009705EE">
          <w:rPr>
            <w:rStyle w:val="Hyperlink"/>
          </w:rPr>
          <w:t>Government’s response to Recommendation 27</w:t>
        </w:r>
      </w:hyperlink>
      <w:r w:rsidR="00621E45">
        <w:t xml:space="preserve"> i</w:t>
      </w:r>
      <w:r w:rsidR="00621E45" w:rsidRPr="00621E45">
        <w:t>n The New Frontier</w:t>
      </w:r>
      <w:r>
        <w:t xml:space="preserve"> </w:t>
      </w:r>
      <w:r w:rsidR="00AC4E85">
        <w:t>r</w:t>
      </w:r>
      <w:r w:rsidR="00987EFA">
        <w:t xml:space="preserve">eport </w:t>
      </w:r>
      <w:r>
        <w:t xml:space="preserve">states: </w:t>
      </w:r>
    </w:p>
    <w:p w14:paraId="632F0627" w14:textId="18411039" w:rsidR="00363BAC" w:rsidRDefault="005160A9" w:rsidP="005160A9">
      <w:pPr>
        <w:ind w:left="720"/>
      </w:pPr>
      <w:r w:rsidRPr="005160A9">
        <w:rPr>
          <w:i/>
          <w:iCs/>
        </w:rPr>
        <w:t>the Department of Health and Aged Care has commenced work towards identifying and scoping potential funding mechanisms and economic models that could be considered in the Australian context to incentivise the discovery of novel antibiotics and bring them to market in Australia</w:t>
      </w:r>
      <w:r>
        <w:t>.</w:t>
      </w:r>
    </w:p>
    <w:p w14:paraId="5212864A" w14:textId="72C20988" w:rsidR="00A10518" w:rsidRPr="00053963" w:rsidRDefault="00A10518" w:rsidP="00A10518">
      <w:r w:rsidRPr="00053963">
        <w:t xml:space="preserve">The Reference Committee notes the high interest in ensuring appropriate diversity and volume of antimicrobial health technologies are available to both current and future Australian patients, and notes that in some cases, cost burdens associated with lodging reimbursement submissions may be a barrier to entry for smaller </w:t>
      </w:r>
      <w:r w:rsidR="009F77F5">
        <w:t>companies</w:t>
      </w:r>
      <w:r w:rsidRPr="00053963">
        <w:t xml:space="preserve"> (noting submissions received suggesting costs of up to $1 million in evaluation fees per product).</w:t>
      </w:r>
      <w:r w:rsidR="007A1B3A">
        <w:t xml:space="preserve"> </w:t>
      </w:r>
    </w:p>
    <w:p w14:paraId="2BB6AF48" w14:textId="7C32A5CB" w:rsidR="00A10518" w:rsidRDefault="00A10518" w:rsidP="00A10518">
      <w:r w:rsidRPr="00053963">
        <w:t>The Reference Committee acknowledges that the current PBAC cost recovery framework permits the granting of fee waivers and exemption for products of high public interest as defined in regulations, and where payment of fees would make a submission financially unviable for a</w:t>
      </w:r>
      <w:r w:rsidR="009C0486">
        <w:t xml:space="preserve"> potential</w:t>
      </w:r>
      <w:r w:rsidRPr="00053963">
        <w:t xml:space="preserve"> applicant.</w:t>
      </w:r>
      <w:r w:rsidR="007A1B3A">
        <w:t xml:space="preserve"> </w:t>
      </w:r>
    </w:p>
    <w:p w14:paraId="2839FD32" w14:textId="6D065843" w:rsidR="008B269E" w:rsidRPr="00CB75B5" w:rsidRDefault="008B269E" w:rsidP="008B269E">
      <w:r w:rsidRPr="00CB75B5">
        <w:lastRenderedPageBreak/>
        <w:t>The Reference Committee notes the development and testing of alternative approaches to HTA for antimicrobial health technologies in overseas jurisdictions, including modifications to PICO</w:t>
      </w:r>
      <w:r w:rsidR="0068258A">
        <w:fldChar w:fldCharType="begin"/>
      </w:r>
      <w:r w:rsidR="0068258A">
        <w:instrText xml:space="preserve"> XE "</w:instrText>
      </w:r>
      <w:r w:rsidR="0068258A" w:rsidRPr="00F75973">
        <w:rPr>
          <w:rFonts w:eastAsia="Times New Roman" w:cs="Segoe UI"/>
          <w:color w:val="222A35"/>
          <w:kern w:val="24"/>
          <w:sz w:val="20"/>
          <w:szCs w:val="20"/>
          <w:lang w:eastAsia="en-AU"/>
        </w:rPr>
        <w:instrText>PICO</w:instrText>
      </w:r>
      <w:r w:rsidR="0068258A">
        <w:instrText xml:space="preserve">" \b </w:instrText>
      </w:r>
      <w:r w:rsidR="0068258A">
        <w:fldChar w:fldCharType="end"/>
      </w:r>
      <w:r w:rsidRPr="00CB75B5">
        <w:t xml:space="preserve"> criteria definition, evidence evaluation approach and dimensions of value considered when evaluating these health technologies. Of </w:t>
      </w:r>
      <w:proofErr w:type="gramStart"/>
      <w:r w:rsidRPr="00CB75B5">
        <w:t>particular note</w:t>
      </w:r>
      <w:proofErr w:type="gramEnd"/>
      <w:r w:rsidRPr="00CB75B5">
        <w:t xml:space="preserve"> is the trend by researchers, health policy agencies and HTA agencies towards acknowledging the broader indirect population health protection implications associated with the proper use of antimicrobial health technologies, and the positive longer-term health system effects that may come with the availability of a broader suite of narrow-spectrum antimicrobial health technologies (which help in managing future AMR risk).</w:t>
      </w:r>
      <w:r w:rsidR="007A1B3A">
        <w:t xml:space="preserve"> </w:t>
      </w:r>
    </w:p>
    <w:p w14:paraId="20AEBB8A" w14:textId="0C5D4428" w:rsidR="00514483" w:rsidRDefault="008B269E" w:rsidP="008B269E">
      <w:r w:rsidRPr="00CB75B5">
        <w:t xml:space="preserve">As the </w:t>
      </w:r>
      <w:hyperlink r:id="rId181" w:history="1">
        <w:r w:rsidRPr="000128A1">
          <w:rPr>
            <w:rStyle w:val="Hyperlink"/>
          </w:rPr>
          <w:t>Government’s response</w:t>
        </w:r>
      </w:hyperlink>
      <w:r w:rsidRPr="00CB75B5">
        <w:t xml:space="preserve"> to </w:t>
      </w:r>
      <w:r w:rsidR="001A0952">
        <w:t>the</w:t>
      </w:r>
      <w:r w:rsidRPr="00CB75B5">
        <w:t xml:space="preserve"> </w:t>
      </w:r>
      <w:hyperlink r:id="rId182" w:history="1">
        <w:r w:rsidR="001A0952">
          <w:rPr>
            <w:rStyle w:val="Hyperlink"/>
            <w:iCs/>
          </w:rPr>
          <w:t>New Frontier report</w:t>
        </w:r>
      </w:hyperlink>
      <w:r w:rsidR="00A4767F" w:rsidRPr="00CB75B5">
        <w:t xml:space="preserve"> </w:t>
      </w:r>
      <w:r w:rsidRPr="00CB75B5">
        <w:t>states that the Department has commenced work towards identifying and scoping potential funding mechanisms and economic models to incentivise market availability of antimicrobial products in Australia</w:t>
      </w:r>
      <w:r w:rsidRPr="00CB75B5">
        <w:rPr>
          <w:vertAlign w:val="superscript"/>
        </w:rPr>
        <w:t>4</w:t>
      </w:r>
      <w:r w:rsidRPr="00CB75B5">
        <w:t xml:space="preserve">, </w:t>
      </w:r>
    </w:p>
    <w:p w14:paraId="02713D25" w14:textId="77777777" w:rsidR="003E6825" w:rsidRPr="00CB75B5" w:rsidRDefault="003E6825" w:rsidP="003E6825">
      <w:r w:rsidRPr="00CB75B5">
        <w:t>Similarly, the Reference Committee also acknowledges alternative payment and reimbursement reforms being tested internationally, and notes the keen interest expressed by some stakeholders in delinking price and volume for antimicrobial products given the balancing public health policy approach to product stewardship to address AMR in the long term. </w:t>
      </w:r>
    </w:p>
    <w:p w14:paraId="7922DB39" w14:textId="05FC2C0F" w:rsidR="00276954" w:rsidRDefault="003E6825" w:rsidP="0017607D">
      <w:r w:rsidRPr="00CB75B5">
        <w:t>The Reference Committee considers that, given the different AMR patterns in local health contexts, any options in respect of alternative payment and reimbursement reforms for antimicrobial products will need to be relevant to the Australian health system context (including current Commonwealth and jurisdictional funding structures for health technologies), while also being broadly consistent with global strategies providing incentives to bring antimicrobial products to market. </w:t>
      </w:r>
    </w:p>
    <w:p w14:paraId="1A45D0E8" w14:textId="2BDE2328" w:rsidR="000035CB" w:rsidRDefault="00D205C6" w:rsidP="006732A5">
      <w:pPr>
        <w:pStyle w:val="Heading3"/>
      </w:pPr>
      <w:bookmarkStart w:id="202" w:name="_Toc157029109"/>
      <w:r>
        <w:t>Options</w:t>
      </w:r>
      <w:bookmarkEnd w:id="202"/>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5461F6" w14:paraId="167B1E75" w14:textId="77777777" w:rsidTr="00173750">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2B843F0" w14:textId="1FD514A0" w:rsidR="005461F6" w:rsidRDefault="000A2856" w:rsidP="008C10BB">
            <w:pPr>
              <w:spacing w:after="120" w:line="259" w:lineRule="auto"/>
              <w:rPr>
                <w:rFonts w:eastAsia="Times New Roman" w:cs="Segoe UI"/>
                <w:b/>
                <w:bCs/>
                <w:lang w:eastAsia="en-AU"/>
              </w:rPr>
            </w:pPr>
            <w:r w:rsidRPr="000A2856">
              <w:rPr>
                <w:rFonts w:eastAsia="Times New Roman" w:cs="Segoe UI"/>
                <w:b/>
                <w:bCs/>
                <w:lang w:eastAsia="en-AU"/>
              </w:rPr>
              <w:t xml:space="preserve">HTA Fee exemptions for products that address </w:t>
            </w:r>
            <w:proofErr w:type="gramStart"/>
            <w:r w:rsidRPr="000A2856">
              <w:rPr>
                <w:rFonts w:eastAsia="Times New Roman" w:cs="Segoe UI"/>
                <w:b/>
                <w:bCs/>
                <w:lang w:eastAsia="en-AU"/>
              </w:rPr>
              <w:t>AMR</w:t>
            </w:r>
            <w:proofErr w:type="gramEnd"/>
            <w:r w:rsidR="005461F6" w:rsidRPr="00C737B2">
              <w:rPr>
                <w:rFonts w:eastAsia="Times New Roman" w:cs="Segoe UI"/>
                <w:b/>
                <w:bCs/>
                <w:lang w:eastAsia="en-AU"/>
              </w:rPr>
              <w:t xml:space="preserve"> </w:t>
            </w:r>
          </w:p>
          <w:p w14:paraId="00F6C89F" w14:textId="768ACB10" w:rsidR="005461F6" w:rsidRPr="00837CDF" w:rsidRDefault="000A2856" w:rsidP="008C10BB">
            <w:pPr>
              <w:spacing w:after="120" w:line="259" w:lineRule="auto"/>
              <w:rPr>
                <w:rFonts w:eastAsia="Times New Roman" w:cs="Segoe UI"/>
                <w:lang w:eastAsia="en-AU"/>
              </w:rPr>
            </w:pPr>
            <w:r w:rsidRPr="000A2856">
              <w:rPr>
                <w:rFonts w:eastAsia="Times New Roman" w:cs="Segoe UI"/>
                <w:lang w:eastAsia="en-AU"/>
              </w:rPr>
              <w:t>Explicitly include antimicrobial health technologies that address the public health risks associated with organisms on the WHO bacterial/fungal priority pathogen lists as HTA fee exempt in regulations would be appropriate as part of a broader set of incentives and reforms.</w:t>
            </w:r>
          </w:p>
        </w:tc>
      </w:tr>
    </w:tbl>
    <w:p w14:paraId="6072CCC7" w14:textId="77777777" w:rsidR="005461F6" w:rsidRDefault="005461F6" w:rsidP="008C10BB">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0A2856" w14:paraId="51FCDA2D" w14:textId="77777777" w:rsidTr="00173750">
        <w:trPr>
          <w:trHeight w:val="738"/>
        </w:trPr>
        <w:tc>
          <w:tcPr>
            <w:tcW w:w="9367" w:type="dxa"/>
            <w:tcBorders>
              <w:top w:val="single" w:sz="18" w:space="0" w:color="ACC02A" w:themeColor="accent5"/>
              <w:left w:val="nil"/>
              <w:bottom w:val="nil"/>
              <w:right w:val="nil"/>
            </w:tcBorders>
            <w:shd w:val="clear" w:color="auto" w:fill="F2F2F2" w:themeFill="background1" w:themeFillShade="F2"/>
          </w:tcPr>
          <w:p w14:paraId="4475ED7F" w14:textId="4DAA8EEE" w:rsidR="000A2856" w:rsidRDefault="000A2856" w:rsidP="008C10BB">
            <w:pPr>
              <w:spacing w:after="120" w:line="259" w:lineRule="auto"/>
              <w:rPr>
                <w:rFonts w:eastAsia="Times New Roman" w:cs="Segoe UI"/>
                <w:b/>
                <w:bCs/>
                <w:lang w:eastAsia="en-AU"/>
              </w:rPr>
            </w:pPr>
            <w:r w:rsidRPr="000A2856">
              <w:rPr>
                <w:rFonts w:eastAsia="Times New Roman" w:cs="Segoe UI"/>
                <w:b/>
                <w:bCs/>
                <w:lang w:eastAsia="en-AU"/>
              </w:rPr>
              <w:t xml:space="preserve">HTA Policy and Guidance changes for products that address </w:t>
            </w:r>
            <w:proofErr w:type="gramStart"/>
            <w:r w:rsidRPr="000A2856">
              <w:rPr>
                <w:rFonts w:eastAsia="Times New Roman" w:cs="Segoe UI"/>
                <w:b/>
                <w:bCs/>
                <w:lang w:eastAsia="en-AU"/>
              </w:rPr>
              <w:t>AMR</w:t>
            </w:r>
            <w:proofErr w:type="gramEnd"/>
            <w:r w:rsidRPr="000A2856">
              <w:rPr>
                <w:rFonts w:eastAsia="Times New Roman" w:cs="Segoe UI"/>
                <w:b/>
                <w:bCs/>
                <w:lang w:eastAsia="en-AU"/>
              </w:rPr>
              <w:t xml:space="preserve"> </w:t>
            </w:r>
          </w:p>
          <w:p w14:paraId="5DAF90DB" w14:textId="77777777" w:rsidR="004727F5" w:rsidRPr="004727F5" w:rsidRDefault="004727F5" w:rsidP="004727F5">
            <w:pPr>
              <w:spacing w:after="120"/>
              <w:rPr>
                <w:rFonts w:eastAsia="Times New Roman" w:cs="Segoe UI"/>
                <w:lang w:eastAsia="en-AU"/>
              </w:rPr>
            </w:pPr>
            <w:r w:rsidRPr="004727F5">
              <w:rPr>
                <w:rFonts w:eastAsia="Times New Roman" w:cs="Segoe UI"/>
                <w:lang w:eastAsia="en-AU"/>
              </w:rPr>
              <w:t xml:space="preserve">The Department of Health and Aged Care has commenced work towards identifying and scoping potential funding mechanisms and economic models to incentivise market availability of antimicrobial products in Australia, the Reference Committee </w:t>
            </w:r>
          </w:p>
          <w:p w14:paraId="3354FC4D" w14:textId="77777777" w:rsidR="004727F5" w:rsidRPr="004727F5" w:rsidRDefault="004727F5" w:rsidP="004727F5">
            <w:pPr>
              <w:spacing w:after="120"/>
              <w:rPr>
                <w:rFonts w:eastAsia="Times New Roman" w:cs="Segoe UI"/>
                <w:lang w:eastAsia="en-AU"/>
              </w:rPr>
            </w:pPr>
            <w:r w:rsidRPr="004727F5">
              <w:rPr>
                <w:rFonts w:eastAsia="Times New Roman" w:cs="Segoe UI"/>
                <w:lang w:eastAsia="en-AU"/>
              </w:rPr>
              <w:lastRenderedPageBreak/>
              <w:t>Use this work program to examine how targeted changes to HTA policy and methods regarding PICO</w:t>
            </w:r>
            <w:r w:rsidRPr="004727F5">
              <w:rPr>
                <w:rFonts w:eastAsia="Times New Roman" w:cs="Segoe UI"/>
                <w:lang w:eastAsia="en-AU"/>
              </w:rPr>
              <w:fldChar w:fldCharType="begin"/>
            </w:r>
            <w:r w:rsidRPr="004727F5">
              <w:rPr>
                <w:rFonts w:eastAsia="Times New Roman" w:cs="Segoe UI"/>
                <w:lang w:eastAsia="en-AU"/>
              </w:rPr>
              <w:instrText xml:space="preserve"> XE "PICO" \b </w:instrText>
            </w:r>
            <w:r w:rsidRPr="004727F5">
              <w:rPr>
                <w:rFonts w:eastAsia="Times New Roman" w:cs="Segoe UI"/>
                <w:lang w:eastAsia="en-AU"/>
              </w:rPr>
              <w:fldChar w:fldCharType="end"/>
            </w:r>
            <w:r w:rsidRPr="004727F5">
              <w:rPr>
                <w:rFonts w:eastAsia="Times New Roman" w:cs="Segoe UI"/>
                <w:lang w:eastAsia="en-AU"/>
              </w:rPr>
              <w:t xml:space="preserve"> definitions, evaluation of clinical evidence and dimensions of value for antimicrobial products (e.g. by drawing on the experience of the National Institute for Health and Care Excellence (NICE)/National Health Service (NHS) pilot and the application of the “Spectrum, Transmission, Enablement, Diversity, Insurance Value (STEDI)” value framework</w:t>
            </w:r>
            <w:r w:rsidRPr="004727F5">
              <w:rPr>
                <w:rFonts w:eastAsia="Times New Roman" w:cs="Segoe UI"/>
                <w:lang w:eastAsia="en-AU"/>
              </w:rPr>
              <w:fldChar w:fldCharType="begin"/>
            </w:r>
            <w:r w:rsidRPr="004727F5">
              <w:rPr>
                <w:rFonts w:eastAsia="Times New Roman" w:cs="Segoe UI"/>
                <w:lang w:eastAsia="en-AU"/>
              </w:rPr>
              <w:instrText xml:space="preserve"> XE "value framework" \b </w:instrText>
            </w:r>
            <w:r w:rsidRPr="004727F5">
              <w:rPr>
                <w:rFonts w:eastAsia="Times New Roman" w:cs="Segoe UI"/>
                <w:lang w:eastAsia="en-AU"/>
              </w:rPr>
              <w:fldChar w:fldCharType="end"/>
            </w:r>
            <w:r w:rsidRPr="004727F5">
              <w:rPr>
                <w:rFonts w:eastAsia="Times New Roman" w:cs="Segoe UI"/>
                <w:lang w:eastAsia="en-AU"/>
              </w:rPr>
              <w:t xml:space="preserve">) could be applied in practice, given the public health significance and implications of AMR. </w:t>
            </w:r>
          </w:p>
          <w:p w14:paraId="7B24E89D" w14:textId="36DCE553" w:rsidR="000A2856" w:rsidRPr="00837CDF" w:rsidRDefault="000A2856" w:rsidP="008C10BB">
            <w:pPr>
              <w:spacing w:after="120" w:line="259" w:lineRule="auto"/>
              <w:rPr>
                <w:rFonts w:eastAsia="Times New Roman" w:cs="Segoe UI"/>
                <w:lang w:eastAsia="en-AU"/>
              </w:rPr>
            </w:pPr>
            <w:r w:rsidRPr="000A2856">
              <w:rPr>
                <w:rFonts w:eastAsia="Times New Roman" w:cs="Segoe UI"/>
                <w:lang w:eastAsia="en-AU"/>
              </w:rPr>
              <w:t>Workshop variations to the standard HTA evaluation approach for health technologies that should be evaluated further as part of a prospective work program.</w:t>
            </w:r>
          </w:p>
        </w:tc>
      </w:tr>
    </w:tbl>
    <w:p w14:paraId="00F0C5BE" w14:textId="77777777" w:rsidR="000A2856" w:rsidRDefault="000A2856" w:rsidP="008C10BB">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0A2856" w14:paraId="45663283" w14:textId="77777777">
        <w:trPr>
          <w:trHeight w:val="738"/>
        </w:trPr>
        <w:tc>
          <w:tcPr>
            <w:tcW w:w="9367" w:type="dxa"/>
            <w:tcBorders>
              <w:top w:val="single" w:sz="18" w:space="0" w:color="ACC02A" w:themeColor="accent5"/>
              <w:left w:val="nil"/>
              <w:bottom w:val="nil"/>
              <w:right w:val="nil"/>
            </w:tcBorders>
            <w:shd w:val="clear" w:color="auto" w:fill="F2F2F2" w:themeFill="background1" w:themeFillShade="F2"/>
          </w:tcPr>
          <w:p w14:paraId="6EA405C6" w14:textId="18BA8513" w:rsidR="000A2856" w:rsidRDefault="000A2856" w:rsidP="008C10BB">
            <w:pPr>
              <w:spacing w:after="120" w:line="259" w:lineRule="auto"/>
              <w:rPr>
                <w:rFonts w:eastAsia="Times New Roman" w:cs="Segoe UI"/>
                <w:b/>
                <w:bCs/>
                <w:lang w:eastAsia="en-AU"/>
              </w:rPr>
            </w:pPr>
            <w:r w:rsidRPr="000A2856">
              <w:rPr>
                <w:rFonts w:eastAsia="Times New Roman" w:cs="Segoe UI"/>
                <w:b/>
                <w:bCs/>
                <w:lang w:eastAsia="en-AU"/>
              </w:rPr>
              <w:t>Funding and reimbursement-related changes to support availability of antimicrobials (possible pull incentives)</w:t>
            </w:r>
            <w:r w:rsidRPr="00C737B2">
              <w:rPr>
                <w:rFonts w:eastAsia="Times New Roman" w:cs="Segoe UI"/>
                <w:b/>
                <w:bCs/>
                <w:lang w:eastAsia="en-AU"/>
              </w:rPr>
              <w:t xml:space="preserve"> </w:t>
            </w:r>
          </w:p>
          <w:p w14:paraId="4E4EF051" w14:textId="24EBB6CD" w:rsidR="000A2856" w:rsidRPr="00837CDF" w:rsidRDefault="000A2856" w:rsidP="008C10BB">
            <w:pPr>
              <w:spacing w:after="120" w:line="259" w:lineRule="auto"/>
              <w:rPr>
                <w:rFonts w:eastAsia="Times New Roman" w:cs="Segoe UI"/>
                <w:lang w:eastAsia="en-AU"/>
              </w:rPr>
            </w:pPr>
            <w:r w:rsidRPr="000A2856">
              <w:rPr>
                <w:rFonts w:eastAsia="Times New Roman" w:cs="Segoe UI"/>
                <w:lang w:eastAsia="en-AU"/>
              </w:rPr>
              <w:t>Workshop a possible option that recommends the Government examine and test multiple payment and incentive models (including, but not limited to full and partial price/volume delinking, advance market commitments, guarantee-of-supply provisions) as part of designing a flexible reimbursement policy in respect of antimicrobial products purchasing.</w:t>
            </w:r>
          </w:p>
        </w:tc>
      </w:tr>
    </w:tbl>
    <w:p w14:paraId="28F8DE8D" w14:textId="3C6F50E1" w:rsidR="00E71320" w:rsidRDefault="00B9764C" w:rsidP="002B7524">
      <w:pPr>
        <w:pStyle w:val="Heading2"/>
        <w:tabs>
          <w:tab w:val="num" w:pos="709"/>
        </w:tabs>
        <w:spacing w:line="259" w:lineRule="auto"/>
      </w:pPr>
      <w:bookmarkStart w:id="203" w:name="_Toc157029110"/>
      <w:bookmarkStart w:id="204" w:name="_Toc157029498"/>
      <w:bookmarkStart w:id="205" w:name="_Toc157030190"/>
      <w:r>
        <w:t xml:space="preserve">Understanding </w:t>
      </w:r>
      <w:r w:rsidR="003D4439">
        <w:t xml:space="preserve">the performance of </w:t>
      </w:r>
      <w:r w:rsidR="005A7004">
        <w:t xml:space="preserve">health technologies in the Australian </w:t>
      </w:r>
      <w:r w:rsidR="00966752">
        <w:t>setting</w:t>
      </w:r>
      <w:bookmarkEnd w:id="203"/>
      <w:bookmarkEnd w:id="204"/>
      <w:bookmarkEnd w:id="205"/>
    </w:p>
    <w:p w14:paraId="0DFB0D00" w14:textId="576E03D3" w:rsidR="004E66DD" w:rsidRPr="00B669CE" w:rsidRDefault="00B669CE" w:rsidP="00B669CE">
      <w:pPr>
        <w:ind w:left="284"/>
      </w:pPr>
      <w:r>
        <w:rPr>
          <w:noProof/>
        </w:rPr>
        <mc:AlternateContent>
          <mc:Choice Requires="wps">
            <w:drawing>
              <wp:anchor distT="0" distB="0" distL="114300" distR="114300" simplePos="0" relativeHeight="251683328" behindDoc="0" locked="0" layoutInCell="1" allowOverlap="1" wp14:anchorId="196B3C9A" wp14:editId="24DCD7B2">
                <wp:simplePos x="0" y="0"/>
                <wp:positionH relativeFrom="column">
                  <wp:posOffset>0</wp:posOffset>
                </wp:positionH>
                <wp:positionV relativeFrom="paragraph">
                  <wp:posOffset>1451</wp:posOffset>
                </wp:positionV>
                <wp:extent cx="0" cy="427512"/>
                <wp:effectExtent l="19050" t="0" r="19050" b="29845"/>
                <wp:wrapNone/>
                <wp:docPr id="7" name="Straight Connector 7"/>
                <wp:cNvGraphicFramePr/>
                <a:graphic xmlns:a="http://schemas.openxmlformats.org/drawingml/2006/main">
                  <a:graphicData uri="http://schemas.microsoft.com/office/word/2010/wordprocessingShape">
                    <wps:wsp>
                      <wps:cNvCnPr/>
                      <wps:spPr>
                        <a:xfrm>
                          <a:off x="0" y="0"/>
                          <a:ext cx="0" cy="427512"/>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121FF7C1" id="Straight Connector 7"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0,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" strokecolor="#1d437f [3204]" strokeweight="2.25pt">
                <v:stroke joinstyle="miter"/>
              </v:line>
            </w:pict>
          </mc:Fallback>
        </mc:AlternateContent>
      </w:r>
      <w:r>
        <w:t>T</w:t>
      </w:r>
      <w:r w:rsidR="00E456D7" w:rsidRPr="009D14F6">
        <w:t xml:space="preserve">his section should be read in conjunction with </w:t>
      </w:r>
      <w:hyperlink r:id="rId183" w:history="1">
        <w:r w:rsidR="004E66DD" w:rsidRPr="00670052">
          <w:rPr>
            <w:rStyle w:val="Hyperlink"/>
          </w:rPr>
          <w:t>Optimised real world evidence to support health technology assessment in Australia (paper 7).</w:t>
        </w:r>
      </w:hyperlink>
    </w:p>
    <w:p w14:paraId="7BCBF228" w14:textId="499706AF" w:rsidR="00156F43" w:rsidRPr="004D4600" w:rsidRDefault="00156F43" w:rsidP="004D4600">
      <w:pPr>
        <w:pStyle w:val="Heading3"/>
      </w:pPr>
      <w:bookmarkStart w:id="206" w:name="_Toc157029111"/>
      <w:r w:rsidRPr="004D4600">
        <w:t>Current state</w:t>
      </w:r>
      <w:bookmarkEnd w:id="206"/>
    </w:p>
    <w:p w14:paraId="4053AAAC" w14:textId="497D6EF6" w:rsidR="007F26A8" w:rsidRDefault="00F33383" w:rsidP="004D4600">
      <w:r>
        <w:t>Where a decision is taken to resolve</w:t>
      </w:r>
      <w:r w:rsidR="006B1DE1">
        <w:t xml:space="preserve"> uncertainty about </w:t>
      </w:r>
      <w:r w:rsidR="008276C1">
        <w:t xml:space="preserve">the clinical and cost-effectiveness of </w:t>
      </w:r>
      <w:r w:rsidR="0021567E">
        <w:t>health technologies</w:t>
      </w:r>
      <w:r>
        <w:t xml:space="preserve"> after they are funded</w:t>
      </w:r>
      <w:r w:rsidR="004A6FE7">
        <w:t xml:space="preserve">, </w:t>
      </w:r>
      <w:r w:rsidR="00C7544F">
        <w:t>information on the health outcomes of patients receiving the health technology</w:t>
      </w:r>
      <w:r w:rsidR="004A6FE7">
        <w:t xml:space="preserve"> needs to be collected</w:t>
      </w:r>
      <w:r w:rsidR="00C7544F">
        <w:t xml:space="preserve">. </w:t>
      </w:r>
      <w:r w:rsidR="003B0203">
        <w:t>As identified in previous sections,</w:t>
      </w:r>
      <w:r w:rsidR="0006652F">
        <w:t xml:space="preserve"> to date </w:t>
      </w:r>
      <w:r w:rsidR="00C7673E">
        <w:t xml:space="preserve">there </w:t>
      </w:r>
      <w:r w:rsidR="0006652F">
        <w:t>have</w:t>
      </w:r>
      <w:r w:rsidR="00C7673E">
        <w:t xml:space="preserve"> only</w:t>
      </w:r>
      <w:r w:rsidR="0006652F">
        <w:t xml:space="preserve"> been</w:t>
      </w:r>
      <w:r w:rsidR="00C7673E">
        <w:t xml:space="preserve"> a small number of examples where this has occurred</w:t>
      </w:r>
      <w:r w:rsidR="004E25F4">
        <w:t xml:space="preserve"> in Australia</w:t>
      </w:r>
      <w:r w:rsidR="0006652F">
        <w:t xml:space="preserve">. </w:t>
      </w:r>
    </w:p>
    <w:p w14:paraId="5A15EBF4" w14:textId="2CC94473" w:rsidR="00156F43" w:rsidRDefault="00156F43" w:rsidP="004D4600">
      <w:r w:rsidRPr="004D4600">
        <w:t>Decision-making across the health technology pipeline is iterative. At each point</w:t>
      </w:r>
      <w:r w:rsidR="001A5307">
        <w:t>,</w:t>
      </w:r>
      <w:r w:rsidRPr="004D4600">
        <w:t xml:space="preserve"> decision-makers must assess whether the existing evidence addresses their uncertainties, fully or partially. Where significant uncertainty exists, new evidence must be generated; every time new information is generated, evidence gaps are narrowed or closed and/or new questions arise.</w:t>
      </w:r>
      <w:r>
        <w:t xml:space="preserve"> </w:t>
      </w:r>
    </w:p>
    <w:p w14:paraId="1609E08F" w14:textId="58ACF018" w:rsidR="00156F43" w:rsidRDefault="00156F43" w:rsidP="00156F43">
      <w:pPr>
        <w:spacing w:after="200"/>
      </w:pPr>
      <w:r>
        <w:t>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t xml:space="preserve">, generated through the analysis of RWD, plays an important role in supporting the evidentiary needs of decision-makers </w:t>
      </w:r>
      <w:r>
        <w:lastRenderedPageBreak/>
        <w:t xml:space="preserve">across the health technology pipeline, including for market authorisation and subsidy approvals, as part of HTA. </w:t>
      </w:r>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26"/>
      </w:tblGrid>
      <w:tr w:rsidR="008103B6" w14:paraId="2F98AF9F" w14:textId="77777777" w:rsidTr="004C105D">
        <w:tc>
          <w:tcPr>
            <w:tcW w:w="9026" w:type="dxa"/>
            <w:tcBorders>
              <w:top w:val="single" w:sz="2" w:space="0" w:color="00B4D0" w:themeColor="accent6"/>
              <w:left w:val="nil"/>
              <w:bottom w:val="single" w:sz="2" w:space="0" w:color="00B4D0" w:themeColor="accent6"/>
              <w:right w:val="nil"/>
            </w:tcBorders>
            <w:shd w:val="clear" w:color="auto" w:fill="F2F2F2" w:themeFill="background1" w:themeFillShade="F2"/>
          </w:tcPr>
          <w:p w14:paraId="588DCCCC" w14:textId="77777777" w:rsidR="008103B6" w:rsidRPr="00520B3D" w:rsidRDefault="008103B6" w:rsidP="004C105D">
            <w:pPr>
              <w:spacing w:after="160" w:line="259" w:lineRule="auto"/>
              <w:ind w:left="284"/>
              <w:rPr>
                <w:rFonts w:eastAsia="Arial" w:cs="Arial"/>
              </w:rPr>
            </w:pPr>
            <w:r w:rsidRPr="0029747A">
              <w:rPr>
                <w:rFonts w:eastAsia="Arial" w:cs="Arial"/>
                <w:b/>
                <w:i/>
              </w:rPr>
              <w:t>A note on terminology…</w:t>
            </w:r>
          </w:p>
          <w:p w14:paraId="1E0F7348" w14:textId="23E132EA" w:rsidR="008103B6" w:rsidRDefault="008103B6" w:rsidP="004C105D">
            <w:pPr>
              <w:spacing w:after="160" w:line="259" w:lineRule="auto"/>
              <w:ind w:left="284" w:right="278"/>
              <w:jc w:val="both"/>
            </w:pPr>
            <w:r w:rsidRPr="00C641CC">
              <w:t xml:space="preserve">RWD is defined by the </w:t>
            </w:r>
            <w:r w:rsidRPr="00C641CC">
              <w:rPr>
                <w:color w:val="000000" w:themeColor="text1"/>
              </w:rPr>
              <w:t>International Network of Agencies for H</w:t>
            </w:r>
            <w:r w:rsidRPr="1F5A951D">
              <w:rPr>
                <w:color w:val="000000" w:themeColor="text1"/>
              </w:rPr>
              <w:t>TA</w:t>
            </w:r>
            <w:r w:rsidRPr="00C641CC">
              <w:rPr>
                <w:color w:val="000000" w:themeColor="text1"/>
              </w:rPr>
              <w:t xml:space="preserve"> </w:t>
            </w:r>
            <w:r w:rsidRPr="00C641CC">
              <w:t>as data collected during the routine delivery of healthcare, outside of clinical trial conditions. Other agencies and groups have more expansive definitions that also include data collected routinely across all aspects of health and social care, through disease and health technology</w:t>
            </w:r>
            <w:r>
              <w:t>-</w:t>
            </w:r>
            <w:r w:rsidRPr="00C641CC">
              <w:t>specific registries</w:t>
            </w:r>
            <w:r>
              <w:fldChar w:fldCharType="begin"/>
            </w:r>
            <w:r>
              <w:instrText xml:space="preserve"> XE "</w:instrText>
            </w:r>
            <w:r w:rsidRPr="008675E1">
              <w:instrText>registries</w:instrText>
            </w:r>
            <w:r>
              <w:instrText xml:space="preserve">" \b </w:instrText>
            </w:r>
            <w:r>
              <w:fldChar w:fldCharType="end"/>
            </w:r>
            <w:r w:rsidRPr="00C641CC">
              <w:t xml:space="preserve"> and directly from patients through digital platforms</w:t>
            </w:r>
            <w:r w:rsidR="00513991" w:rsidRPr="00C641CC">
              <w:t>.</w:t>
            </w:r>
          </w:p>
          <w:p w14:paraId="10C22308" w14:textId="77777777" w:rsidR="008103B6" w:rsidRDefault="008103B6" w:rsidP="004C105D">
            <w:pPr>
              <w:spacing w:after="160" w:line="259" w:lineRule="auto"/>
              <w:ind w:left="284" w:right="278"/>
              <w:jc w:val="both"/>
            </w:pPr>
            <w:r>
              <w:t xml:space="preserve">Key sources of RWD in Australia which may be used to inform HTA include: </w:t>
            </w:r>
          </w:p>
          <w:p w14:paraId="02C693CC" w14:textId="77777777" w:rsidR="008103B6" w:rsidRDefault="008103B6" w:rsidP="008C10BB">
            <w:pPr>
              <w:pStyle w:val="ListParagraph"/>
              <w:numPr>
                <w:ilvl w:val="0"/>
                <w:numId w:val="18"/>
              </w:numPr>
              <w:spacing w:line="259" w:lineRule="auto"/>
            </w:pPr>
            <w:r>
              <w:t>administrative data</w:t>
            </w:r>
          </w:p>
          <w:p w14:paraId="17209AD4" w14:textId="77777777" w:rsidR="008103B6" w:rsidRDefault="008103B6" w:rsidP="008C10BB">
            <w:pPr>
              <w:pStyle w:val="ListParagraph"/>
              <w:numPr>
                <w:ilvl w:val="0"/>
                <w:numId w:val="18"/>
              </w:numPr>
              <w:spacing w:line="259" w:lineRule="auto"/>
            </w:pPr>
            <w:r>
              <w:t>clinical data – electronic health records</w:t>
            </w:r>
          </w:p>
          <w:p w14:paraId="58E086D1" w14:textId="77777777" w:rsidR="008103B6" w:rsidRDefault="008103B6" w:rsidP="008C10BB">
            <w:pPr>
              <w:pStyle w:val="ListParagraph"/>
              <w:numPr>
                <w:ilvl w:val="0"/>
                <w:numId w:val="18"/>
              </w:numPr>
              <w:spacing w:line="259" w:lineRule="auto"/>
            </w:pPr>
            <w:r>
              <w:t>registries</w:t>
            </w:r>
            <w:r>
              <w:fldChar w:fldCharType="begin"/>
            </w:r>
            <w:r>
              <w:instrText xml:space="preserve"> XE "</w:instrText>
            </w:r>
            <w:r w:rsidRPr="008675E1">
              <w:instrText>registries</w:instrText>
            </w:r>
            <w:r>
              <w:instrText xml:space="preserve">" \b </w:instrText>
            </w:r>
            <w:r>
              <w:fldChar w:fldCharType="end"/>
            </w:r>
            <w:r>
              <w:t xml:space="preserve"> (clinical and disease registries)</w:t>
            </w:r>
          </w:p>
          <w:p w14:paraId="38A0DB90" w14:textId="77777777" w:rsidR="008103B6" w:rsidRDefault="008103B6" w:rsidP="008C10BB">
            <w:pPr>
              <w:pStyle w:val="ListParagraph"/>
              <w:numPr>
                <w:ilvl w:val="0"/>
                <w:numId w:val="18"/>
              </w:numPr>
              <w:spacing w:line="259" w:lineRule="auto"/>
            </w:pPr>
            <w:r>
              <w:t>surveys</w:t>
            </w:r>
          </w:p>
          <w:p w14:paraId="0E1402C6" w14:textId="77777777" w:rsidR="008103B6" w:rsidRDefault="008103B6" w:rsidP="008C10BB">
            <w:pPr>
              <w:pStyle w:val="ListParagraph"/>
              <w:numPr>
                <w:ilvl w:val="0"/>
                <w:numId w:val="18"/>
              </w:numPr>
              <w:spacing w:line="259" w:lineRule="auto"/>
            </w:pPr>
            <w:r>
              <w:t>molecular / diagnostic data</w:t>
            </w:r>
          </w:p>
          <w:p w14:paraId="30BB2924" w14:textId="77777777" w:rsidR="008103B6" w:rsidRDefault="008103B6" w:rsidP="008C10BB">
            <w:pPr>
              <w:pStyle w:val="ListParagraph"/>
              <w:numPr>
                <w:ilvl w:val="0"/>
                <w:numId w:val="18"/>
              </w:numPr>
              <w:spacing w:line="259" w:lineRule="auto"/>
            </w:pPr>
            <w:r>
              <w:t xml:space="preserve">mobile data collected by a </w:t>
            </w:r>
            <w:r w:rsidRPr="00801B9E">
              <w:t xml:space="preserve">third party outside of formal healthcare </w:t>
            </w:r>
            <w:proofErr w:type="gramStart"/>
            <w:r w:rsidRPr="00801B9E">
              <w:t>delivery</w:t>
            </w:r>
            <w:proofErr w:type="gramEnd"/>
          </w:p>
          <w:p w14:paraId="1726214C" w14:textId="77777777" w:rsidR="008103B6" w:rsidRDefault="008103B6" w:rsidP="008C10BB">
            <w:pPr>
              <w:pStyle w:val="ListParagraph"/>
              <w:numPr>
                <w:ilvl w:val="0"/>
                <w:numId w:val="18"/>
              </w:numPr>
              <w:spacing w:line="259" w:lineRule="auto"/>
            </w:pPr>
            <w:r>
              <w:t>case reports</w:t>
            </w:r>
          </w:p>
          <w:p w14:paraId="2CD82492" w14:textId="77777777" w:rsidR="008103B6" w:rsidRDefault="008103B6" w:rsidP="008C10BB">
            <w:pPr>
              <w:pStyle w:val="ListParagraph"/>
              <w:numPr>
                <w:ilvl w:val="0"/>
                <w:numId w:val="18"/>
              </w:numPr>
              <w:spacing w:line="259" w:lineRule="auto"/>
            </w:pPr>
            <w:r>
              <w:t xml:space="preserve">social media. </w:t>
            </w:r>
          </w:p>
          <w:p w14:paraId="7AFFC536" w14:textId="77777777" w:rsidR="008103B6" w:rsidRDefault="008103B6" w:rsidP="008C10BB">
            <w:pPr>
              <w:spacing w:line="259" w:lineRule="auto"/>
              <w:ind w:left="360"/>
            </w:pPr>
          </w:p>
          <w:p w14:paraId="31F56E64" w14:textId="413D9018" w:rsidR="008103B6" w:rsidRDefault="008103B6" w:rsidP="004C105D">
            <w:pPr>
              <w:spacing w:after="160" w:line="259" w:lineRule="auto"/>
              <w:ind w:left="284" w:right="278"/>
              <w:jc w:val="both"/>
              <w:rPr>
                <w:rFonts w:eastAsia="Arial" w:cs="Arial"/>
              </w:rPr>
            </w:pPr>
            <w:r>
              <w:t xml:space="preserve">RWE </w:t>
            </w:r>
            <w:r w:rsidRPr="00556A10">
              <w:t xml:space="preserve">is </w:t>
            </w:r>
            <w:r>
              <w:t xml:space="preserve">the </w:t>
            </w:r>
            <w:r w:rsidRPr="00556A10">
              <w:t xml:space="preserve">clinical </w:t>
            </w:r>
            <w:r>
              <w:t xml:space="preserve">evidence </w:t>
            </w:r>
            <w:r w:rsidRPr="00556A10">
              <w:t>regarding the usage and potential benefits or risks</w:t>
            </w:r>
            <w:r>
              <w:t xml:space="preserve"> of </w:t>
            </w:r>
            <w:r w:rsidRPr="00556A10">
              <w:t xml:space="preserve">a </w:t>
            </w:r>
            <w:r>
              <w:t>health technology</w:t>
            </w:r>
            <w:r w:rsidRPr="00556A10">
              <w:t xml:space="preserve"> derived from analysis of RWD</w:t>
            </w:r>
            <w:r>
              <w:t>. While the recent interest in RWE has resulted in several frameworks and guidance documents describing practices for its collection and evaluation, definitive guidance is undermined by a lack of a narrow or clear definition of RWE as it applies to HTA.</w:t>
            </w:r>
          </w:p>
        </w:tc>
      </w:tr>
    </w:tbl>
    <w:p w14:paraId="75FA53C8" w14:textId="024294D1" w:rsidR="00156F43" w:rsidRPr="00C641CC" w:rsidRDefault="00156F43" w:rsidP="00156F43">
      <w:r>
        <w:t>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rsidRPr="00C641CC" w:rsidDel="002C0395">
        <w:t xml:space="preserve"> </w:t>
      </w:r>
      <w:r w:rsidRPr="00C641CC">
        <w:t>generated from RWD can provide policymakers with a more comprehensive understanding of the risks and benefits of health technologies in routine clinical care, which often differ to outcomes observed in RCTs.</w:t>
      </w:r>
    </w:p>
    <w:p w14:paraId="1F6D288D" w14:textId="1DFD21DE" w:rsidR="00156F43" w:rsidRDefault="00156F43" w:rsidP="00156F43">
      <w:pPr>
        <w:rPr>
          <w:color w:val="000000" w:themeColor="text1"/>
        </w:rPr>
      </w:pPr>
      <w:r w:rsidRPr="00C641CC">
        <w:rPr>
          <w:color w:val="000000" w:themeColor="text1"/>
        </w:rPr>
        <w:t xml:space="preserve">With the growth in access </w:t>
      </w:r>
      <w:r w:rsidRPr="004D4600">
        <w:rPr>
          <w:color w:val="000000" w:themeColor="text1"/>
        </w:rPr>
        <w:t>to, and linkage of, RWD across many disease areas and clinical settings, opportunities for RWE</w:t>
      </w:r>
      <w:r w:rsidR="00D75A2B">
        <w:rPr>
          <w:color w:val="000000" w:themeColor="text1"/>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rPr>
          <w:color w:val="000000" w:themeColor="text1"/>
        </w:rPr>
        <w:fldChar w:fldCharType="end"/>
      </w:r>
      <w:r w:rsidRPr="004D4600">
        <w:rPr>
          <w:color w:val="000000" w:themeColor="text1"/>
        </w:rPr>
        <w:t xml:space="preserve"> to both enhance and complement RCT evidence and support the evidentiary needs of decision-makers across the entire pipeline are evolving. </w:t>
      </w:r>
      <w:r w:rsidRPr="004D4600">
        <w:t>As the capacity to link heterogeneous data at the person level has increased, it is now more feasible to bring together disparate RWD collections</w:t>
      </w:r>
      <w:r w:rsidR="00124515">
        <w:t>,</w:t>
      </w:r>
      <w:r w:rsidRPr="004D4600">
        <w:t xml:space="preserve"> thus enhancing the uses of these data to support HTA.</w:t>
      </w:r>
    </w:p>
    <w:tbl>
      <w:tblPr>
        <w:tblStyle w:val="TableGrid"/>
        <w:tblpPr w:leftFromText="181" w:rightFromText="181" w:bottomFromText="142" w:vertAnchor="text" w:tblpY="1"/>
        <w:tblOverlap w:val="never"/>
        <w:tblW w:w="0" w:type="auto"/>
        <w:tblCellMar>
          <w:top w:w="113" w:type="dxa"/>
          <w:bottom w:w="113" w:type="dxa"/>
        </w:tblCellMar>
        <w:tblLook w:val="04A0" w:firstRow="1" w:lastRow="0" w:firstColumn="1" w:lastColumn="0" w:noHBand="0" w:noVBand="1"/>
      </w:tblPr>
      <w:tblGrid>
        <w:gridCol w:w="9016"/>
      </w:tblGrid>
      <w:tr w:rsidR="004E5820" w:rsidRPr="008D7173" w14:paraId="3E37ED30" w14:textId="77777777" w:rsidTr="004C105D">
        <w:trPr>
          <w:trHeight w:val="938"/>
        </w:trPr>
        <w:tc>
          <w:tcPr>
            <w:tcW w:w="9016" w:type="dxa"/>
            <w:tcBorders>
              <w:top w:val="nil"/>
              <w:left w:val="nil"/>
              <w:bottom w:val="nil"/>
              <w:right w:val="nil"/>
            </w:tcBorders>
            <w:shd w:val="clear" w:color="auto" w:fill="F2F2F2" w:themeFill="background1" w:themeFillShade="F2"/>
          </w:tcPr>
          <w:p w14:paraId="2C8C72BB" w14:textId="1BDCF558" w:rsidR="00417ECF" w:rsidRPr="00417ECF" w:rsidRDefault="00417ECF" w:rsidP="008C10BB">
            <w:pPr>
              <w:spacing w:before="160" w:after="100" w:line="259" w:lineRule="auto"/>
              <w:textAlignment w:val="baseline"/>
              <w:rPr>
                <w:b/>
                <w:bCs/>
              </w:rPr>
            </w:pPr>
            <w:r w:rsidRPr="00417ECF">
              <w:rPr>
                <w:color w:val="000000" w:themeColor="text1"/>
              </w:rPr>
              <w:lastRenderedPageBreak/>
              <w:t xml:space="preserve">In </w:t>
            </w:r>
            <w:hyperlink r:id="rId184" w:history="1">
              <w:r w:rsidRPr="00C07E78">
                <w:rPr>
                  <w:rStyle w:val="Hyperlink"/>
                </w:rPr>
                <w:t>paper 7</w:t>
              </w:r>
              <w:r w:rsidR="00C07E78" w:rsidRPr="00C07E78">
                <w:rPr>
                  <w:rStyle w:val="Hyperlink"/>
                </w:rPr>
                <w:t xml:space="preserve"> Optimised real</w:t>
              </w:r>
              <w:r w:rsidR="00DE0409">
                <w:rPr>
                  <w:rStyle w:val="Hyperlink"/>
                </w:rPr>
                <w:t>-</w:t>
              </w:r>
              <w:r w:rsidR="00C07E78" w:rsidRPr="00C07E78">
                <w:rPr>
                  <w:rStyle w:val="Hyperlink"/>
                </w:rPr>
                <w:t>world evidence to support health technology assessment in Australia</w:t>
              </w:r>
            </w:hyperlink>
            <w:r w:rsidRPr="00417ECF">
              <w:rPr>
                <w:color w:val="000000" w:themeColor="text1"/>
              </w:rPr>
              <w:t xml:space="preserve">, MI-CRE provided an overview of </w:t>
            </w:r>
            <w:r w:rsidR="00E12FC1">
              <w:rPr>
                <w:color w:val="000000" w:themeColor="text1"/>
              </w:rPr>
              <w:t xml:space="preserve">how </w:t>
            </w:r>
            <w:r w:rsidRPr="004D4600">
              <w:t>RWD and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r w:rsidR="00D75A2B" w:rsidRPr="00EE01D4">
              <w:rPr>
                <w:rFonts w:eastAsia="Arial"/>
                <w:color w:val="000000" w:themeColor="text1"/>
              </w:rPr>
              <w:instrText>evidence:</w:instrText>
            </w:r>
            <w:r w:rsidR="00D75A2B" w:rsidRPr="0090711C">
              <w:instrText>RWE</w:instrText>
            </w:r>
            <w:proofErr w:type="spellEnd"/>
            <w:r w:rsidR="00D75A2B">
              <w:instrText xml:space="preserve">" \b </w:instrText>
            </w:r>
            <w:r w:rsidR="00D75A2B">
              <w:fldChar w:fldCharType="end"/>
            </w:r>
            <w:r w:rsidRPr="004D4600">
              <w:t xml:space="preserve"> have played an increasingly significant role </w:t>
            </w:r>
            <w:r w:rsidRPr="00417ECF">
              <w:rPr>
                <w:color w:val="000000" w:themeColor="text1"/>
              </w:rPr>
              <w:t xml:space="preserve">in supporting decision-making </w:t>
            </w:r>
            <w:r w:rsidRPr="004D4600">
              <w:t>across the health technology pipeline, including:</w:t>
            </w:r>
          </w:p>
          <w:p w14:paraId="50A4EC56" w14:textId="082FCB07" w:rsidR="004E5820" w:rsidRPr="004D4600" w:rsidRDefault="004E5820" w:rsidP="008C10BB">
            <w:pPr>
              <w:pStyle w:val="ListParagraph"/>
              <w:numPr>
                <w:ilvl w:val="0"/>
                <w:numId w:val="18"/>
              </w:numPr>
              <w:spacing w:before="160" w:after="100" w:line="259" w:lineRule="auto"/>
              <w:textAlignment w:val="baseline"/>
              <w:rPr>
                <w:b/>
                <w:bCs/>
              </w:rPr>
            </w:pPr>
            <w:r w:rsidRPr="004D4600">
              <w:rPr>
                <w:b/>
                <w:bCs/>
              </w:rPr>
              <w:t>HTA (Subsidy Approval):</w:t>
            </w:r>
          </w:p>
          <w:p w14:paraId="620B787B" w14:textId="06BCE0C7" w:rsidR="004E5820" w:rsidRPr="004D4600" w:rsidRDefault="004E5820" w:rsidP="008C10BB">
            <w:pPr>
              <w:pStyle w:val="ListParagraph"/>
              <w:numPr>
                <w:ilvl w:val="1"/>
                <w:numId w:val="18"/>
              </w:numPr>
              <w:spacing w:before="160" w:after="100" w:line="259" w:lineRule="auto"/>
              <w:textAlignment w:val="baseline"/>
            </w:pPr>
            <w:r w:rsidRPr="004D4600">
              <w:t>To estimate real</w:t>
            </w:r>
            <w:r w:rsidR="00FA2BB8">
              <w:t>-</w:t>
            </w:r>
            <w:r w:rsidRPr="004D4600">
              <w:t xml:space="preserve">world comparative (cost) effectiveness of health technologies relative to </w:t>
            </w:r>
            <w:r w:rsidR="00BA136C">
              <w:t xml:space="preserve">SOC </w:t>
            </w:r>
            <w:r w:rsidRPr="004D4600">
              <w:t>or existing treatments.</w:t>
            </w:r>
          </w:p>
          <w:p w14:paraId="6D19ED55" w14:textId="5A9F9A83" w:rsidR="004E5820" w:rsidRPr="004D4600" w:rsidRDefault="004E5820" w:rsidP="008C10BB">
            <w:pPr>
              <w:pStyle w:val="ListParagraph"/>
              <w:numPr>
                <w:ilvl w:val="1"/>
                <w:numId w:val="18"/>
              </w:numPr>
              <w:spacing w:before="160" w:after="100" w:line="259" w:lineRule="auto"/>
              <w:textAlignment w:val="baseline"/>
            </w:pPr>
            <w:r w:rsidRPr="004D4600">
              <w:t>To generate inputs for (cost) effectiveness analyses by generating insights about real</w:t>
            </w:r>
            <w:r w:rsidR="00FA2BB8">
              <w:t>-</w:t>
            </w:r>
            <w:r w:rsidRPr="004D4600">
              <w:t xml:space="preserve">world resource use and associated costs. </w:t>
            </w:r>
          </w:p>
          <w:p w14:paraId="16B2D03D" w14:textId="77777777" w:rsidR="004E5820" w:rsidRPr="004D4600" w:rsidRDefault="004E5820" w:rsidP="008C10BB">
            <w:pPr>
              <w:pStyle w:val="ListParagraph"/>
              <w:numPr>
                <w:ilvl w:val="0"/>
                <w:numId w:val="18"/>
              </w:numPr>
              <w:spacing w:before="160" w:after="100" w:line="259" w:lineRule="auto"/>
              <w:textAlignment w:val="baseline"/>
              <w:rPr>
                <w:b/>
                <w:bCs/>
              </w:rPr>
            </w:pPr>
            <w:r w:rsidRPr="004D4600">
              <w:rPr>
                <w:b/>
                <w:bCs/>
              </w:rPr>
              <w:t>HTA (Post-Listing):</w:t>
            </w:r>
          </w:p>
          <w:p w14:paraId="64EB7F76" w14:textId="7FB6B1A7" w:rsidR="004E5820" w:rsidRPr="004D4600" w:rsidRDefault="004E5820" w:rsidP="008C10BB">
            <w:pPr>
              <w:pStyle w:val="ListParagraph"/>
              <w:numPr>
                <w:ilvl w:val="1"/>
                <w:numId w:val="18"/>
              </w:numPr>
              <w:spacing w:before="160" w:after="100" w:line="259" w:lineRule="auto"/>
              <w:textAlignment w:val="baseline"/>
            </w:pPr>
            <w:r w:rsidRPr="004D4600">
              <w:t>To input into clinical practice guidelines and benchmark guideline-recommended versus actual care.</w:t>
            </w:r>
          </w:p>
          <w:p w14:paraId="3985C0C3" w14:textId="45640FFE" w:rsidR="004E5820" w:rsidRPr="004D4600" w:rsidRDefault="004E5820" w:rsidP="008C10BB">
            <w:pPr>
              <w:pStyle w:val="ListParagraph"/>
              <w:numPr>
                <w:ilvl w:val="1"/>
                <w:numId w:val="18"/>
              </w:numPr>
              <w:spacing w:before="160" w:after="100" w:line="259" w:lineRule="auto"/>
              <w:textAlignment w:val="baseline"/>
            </w:pPr>
            <w:r w:rsidRPr="004D4600">
              <w:t>To support continuous assessment of real</w:t>
            </w:r>
            <w:r w:rsidR="00FA2BB8">
              <w:t>-</w:t>
            </w:r>
            <w:r w:rsidRPr="004D4600">
              <w:t xml:space="preserve">world use, safety, (cost) effectiveness and economic impact of health technologies in diverse populations and complex, dynamic healthcare settings. This includes </w:t>
            </w:r>
            <w:r w:rsidRPr="004D4600">
              <w:rPr>
                <w:lang w:eastAsia="en-AU"/>
              </w:rPr>
              <w:t>performance monitoring for health technologies subsidised under provisional arrangements (</w:t>
            </w:r>
            <w:proofErr w:type="gramStart"/>
            <w:r w:rsidR="00A56645">
              <w:rPr>
                <w:lang w:eastAsia="en-AU"/>
              </w:rPr>
              <w:t>e</w:t>
            </w:r>
            <w:r w:rsidR="0062138C">
              <w:rPr>
                <w:lang w:eastAsia="en-AU"/>
              </w:rPr>
              <w:t>.</w:t>
            </w:r>
            <w:r w:rsidR="00A56645">
              <w:rPr>
                <w:lang w:eastAsia="en-AU"/>
              </w:rPr>
              <w:t>g</w:t>
            </w:r>
            <w:r w:rsidR="0062138C">
              <w:rPr>
                <w:lang w:eastAsia="en-AU"/>
              </w:rPr>
              <w:t>.</w:t>
            </w:r>
            <w:proofErr w:type="gramEnd"/>
            <w:r w:rsidR="000C2FDE">
              <w:rPr>
                <w:lang w:eastAsia="en-AU"/>
              </w:rPr>
              <w:t xml:space="preserve"> </w:t>
            </w:r>
            <w:r w:rsidRPr="004D4600">
              <w:rPr>
                <w:lang w:eastAsia="en-AU"/>
              </w:rPr>
              <w:t>managed entry or pay-for performance) and in the context of newly listed alternative therapies (</w:t>
            </w:r>
            <w:r w:rsidR="006A48DA">
              <w:rPr>
                <w:lang w:eastAsia="en-AU"/>
              </w:rPr>
              <w:t>e.g.</w:t>
            </w:r>
            <w:r w:rsidR="00D041E5">
              <w:rPr>
                <w:lang w:eastAsia="en-AU"/>
              </w:rPr>
              <w:t xml:space="preserve"> </w:t>
            </w:r>
            <w:r w:rsidRPr="004D4600">
              <w:rPr>
                <w:lang w:eastAsia="en-AU"/>
              </w:rPr>
              <w:t>post-market review).</w:t>
            </w:r>
          </w:p>
          <w:p w14:paraId="5B40CC15" w14:textId="69B7A2B3" w:rsidR="004E5820" w:rsidRPr="004D4600" w:rsidRDefault="004E5820" w:rsidP="008C10BB">
            <w:pPr>
              <w:pStyle w:val="ListParagraph"/>
              <w:numPr>
                <w:ilvl w:val="1"/>
                <w:numId w:val="18"/>
              </w:numPr>
              <w:spacing w:before="160" w:after="100" w:line="259" w:lineRule="auto"/>
              <w:textAlignment w:val="baseline"/>
            </w:pPr>
            <w:r w:rsidRPr="004D4600">
              <w:t>To evaluate the impact of subsidy changes on real</w:t>
            </w:r>
            <w:r w:rsidR="00FA2BB8">
              <w:t>-</w:t>
            </w:r>
            <w:r w:rsidRPr="004D4600">
              <w:t>world use and outcomes of specific health technologies.</w:t>
            </w:r>
          </w:p>
          <w:p w14:paraId="3B336860" w14:textId="0AF0F300" w:rsidR="004E5820" w:rsidRPr="0065213E" w:rsidRDefault="004E5820" w:rsidP="008C10BB">
            <w:pPr>
              <w:pStyle w:val="ListParagraph"/>
              <w:numPr>
                <w:ilvl w:val="1"/>
                <w:numId w:val="18"/>
              </w:numPr>
              <w:spacing w:before="160" w:after="100" w:line="259" w:lineRule="auto"/>
              <w:textAlignment w:val="baseline"/>
            </w:pPr>
            <w:r w:rsidRPr="004D4600">
              <w:t xml:space="preserve">To empower patients to make informed treatment choices using outcomes of patients with similar characteristics. </w:t>
            </w:r>
          </w:p>
        </w:tc>
      </w:tr>
    </w:tbl>
    <w:p w14:paraId="018C4ADF" w14:textId="1DA2CC59" w:rsidR="007649A3" w:rsidRDefault="007649A3" w:rsidP="000D701D">
      <w:pPr>
        <w:pStyle w:val="Heading6"/>
        <w:keepNext/>
        <w:keepLines/>
      </w:pPr>
      <w:bookmarkStart w:id="207" w:name="_Toc147503013"/>
      <w:bookmarkStart w:id="208" w:name="_Toc147503163"/>
      <w:r>
        <w:t xml:space="preserve">Figure </w:t>
      </w:r>
      <w:r w:rsidR="00E73C9F">
        <w:fldChar w:fldCharType="begin"/>
      </w:r>
      <w:r w:rsidR="00E73C9F">
        <w:instrText xml:space="preserve"> SEQ Figure \* ARABIC </w:instrText>
      </w:r>
      <w:r w:rsidR="00E73C9F">
        <w:fldChar w:fldCharType="separate"/>
      </w:r>
      <w:r w:rsidR="00474ED6">
        <w:rPr>
          <w:noProof/>
        </w:rPr>
        <w:t>7</w:t>
      </w:r>
      <w:r w:rsidR="00E73C9F">
        <w:rPr>
          <w:noProof/>
        </w:rPr>
        <w:fldChar w:fldCharType="end"/>
      </w:r>
      <w:r>
        <w:t xml:space="preserve"> </w:t>
      </w:r>
      <w:r w:rsidRPr="003779A1">
        <w:t>Applications of RWD across the health technology pipeline</w:t>
      </w:r>
    </w:p>
    <w:p w14:paraId="6972E2B1" w14:textId="77777777" w:rsidR="00156F43" w:rsidRPr="00C641CC" w:rsidRDefault="00156F43" w:rsidP="008C10BB">
      <w:pPr>
        <w:pStyle w:val="Figurecaption"/>
        <w:spacing w:line="259" w:lineRule="auto"/>
      </w:pPr>
      <w:r w:rsidRPr="00C641CC">
        <w:rPr>
          <w:noProof/>
        </w:rPr>
        <w:drawing>
          <wp:inline distT="0" distB="0" distL="0" distR="0" wp14:anchorId="47E3BC81" wp14:editId="0D1905A4">
            <wp:extent cx="5731510" cy="3157148"/>
            <wp:effectExtent l="0" t="0" r="2540" b="5715"/>
            <wp:docPr id="2092456511" name="Picture 209245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56511" name="Picture 209245651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157148"/>
                    </a:xfrm>
                    <a:prstGeom prst="rect">
                      <a:avLst/>
                    </a:prstGeom>
                    <a:ln>
                      <a:noFill/>
                    </a:ln>
                    <a:extLst>
                      <a:ext uri="{53640926-AAD7-44D8-BBD7-CCE9431645EC}">
                        <a14:shadowObscured xmlns:a14="http://schemas.microsoft.com/office/drawing/2010/main"/>
                      </a:ext>
                    </a:extLst>
                  </pic:spPr>
                </pic:pic>
              </a:graphicData>
            </a:graphic>
          </wp:inline>
        </w:drawing>
      </w:r>
    </w:p>
    <w:bookmarkEnd w:id="207"/>
    <w:bookmarkEnd w:id="208"/>
    <w:p w14:paraId="6404D8E2" w14:textId="5D43DB47" w:rsidR="00156F43" w:rsidRDefault="00156F43" w:rsidP="00156F43">
      <w:pPr>
        <w:spacing w:after="200"/>
      </w:pPr>
      <w:r>
        <w:lastRenderedPageBreak/>
        <w:t>Additionally, RWD/RWE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t xml:space="preserve"> may be further to supplement evidence from</w:t>
      </w:r>
      <w:r w:rsidR="001305B6">
        <w:t xml:space="preserve"> </w:t>
      </w:r>
      <w:r>
        <w:t xml:space="preserve">RCTs to support claims of (cost) effectiveness, as showing in figure 1. </w:t>
      </w:r>
    </w:p>
    <w:p w14:paraId="3DA1FB6C" w14:textId="35F8DA18" w:rsidR="007649A3" w:rsidRDefault="007649A3" w:rsidP="00E02738">
      <w:pPr>
        <w:pStyle w:val="Heading6"/>
        <w:keepNext/>
        <w:keepLines/>
      </w:pPr>
      <w:r>
        <w:t xml:space="preserve">Figure </w:t>
      </w:r>
      <w:r w:rsidR="00E73C9F">
        <w:fldChar w:fldCharType="begin"/>
      </w:r>
      <w:r w:rsidR="00E73C9F">
        <w:instrText xml:space="preserve"> SEQ Figure \* ARABIC </w:instrText>
      </w:r>
      <w:r w:rsidR="00E73C9F">
        <w:fldChar w:fldCharType="separate"/>
      </w:r>
      <w:r w:rsidR="00474ED6">
        <w:rPr>
          <w:noProof/>
        </w:rPr>
        <w:t>8</w:t>
      </w:r>
      <w:r w:rsidR="00E73C9F">
        <w:rPr>
          <w:noProof/>
        </w:rPr>
        <w:fldChar w:fldCharType="end"/>
      </w:r>
      <w:r>
        <w:t xml:space="preserve"> </w:t>
      </w:r>
      <w:r w:rsidRPr="00B0058A">
        <w:t xml:space="preserve">Scenarios where RWD can generate comparative treatment effects in </w:t>
      </w:r>
      <w:proofErr w:type="gramStart"/>
      <w:r w:rsidRPr="00B0058A">
        <w:t>HTA</w:t>
      </w:r>
      <w:proofErr w:type="gramEnd"/>
    </w:p>
    <w:p w14:paraId="29013B2E" w14:textId="77777777" w:rsidR="00156F43" w:rsidRPr="00C641CC" w:rsidRDefault="00156F43" w:rsidP="00156F43">
      <w:pPr>
        <w:spacing w:after="200"/>
      </w:pPr>
      <w:r w:rsidRPr="00C641CC">
        <w:rPr>
          <w:noProof/>
        </w:rPr>
        <w:drawing>
          <wp:inline distT="0" distB="0" distL="0" distR="0" wp14:anchorId="14B17848" wp14:editId="046AB7C7">
            <wp:extent cx="5731510" cy="2638425"/>
            <wp:effectExtent l="0" t="0" r="2540" b="9525"/>
            <wp:docPr id="1423232250" name="Picture 142323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32250" name="Picture 1423232250"/>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a:stretch/>
                  </pic:blipFill>
                  <pic:spPr bwMode="auto">
                    <a:xfrm>
                      <a:off x="0" y="0"/>
                      <a:ext cx="5731510" cy="2638425"/>
                    </a:xfrm>
                    <a:prstGeom prst="rect">
                      <a:avLst/>
                    </a:prstGeom>
                    <a:noFill/>
                    <a:ln>
                      <a:noFill/>
                    </a:ln>
                    <a:extLst>
                      <a:ext uri="{53640926-AAD7-44D8-BBD7-CCE9431645EC}">
                        <a14:shadowObscured xmlns:a14="http://schemas.microsoft.com/office/drawing/2010/main"/>
                      </a:ext>
                    </a:extLst>
                  </pic:spPr>
                </pic:pic>
              </a:graphicData>
            </a:graphic>
          </wp:inline>
        </w:drawing>
      </w:r>
    </w:p>
    <w:p w14:paraId="4F0171B9" w14:textId="77777777" w:rsidR="00156F43" w:rsidRPr="007D6541" w:rsidRDefault="00156F43" w:rsidP="00156F43">
      <w:pPr>
        <w:pStyle w:val="Heading3"/>
      </w:pPr>
      <w:bookmarkStart w:id="209" w:name="_Toc157029112"/>
      <w:r w:rsidRPr="007D6541">
        <w:t>What we heard from stakeholders</w:t>
      </w:r>
      <w:bookmarkEnd w:id="209"/>
      <w:r w:rsidRPr="007D6541">
        <w:t xml:space="preserve"> </w:t>
      </w:r>
    </w:p>
    <w:p w14:paraId="1FA5EAFC" w14:textId="0A72278E" w:rsidR="00B872FC" w:rsidRDefault="00066B62" w:rsidP="008C10BB">
      <w:pPr>
        <w:spacing w:after="200"/>
      </w:pPr>
      <w:r>
        <w:t xml:space="preserve">Many stakeholders expressed a desire for greater use of </w:t>
      </w:r>
      <w:r w:rsidR="00FD671B">
        <w:t>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rsidR="001C26C2">
        <w:t xml:space="preserve"> to support </w:t>
      </w:r>
      <w:r w:rsidR="00F01804">
        <w:t xml:space="preserve">the assessment of </w:t>
      </w:r>
      <w:r w:rsidR="008B5634">
        <w:t xml:space="preserve">clinical and cost-effectiveness of health technologies </w:t>
      </w:r>
      <w:r w:rsidR="00A2296E">
        <w:t xml:space="preserve">throughout the HTA </w:t>
      </w:r>
      <w:r w:rsidR="00E71DDC">
        <w:t>lifecycle</w:t>
      </w:r>
      <w:r w:rsidR="00A2296E">
        <w:t xml:space="preserve"> including after health technologies are funded. </w:t>
      </w:r>
      <w:r w:rsidR="00877BE6">
        <w:t>Stakeholders also expressed a desire for improved guidance and clarity on how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rsidR="00877BE6">
        <w:t xml:space="preserve"> could be used for this purpose. These issues are further discussed in the section on clinical evaluation. </w:t>
      </w:r>
    </w:p>
    <w:p w14:paraId="223EF43B" w14:textId="0F1073F6" w:rsidR="00D24C7B" w:rsidRDefault="001C17C4" w:rsidP="008C10BB">
      <w:pPr>
        <w:spacing w:after="200"/>
      </w:pPr>
      <w:r>
        <w:t xml:space="preserve">There was a common sentiment from stakeholders that existing sources of RWD could be </w:t>
      </w:r>
      <w:r w:rsidR="000B740A">
        <w:t xml:space="preserve">better </w:t>
      </w:r>
      <w:r>
        <w:t>used to generate the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t xml:space="preserve"> </w:t>
      </w:r>
      <w:r w:rsidR="00153612">
        <w:t xml:space="preserve">to support </w:t>
      </w:r>
      <w:r w:rsidR="008D63EB">
        <w:t xml:space="preserve">funding decisions after health technologies are funded. </w:t>
      </w:r>
    </w:p>
    <w:p w14:paraId="281C6E0C" w14:textId="77777777" w:rsidR="00156F43" w:rsidRPr="007D6541" w:rsidRDefault="00156F43" w:rsidP="00156F43">
      <w:pPr>
        <w:pStyle w:val="Heading3"/>
      </w:pPr>
      <w:bookmarkStart w:id="210" w:name="_Toc157029113"/>
      <w:r w:rsidRPr="007D6541">
        <w:t>Issues</w:t>
      </w:r>
      <w:bookmarkEnd w:id="210"/>
    </w:p>
    <w:p w14:paraId="7B3D2166" w14:textId="77777777" w:rsidR="00E90FD2" w:rsidRDefault="00E90FD2" w:rsidP="00E90FD2">
      <w:bookmarkStart w:id="211" w:name="_Hlk155885736"/>
      <w:r>
        <w:t xml:space="preserve">Australia does not systematically evaluate whether the subsidised health technologies work as well in practice as expected from the original subsidy assessment. </w:t>
      </w:r>
    </w:p>
    <w:p w14:paraId="37DCBE3B" w14:textId="4304E26F" w:rsidR="007E185B" w:rsidRDefault="00865EE6" w:rsidP="00865EE6">
      <w:r>
        <w:t xml:space="preserve">The Reference Committee </w:t>
      </w:r>
      <w:r w:rsidR="00B40FB6">
        <w:t xml:space="preserve">has observed that </w:t>
      </w:r>
      <w:r w:rsidR="00E90FD2">
        <w:t xml:space="preserve">Australia’s </w:t>
      </w:r>
      <w:r w:rsidR="006B78D5">
        <w:t xml:space="preserve">processes and systems for </w:t>
      </w:r>
      <w:r w:rsidR="000A0D90">
        <w:t xml:space="preserve">collecting the information needed to determine the </w:t>
      </w:r>
      <w:r w:rsidR="004B4186">
        <w:t xml:space="preserve">clinical and cost-effectiveness of health technologies </w:t>
      </w:r>
      <w:r w:rsidR="008E15CD">
        <w:t xml:space="preserve">after they are funded are </w:t>
      </w:r>
      <w:r w:rsidR="00005F75">
        <w:t xml:space="preserve">in early development. </w:t>
      </w:r>
    </w:p>
    <w:p w14:paraId="38792F7D" w14:textId="46232FCF" w:rsidR="0060688D" w:rsidRDefault="00347F3D" w:rsidP="0060688D">
      <w:r>
        <w:t xml:space="preserve">The </w:t>
      </w:r>
      <w:r w:rsidR="0042168B">
        <w:t>c</w:t>
      </w:r>
      <w:r>
        <w:t xml:space="preserve">ommittee has heard </w:t>
      </w:r>
      <w:r w:rsidR="00887FC8">
        <w:t xml:space="preserve">that </w:t>
      </w:r>
      <w:r w:rsidR="00382C4C">
        <w:t xml:space="preserve">the </w:t>
      </w:r>
      <w:r w:rsidR="00887FC8">
        <w:t xml:space="preserve">experience from the small number of health technologies </w:t>
      </w:r>
      <w:r w:rsidR="007F0B9C">
        <w:t>that have been funded</w:t>
      </w:r>
      <w:r w:rsidR="00DC7B87">
        <w:t xml:space="preserve"> in Australia</w:t>
      </w:r>
      <w:r w:rsidR="007F0B9C">
        <w:t xml:space="preserve"> </w:t>
      </w:r>
      <w:r w:rsidR="00756ED3">
        <w:t>CED-</w:t>
      </w:r>
      <w:r w:rsidR="00DC7B87">
        <w:t xml:space="preserve">type approaches </w:t>
      </w:r>
      <w:r w:rsidR="00B227EE">
        <w:t>is that it remain</w:t>
      </w:r>
      <w:r w:rsidR="009163AF">
        <w:t>s</w:t>
      </w:r>
      <w:r w:rsidR="00B227EE">
        <w:t xml:space="preserve"> difficult to </w:t>
      </w:r>
      <w:r w:rsidR="0091698A">
        <w:t xml:space="preserve">establish how well the technology is performing. </w:t>
      </w:r>
      <w:r w:rsidR="009163AF">
        <w:t>See example below</w:t>
      </w:r>
      <w:r w:rsidR="0056094C">
        <w:t>:</w:t>
      </w:r>
    </w:p>
    <w:tbl>
      <w:tblPr>
        <w:tblStyle w:val="TableGrid"/>
        <w:tblpPr w:leftFromText="181" w:rightFromText="181" w:bottomFromText="142" w:vertAnchor="text" w:tblpY="1"/>
        <w:tblOverlap w:val="never"/>
        <w:tblW w:w="0" w:type="auto"/>
        <w:tblLook w:val="04A0" w:firstRow="1" w:lastRow="0" w:firstColumn="1" w:lastColumn="0" w:noHBand="0" w:noVBand="1"/>
      </w:tblPr>
      <w:tblGrid>
        <w:gridCol w:w="9016"/>
      </w:tblGrid>
      <w:tr w:rsidR="0091698A" w14:paraId="1F8CAE76" w14:textId="77777777" w:rsidTr="00227C60">
        <w:tc>
          <w:tcPr>
            <w:tcW w:w="9016" w:type="dxa"/>
            <w:tcBorders>
              <w:top w:val="nil"/>
              <w:left w:val="nil"/>
              <w:bottom w:val="nil"/>
              <w:right w:val="nil"/>
            </w:tcBorders>
            <w:shd w:val="clear" w:color="auto" w:fill="F2F2F2" w:themeFill="background1" w:themeFillShade="F2"/>
          </w:tcPr>
          <w:p w14:paraId="6136DA2C" w14:textId="7E0F16A7" w:rsidR="0091698A" w:rsidRDefault="007965CD" w:rsidP="00227C60">
            <w:pPr>
              <w:spacing w:before="160" w:after="160" w:line="259" w:lineRule="auto"/>
              <w:rPr>
                <w:b/>
                <w:bCs/>
              </w:rPr>
            </w:pPr>
            <w:r w:rsidRPr="009D14F6">
              <w:rPr>
                <w:b/>
                <w:bCs/>
              </w:rPr>
              <w:lastRenderedPageBreak/>
              <w:t xml:space="preserve">Chimeric antigen receptor T cell therapy (CAR-T) </w:t>
            </w:r>
            <w:proofErr w:type="spellStart"/>
            <w:r w:rsidRPr="009D14F6">
              <w:rPr>
                <w:b/>
                <w:bCs/>
              </w:rPr>
              <w:t>tisagenlecleucel</w:t>
            </w:r>
            <w:proofErr w:type="spellEnd"/>
            <w:r w:rsidRPr="009D14F6">
              <w:rPr>
                <w:b/>
                <w:bCs/>
              </w:rPr>
              <w:t xml:space="preserve"> (TIS)</w:t>
            </w:r>
          </w:p>
          <w:p w14:paraId="1A0EF169" w14:textId="77777777" w:rsidR="007965CD" w:rsidRDefault="00293260" w:rsidP="00227C60">
            <w:pPr>
              <w:spacing w:after="160" w:line="259" w:lineRule="auto"/>
            </w:pPr>
            <w:r>
              <w:t xml:space="preserve">MSAC supported funding of TIS in </w:t>
            </w:r>
            <w:r w:rsidR="003B0E56">
              <w:t>2019 for the treatment of acute lymphoblastic leukaemia in paediatric and young adult patients.</w:t>
            </w:r>
          </w:p>
          <w:p w14:paraId="5FD7D82C" w14:textId="77777777" w:rsidR="00F15DFB" w:rsidRDefault="00F15DFB" w:rsidP="00227C60">
            <w:pPr>
              <w:spacing w:after="160" w:line="259" w:lineRule="auto"/>
            </w:pPr>
            <w:r>
              <w:t xml:space="preserve">Public funding was supported on the basis that </w:t>
            </w:r>
            <w:r w:rsidR="00B76A19">
              <w:t xml:space="preserve">clinical, </w:t>
            </w:r>
            <w:proofErr w:type="gramStart"/>
            <w:r w:rsidR="00B76A19">
              <w:t>economic</w:t>
            </w:r>
            <w:proofErr w:type="gramEnd"/>
            <w:r w:rsidR="00B76A19">
              <w:t xml:space="preserve"> and financial uncertainty would be </w:t>
            </w:r>
            <w:r w:rsidR="00FA2BBE">
              <w:t xml:space="preserve">resolved after it was funded </w:t>
            </w:r>
            <w:r w:rsidR="008C35AB">
              <w:t xml:space="preserve">though: </w:t>
            </w:r>
          </w:p>
          <w:p w14:paraId="1707AACC" w14:textId="77777777" w:rsidR="008C35AB" w:rsidRDefault="008C35AB" w:rsidP="008505D7">
            <w:pPr>
              <w:pStyle w:val="ListParagraph"/>
              <w:numPr>
                <w:ilvl w:val="0"/>
                <w:numId w:val="161"/>
              </w:numPr>
              <w:spacing w:line="259" w:lineRule="auto"/>
            </w:pPr>
            <w:r>
              <w:t>Ongoing data collection in a registry</w:t>
            </w:r>
          </w:p>
          <w:p w14:paraId="6697E3C2" w14:textId="6FE25021" w:rsidR="008C35AB" w:rsidRDefault="00A937D6" w:rsidP="008505D7">
            <w:pPr>
              <w:pStyle w:val="ListParagraph"/>
              <w:numPr>
                <w:ilvl w:val="0"/>
                <w:numId w:val="161"/>
              </w:numPr>
              <w:spacing w:line="259" w:lineRule="auto"/>
            </w:pPr>
            <w:r>
              <w:t xml:space="preserve">A full review of clinical effectiveness, </w:t>
            </w:r>
            <w:proofErr w:type="gramStart"/>
            <w:r>
              <w:t>cost-effectiveness</w:t>
            </w:r>
            <w:proofErr w:type="gramEnd"/>
            <w:r>
              <w:t xml:space="preserve"> and budget impact</w:t>
            </w:r>
            <w:r w:rsidR="007A506F">
              <w:fldChar w:fldCharType="begin"/>
            </w:r>
            <w:r w:rsidR="007A506F">
              <w:instrText xml:space="preserve"> XE "</w:instrText>
            </w:r>
            <w:r w:rsidR="007A506F" w:rsidRPr="00C256AB">
              <w:rPr>
                <w:rFonts w:eastAsia="Times New Roman" w:cs="Segoe UI"/>
                <w:kern w:val="24"/>
                <w:lang w:eastAsia="en-AU"/>
              </w:rPr>
              <w:instrText>budget impact</w:instrText>
            </w:r>
            <w:r w:rsidR="007A506F">
              <w:instrText xml:space="preserve">" \b </w:instrText>
            </w:r>
            <w:r w:rsidR="007A506F">
              <w:fldChar w:fldCharType="end"/>
            </w:r>
          </w:p>
          <w:p w14:paraId="7ECB3BC4" w14:textId="4B317BA0" w:rsidR="00A937D6" w:rsidRDefault="00A937D6" w:rsidP="008505D7">
            <w:pPr>
              <w:pStyle w:val="ListParagraph"/>
              <w:numPr>
                <w:ilvl w:val="0"/>
                <w:numId w:val="161"/>
              </w:numPr>
              <w:spacing w:line="259" w:lineRule="auto"/>
            </w:pPr>
            <w:r>
              <w:t>A pay for performance arrangement</w:t>
            </w:r>
            <w:r w:rsidR="005A3221">
              <w:t>,</w:t>
            </w:r>
            <w:r>
              <w:t xml:space="preserve"> and</w:t>
            </w:r>
          </w:p>
          <w:p w14:paraId="3A8C634A" w14:textId="77777777" w:rsidR="00A937D6" w:rsidRDefault="00A937D6" w:rsidP="008505D7">
            <w:pPr>
              <w:pStyle w:val="ListParagraph"/>
              <w:numPr>
                <w:ilvl w:val="0"/>
                <w:numId w:val="161"/>
              </w:numPr>
              <w:spacing w:after="160" w:line="259" w:lineRule="auto"/>
              <w:ind w:left="1077" w:hanging="357"/>
            </w:pPr>
            <w:r>
              <w:t xml:space="preserve">Financial caps. </w:t>
            </w:r>
          </w:p>
          <w:p w14:paraId="7D9C9D7E" w14:textId="77777777" w:rsidR="00FE0887" w:rsidRDefault="00152260" w:rsidP="00227C60">
            <w:pPr>
              <w:spacing w:after="160" w:line="259" w:lineRule="auto"/>
            </w:pPr>
            <w:r>
              <w:t xml:space="preserve">The review was considered by the MSAC in 2023. </w:t>
            </w:r>
            <w:r w:rsidR="00034955">
              <w:t xml:space="preserve">MSAC considered the available evidence did not fully address the clinical, </w:t>
            </w:r>
            <w:proofErr w:type="gramStart"/>
            <w:r w:rsidR="00034955">
              <w:t>economic</w:t>
            </w:r>
            <w:proofErr w:type="gramEnd"/>
            <w:r w:rsidR="00034955">
              <w:t xml:space="preserve"> and financial uncertainties that existed when it initially supported public funding</w:t>
            </w:r>
            <w:r w:rsidR="007741CE">
              <w:t xml:space="preserve">. MSAC also considered the review did not adequately </w:t>
            </w:r>
            <w:r w:rsidR="00D755DF">
              <w:t>address</w:t>
            </w:r>
            <w:r w:rsidR="00A816C1">
              <w:t xml:space="preserve"> MSAC’s previous concerns about the uncertainty of clinical outcomes beyond 12 months for pat</w:t>
            </w:r>
            <w:r w:rsidR="00D755DF">
              <w:t>ients treated with TIS.</w:t>
            </w:r>
          </w:p>
          <w:p w14:paraId="1A288540" w14:textId="1C405813" w:rsidR="00152260" w:rsidRPr="007965CD" w:rsidRDefault="00FE0887" w:rsidP="00227C60">
            <w:pPr>
              <w:spacing w:after="160" w:line="259" w:lineRule="auto"/>
            </w:pPr>
            <w:r>
              <w:t>The MSAC considered that the data w</w:t>
            </w:r>
            <w:r w:rsidR="001E0AA2">
              <w:t>ere</w:t>
            </w:r>
            <w:r>
              <w:t xml:space="preserve"> incomplete and inadequate to inform whether the expected longer-term effectiveness and safety outcomes from TIS are occurring in practice. </w:t>
            </w:r>
          </w:p>
        </w:tc>
      </w:tr>
    </w:tbl>
    <w:p w14:paraId="65B69767" w14:textId="31A8367E" w:rsidR="00156F43" w:rsidRDefault="00156F43" w:rsidP="0068061E">
      <w:pPr>
        <w:pStyle w:val="Heading4"/>
      </w:pPr>
      <w:r>
        <w:t xml:space="preserve">Limited availability and feasibility of high quality RCT evidence for emerging technologies and small patient populations </w:t>
      </w:r>
    </w:p>
    <w:bookmarkEnd w:id="211"/>
    <w:p w14:paraId="0265278F" w14:textId="4EEDFF86" w:rsidR="000B2E38" w:rsidRDefault="000B2E38" w:rsidP="00156F43">
      <w:pPr>
        <w:spacing w:after="200"/>
      </w:pPr>
      <w:r>
        <w:t>Notwithstanding this experience</w:t>
      </w:r>
      <w:r w:rsidR="00347806">
        <w:t>,</w:t>
      </w:r>
      <w:r>
        <w:t xml:space="preserve"> the Reference Committee appreciates that </w:t>
      </w:r>
      <w:r w:rsidR="008E0862">
        <w:t xml:space="preserve">the need for </w:t>
      </w:r>
      <w:r w:rsidR="00756ED3">
        <w:t>CED</w:t>
      </w:r>
      <w:r w:rsidR="009B5875">
        <w:t xml:space="preserve"> approaches </w:t>
      </w:r>
      <w:r w:rsidR="0057106C">
        <w:t xml:space="preserve">is likely to increase. </w:t>
      </w:r>
    </w:p>
    <w:p w14:paraId="28DB2A7A" w14:textId="14858000" w:rsidR="00156F43" w:rsidRDefault="00156F43" w:rsidP="00156F43">
      <w:pPr>
        <w:spacing w:after="200"/>
      </w:pPr>
      <w:r>
        <w:t>Many n</w:t>
      </w:r>
      <w:r w:rsidRPr="00E27F04">
        <w:t xml:space="preserve">ew and emerging health technologies </w:t>
      </w:r>
      <w:r>
        <w:t>are likely to</w:t>
      </w:r>
      <w:r w:rsidRPr="00E27F04">
        <w:t xml:space="preserve"> be used in highly select and very small patient populations (</w:t>
      </w:r>
      <w:proofErr w:type="gramStart"/>
      <w:r w:rsidR="006A48DA">
        <w:t>e.g.</w:t>
      </w:r>
      <w:proofErr w:type="gramEnd"/>
      <w:r w:rsidRPr="00E27F04">
        <w:t xml:space="preserve"> rare and ultra-rare diseases</w:t>
      </w:r>
      <w:r w:rsidR="008B7A1E">
        <w:fldChar w:fldCharType="begin"/>
      </w:r>
      <w:r w:rsidR="008B7A1E">
        <w:instrText xml:space="preserve"> XE "</w:instrText>
      </w:r>
      <w:r w:rsidR="008B7A1E" w:rsidRPr="009A7D37">
        <w:rPr>
          <w:rFonts w:eastAsia="Times New Roman" w:cs="Segoe UI"/>
          <w:color w:val="222A35"/>
          <w:kern w:val="24"/>
          <w:lang w:eastAsia="en-AU"/>
        </w:rPr>
        <w:instrText>rare diseases</w:instrText>
      </w:r>
      <w:r w:rsidR="008B7A1E">
        <w:instrText xml:space="preserve">" \b </w:instrText>
      </w:r>
      <w:r w:rsidR="008B7A1E">
        <w:fldChar w:fldCharType="end"/>
      </w:r>
      <w:r w:rsidRPr="00E27F04">
        <w:t xml:space="preserve">), with poorly characterised natural disease history, uncertain epidemiology, heterogenous phenotypes, and lack of diagnostic accuracy. As such, the key evidence uncertainties will </w:t>
      </w:r>
      <w:r>
        <w:t xml:space="preserve">result from insufficient or unavailable RCT evidence. </w:t>
      </w:r>
    </w:p>
    <w:p w14:paraId="7AF95EE9" w14:textId="6C22C5A2" w:rsidR="00156F43" w:rsidRPr="00417ECF" w:rsidRDefault="00156F43" w:rsidP="00156F43">
      <w:pPr>
        <w:spacing w:after="200"/>
      </w:pPr>
      <w:r>
        <w:t>RWD and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t xml:space="preserve"> may be used to supplement RCT evidence to inform decision-making regarding subsidy of health technologies proposed for use in Australia and reduce uncertainty. An increasing role for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t xml:space="preserve"> and RWD is to gain more information on the outcomes associated with funded technologies, including those provisionally listed, particularly where there is uncertainty around long</w:t>
      </w:r>
      <w:r w:rsidR="005261F4">
        <w:t>-</w:t>
      </w:r>
      <w:r>
        <w:t xml:space="preserve">term outcomes or the specific patient population. Having systems in place to enable the timely and accurate collection and reporting of utilisation and outcome data associated with provisionally </w:t>
      </w:r>
      <w:r>
        <w:lastRenderedPageBreak/>
        <w:t xml:space="preserve">listed technologies will be critical to the establishment of any CED or provisional listing access </w:t>
      </w:r>
      <w:r w:rsidRPr="00417ECF">
        <w:t xml:space="preserve">arrangement. </w:t>
      </w:r>
    </w:p>
    <w:p w14:paraId="4BBB139E" w14:textId="26E18FDC" w:rsidR="00156F43" w:rsidRPr="00417ECF" w:rsidRDefault="00156F43" w:rsidP="0068061E">
      <w:pPr>
        <w:pStyle w:val="Heading4"/>
      </w:pPr>
      <w:r w:rsidRPr="00417ECF">
        <w:t>Quality of RWD and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p>
    <w:p w14:paraId="62EC81B8" w14:textId="639B20BD" w:rsidR="00156F43" w:rsidRPr="00417ECF" w:rsidRDefault="00156F43" w:rsidP="00156F43">
      <w:pPr>
        <w:rPr>
          <w:color w:val="000000" w:themeColor="text1"/>
        </w:rPr>
      </w:pPr>
      <w:r w:rsidRPr="00417ECF">
        <w:t>The acceptability of RWE</w:t>
      </w:r>
      <w:r w:rsidR="00D75A2B">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fldChar w:fldCharType="end"/>
      </w:r>
      <w:r w:rsidRPr="00417ECF">
        <w:t xml:space="preserve"> for HTA is often hindered by questions relating to quality. </w:t>
      </w:r>
      <w:bookmarkStart w:id="212" w:name="_Hlk155709184"/>
      <w:r w:rsidRPr="00417ECF">
        <w:t>RCTs are</w:t>
      </w:r>
      <w:r w:rsidRPr="00417ECF">
        <w:rPr>
          <w:color w:val="000000" w:themeColor="text1"/>
        </w:rPr>
        <w:t xml:space="preserve"> considered the highest quality evidence in demonstrating the efficacy of a health technology as they are designed to address a specific study hypothesis or question</w:t>
      </w:r>
      <w:r w:rsidR="00400EB4">
        <w:rPr>
          <w:color w:val="000000" w:themeColor="text1"/>
        </w:rPr>
        <w:t>;</w:t>
      </w:r>
      <w:r w:rsidRPr="00417ECF">
        <w:rPr>
          <w:color w:val="000000" w:themeColor="text1"/>
        </w:rPr>
        <w:t xml:space="preserve"> randomisation is used to ensure that bias and confounding is minimised</w:t>
      </w:r>
      <w:r w:rsidR="0096132E">
        <w:rPr>
          <w:color w:val="000000" w:themeColor="text1"/>
        </w:rPr>
        <w:t>;</w:t>
      </w:r>
      <w:r w:rsidRPr="00417ECF">
        <w:rPr>
          <w:color w:val="000000" w:themeColor="text1"/>
        </w:rPr>
        <w:t xml:space="preserve"> data are collected purposefully</w:t>
      </w:r>
      <w:r w:rsidR="0096132E">
        <w:rPr>
          <w:color w:val="000000" w:themeColor="text1"/>
        </w:rPr>
        <w:t>;</w:t>
      </w:r>
      <w:r w:rsidRPr="00417ECF">
        <w:rPr>
          <w:color w:val="000000" w:themeColor="text1"/>
        </w:rPr>
        <w:t xml:space="preserve"> and data curation is highly regulated. In contrast, studies leveraging RWD, where data is commonly collected in real</w:t>
      </w:r>
      <w:r w:rsidR="00FA2BB8">
        <w:rPr>
          <w:color w:val="000000" w:themeColor="text1"/>
        </w:rPr>
        <w:t>-</w:t>
      </w:r>
      <w:r w:rsidRPr="00417ECF">
        <w:rPr>
          <w:color w:val="000000" w:themeColor="text1"/>
        </w:rPr>
        <w:t xml:space="preserve">world clinical settings, are subject to bias and confounding and may not have complete capture of all necessary information. </w:t>
      </w:r>
    </w:p>
    <w:p w14:paraId="26394A36" w14:textId="2689E7D0" w:rsidR="00156F43" w:rsidRPr="00C641CC" w:rsidRDefault="00156F43" w:rsidP="00156F43">
      <w:pPr>
        <w:rPr>
          <w:color w:val="000000" w:themeColor="text1"/>
        </w:rPr>
      </w:pPr>
      <w:r w:rsidRPr="00417ECF">
        <w:rPr>
          <w:color w:val="000000" w:themeColor="text1"/>
        </w:rPr>
        <w:t>The quality of RWE</w:t>
      </w:r>
      <w:r w:rsidR="00D75A2B">
        <w:rPr>
          <w:color w:val="000000" w:themeColor="text1"/>
        </w:rPr>
        <w:fldChar w:fldCharType="begin"/>
      </w:r>
      <w:r w:rsidR="00D75A2B">
        <w:instrText xml:space="preserve"> XE "</w:instrText>
      </w:r>
      <w:r w:rsidR="00D75A2B" w:rsidRPr="00EE01D4">
        <w:rPr>
          <w:rFonts w:eastAsia="Arial"/>
          <w:color w:val="000000" w:themeColor="text1"/>
        </w:rPr>
        <w:instrText xml:space="preserve">real-world </w:instrText>
      </w:r>
      <w:proofErr w:type="spellStart"/>
      <w:proofErr w:type="gramStart"/>
      <w:r w:rsidR="00D75A2B" w:rsidRPr="00EE01D4">
        <w:rPr>
          <w:rFonts w:eastAsia="Arial"/>
          <w:color w:val="000000" w:themeColor="text1"/>
        </w:rPr>
        <w:instrText>evidence:</w:instrText>
      </w:r>
      <w:r w:rsidR="00D75A2B" w:rsidRPr="0090711C">
        <w:instrText>RWE</w:instrText>
      </w:r>
      <w:proofErr w:type="spellEnd"/>
      <w:proofErr w:type="gramEnd"/>
      <w:r w:rsidR="00D75A2B">
        <w:instrText xml:space="preserve">" \b </w:instrText>
      </w:r>
      <w:r w:rsidR="00D75A2B">
        <w:rPr>
          <w:color w:val="000000" w:themeColor="text1"/>
        </w:rPr>
        <w:fldChar w:fldCharType="end"/>
      </w:r>
      <w:r w:rsidRPr="00417ECF">
        <w:rPr>
          <w:color w:val="000000" w:themeColor="text1"/>
        </w:rPr>
        <w:t xml:space="preserve"> is multifactorial: it relies on the quality of the underlying data (provenance, reliability and missingness), the quality of the methods used to analyse those data (appropriate study design and analytic methods to control for bias) and the quality of the question itself (data fit for purpose to address the question). Issues relating to data quality may be considered in terms of relevance (availability, representativeness), and reliability (accuracy, completeness).</w:t>
      </w:r>
      <w:r>
        <w:rPr>
          <w:color w:val="000000" w:themeColor="text1"/>
        </w:rPr>
        <w:t xml:space="preserve"> </w:t>
      </w:r>
    </w:p>
    <w:bookmarkEnd w:id="212"/>
    <w:p w14:paraId="57E4FDF1" w14:textId="5395922C" w:rsidR="00C64C47" w:rsidRDefault="00C64C47" w:rsidP="00156F43">
      <w:pPr>
        <w:rPr>
          <w:color w:val="000000" w:themeColor="text1"/>
        </w:rPr>
      </w:pPr>
      <w:r>
        <w:rPr>
          <w:color w:val="000000" w:themeColor="text1"/>
        </w:rPr>
        <w:t xml:space="preserve">The </w:t>
      </w:r>
      <w:r w:rsidR="006E3A88">
        <w:rPr>
          <w:color w:val="000000" w:themeColor="text1"/>
        </w:rPr>
        <w:t xml:space="preserve">Reference Committee also appreciates that methods for </w:t>
      </w:r>
      <w:r w:rsidR="0009510D">
        <w:rPr>
          <w:color w:val="000000" w:themeColor="text1"/>
        </w:rPr>
        <w:t xml:space="preserve">minimising bias and confounding in </w:t>
      </w:r>
      <w:r w:rsidR="007870C7">
        <w:rPr>
          <w:color w:val="000000" w:themeColor="text1"/>
        </w:rPr>
        <w:t>studies using RWD are becoming more sophisticated and may</w:t>
      </w:r>
      <w:r w:rsidR="00D52E71">
        <w:rPr>
          <w:color w:val="000000" w:themeColor="text1"/>
        </w:rPr>
        <w:t xml:space="preserve"> help to reduce uncertainty when these data are used to answer questions about clinical and cost-effectiveness. </w:t>
      </w:r>
    </w:p>
    <w:p w14:paraId="6C3AA7E9" w14:textId="6C8779BA" w:rsidR="00CE648C" w:rsidRDefault="003F5DDD" w:rsidP="00E43CEC">
      <w:pPr>
        <w:pStyle w:val="Heading4"/>
      </w:pPr>
      <w:r>
        <w:t>Absence</w:t>
      </w:r>
      <w:r w:rsidR="001203A6">
        <w:t xml:space="preserve"> of a coordinated</w:t>
      </w:r>
      <w:r w:rsidR="001F4D82">
        <w:t xml:space="preserve"> national</w:t>
      </w:r>
      <w:r w:rsidR="001203A6">
        <w:t xml:space="preserve"> approach to collecting</w:t>
      </w:r>
      <w:r w:rsidR="00BE0D60">
        <w:t xml:space="preserve"> RWD on health outcomes</w:t>
      </w:r>
    </w:p>
    <w:p w14:paraId="0CD6B01C" w14:textId="0DD12A4C" w:rsidR="003F5DDD" w:rsidRDefault="001F4D82" w:rsidP="00BE0D60">
      <w:r>
        <w:t xml:space="preserve">The Reference Committee considers that one of the barriers to </w:t>
      </w:r>
      <w:r w:rsidR="00C51271">
        <w:t xml:space="preserve">implementing </w:t>
      </w:r>
      <w:r w:rsidR="00756ED3">
        <w:t>CED</w:t>
      </w:r>
      <w:r w:rsidR="00C51271">
        <w:t xml:space="preserve"> </w:t>
      </w:r>
      <w:r w:rsidR="00B73962">
        <w:t xml:space="preserve">approaches is the absence of </w:t>
      </w:r>
      <w:r w:rsidR="00E400D9">
        <w:t>data infrastructure and</w:t>
      </w:r>
      <w:r w:rsidR="00893481">
        <w:t xml:space="preserve"> standard</w:t>
      </w:r>
      <w:r w:rsidR="005231BC">
        <w:t xml:space="preserve">s that would enable </w:t>
      </w:r>
      <w:r w:rsidR="00404E88">
        <w:t xml:space="preserve">health outcomes data to be collected in a way that supports </w:t>
      </w:r>
      <w:r w:rsidR="003218EA">
        <w:t>assessment of clinical and cost-effectiveness.</w:t>
      </w:r>
    </w:p>
    <w:p w14:paraId="4FCDF095" w14:textId="06270BB8" w:rsidR="00BE0D60" w:rsidRPr="00BE0D60" w:rsidRDefault="003F5DDD" w:rsidP="00BE0D60">
      <w:r>
        <w:t xml:space="preserve">The Reference Committee appreciates that </w:t>
      </w:r>
      <w:r w:rsidR="00F840FB">
        <w:t>there are existing approaches for collecting health outcomes data used in state and territor</w:t>
      </w:r>
      <w:r w:rsidR="00A93B0B">
        <w:t xml:space="preserve">y </w:t>
      </w:r>
      <w:r w:rsidR="005B63BC">
        <w:t>hospital s</w:t>
      </w:r>
      <w:r w:rsidR="00720016">
        <w:t>ystems</w:t>
      </w:r>
      <w:r w:rsidR="0024275A">
        <w:t xml:space="preserve"> but notes that these are not coordinated, the data are not widely available for use to </w:t>
      </w:r>
      <w:r w:rsidR="00C848B9">
        <w:t xml:space="preserve">evaluate health technologies funded </w:t>
      </w:r>
      <w:r w:rsidR="00C3608E">
        <w:t>under Australia’s funding schemes</w:t>
      </w:r>
      <w:r w:rsidR="00ED4901">
        <w:t xml:space="preserve">, and </w:t>
      </w:r>
      <w:r w:rsidR="003976FC">
        <w:t xml:space="preserve">that they </w:t>
      </w:r>
      <w:r w:rsidR="00ED4901">
        <w:t xml:space="preserve">may not be collected in a way that would enable </w:t>
      </w:r>
      <w:r w:rsidR="00A433C5">
        <w:t xml:space="preserve">questions about clinical and cost-effectiveness to be </w:t>
      </w:r>
      <w:r w:rsidR="00576828">
        <w:t xml:space="preserve">answered. </w:t>
      </w:r>
    </w:p>
    <w:p w14:paraId="0CB37F84" w14:textId="2C505D48" w:rsidR="00156F43" w:rsidRPr="007D6541" w:rsidRDefault="00156F43" w:rsidP="0056429B">
      <w:pPr>
        <w:pStyle w:val="Heading3"/>
        <w:keepNext/>
        <w:keepLines/>
      </w:pPr>
      <w:bookmarkStart w:id="213" w:name="_Toc157029114"/>
      <w:r w:rsidRPr="007D6541">
        <w:t>Options</w:t>
      </w:r>
      <w:bookmarkEnd w:id="213"/>
    </w:p>
    <w:p w14:paraId="5D2F9570" w14:textId="5C306E65" w:rsidR="00156F43" w:rsidRDefault="00156F43" w:rsidP="00A06CC1">
      <w:r>
        <w:t>Th</w:t>
      </w:r>
      <w:r w:rsidR="00AF74AB">
        <w:t>e Reference Committee believes there</w:t>
      </w:r>
      <w:r>
        <w:t xml:space="preserve"> are significant opportunities to </w:t>
      </w:r>
      <w:r w:rsidRPr="00CA5079">
        <w:t>maximise the value of RWD and RWE</w:t>
      </w:r>
      <w:r w:rsidR="00D75A2B">
        <w:fldChar w:fldCharType="begin"/>
      </w:r>
      <w:r w:rsidR="00D75A2B">
        <w:instrText xml:space="preserve"> XE "</w:instrText>
      </w:r>
      <w:r w:rsidR="00D75A2B" w:rsidRPr="00A06CC1">
        <w:instrText xml:space="preserve">real-world </w:instrText>
      </w:r>
      <w:proofErr w:type="spellStart"/>
      <w:proofErr w:type="gramStart"/>
      <w:r w:rsidR="00D75A2B" w:rsidRPr="00A06CC1">
        <w:instrText>evidence:</w:instrText>
      </w:r>
      <w:r w:rsidR="00D75A2B" w:rsidRPr="0090711C">
        <w:instrText>RWE</w:instrText>
      </w:r>
      <w:proofErr w:type="spellEnd"/>
      <w:proofErr w:type="gramEnd"/>
      <w:r w:rsidR="00D75A2B">
        <w:instrText xml:space="preserve">" \b </w:instrText>
      </w:r>
      <w:r w:rsidR="00D75A2B">
        <w:fldChar w:fldCharType="end"/>
      </w:r>
      <w:r w:rsidRPr="00CA5079">
        <w:t xml:space="preserve"> for HTA in Australia</w:t>
      </w:r>
      <w:r>
        <w:t xml:space="preserve"> in coming years</w:t>
      </w:r>
      <w:r w:rsidR="00AF74AB">
        <w:t xml:space="preserve">. </w:t>
      </w:r>
      <w:r w:rsidR="00AF74AB" w:rsidRPr="00C42682">
        <w:t>It would like to seek feedback</w:t>
      </w:r>
      <w:r w:rsidR="0010016C" w:rsidRPr="00C42682">
        <w:t xml:space="preserve"> on the following options</w:t>
      </w:r>
      <w:r w:rsidRPr="00C42682">
        <w:t xml:space="preserve"> </w:t>
      </w:r>
      <w:r w:rsidR="0010016C" w:rsidRPr="00C42682">
        <w:t>based on</w:t>
      </w:r>
      <w:r w:rsidRPr="00C42682">
        <w:t xml:space="preserve"> </w:t>
      </w:r>
      <w:r w:rsidR="004F3085" w:rsidRPr="00C42682">
        <w:t>the</w:t>
      </w:r>
      <w:r w:rsidR="00990C96" w:rsidRPr="00C42682">
        <w:t xml:space="preserve"> </w:t>
      </w:r>
      <w:r w:rsidRPr="00C42682">
        <w:lastRenderedPageBreak/>
        <w:t xml:space="preserve">roadmap </w:t>
      </w:r>
      <w:r w:rsidR="005A3539" w:rsidRPr="00C42682">
        <w:t xml:space="preserve">provided in the commissioned expert paper, </w:t>
      </w:r>
      <w:hyperlink r:id="rId187" w:history="1">
        <w:r w:rsidR="002460C6" w:rsidRPr="00A06CC1">
          <w:rPr>
            <w:rStyle w:val="Hyperlink"/>
            <w:i/>
          </w:rPr>
          <w:t>Optimised real world evidence to support health technology assessment in Australia</w:t>
        </w:r>
        <w:r w:rsidR="00C42682" w:rsidRPr="00A06CC1">
          <w:rPr>
            <w:rStyle w:val="Hyperlink"/>
            <w:i/>
          </w:rPr>
          <w:t xml:space="preserve"> (paper 7</w:t>
        </w:r>
      </w:hyperlink>
      <w:r w:rsidR="00C42682" w:rsidRPr="00A06CC1">
        <w:rPr>
          <w:i/>
        </w:rPr>
        <w:t>)</w:t>
      </w:r>
      <w:r w:rsidR="00C42682">
        <w:t xml:space="preserve">. </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2543B2" w14:paraId="4FE762D6"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198F75D" w14:textId="6A2C981C" w:rsidR="002543B2" w:rsidRDefault="00607D0B" w:rsidP="008C10BB">
            <w:pPr>
              <w:spacing w:after="120" w:line="259" w:lineRule="auto"/>
              <w:rPr>
                <w:rFonts w:eastAsia="Times New Roman" w:cs="Segoe UI"/>
                <w:b/>
                <w:bCs/>
                <w:lang w:eastAsia="en-AU"/>
              </w:rPr>
            </w:pPr>
            <w:r w:rsidRPr="00607D0B">
              <w:rPr>
                <w:rFonts w:eastAsia="Times New Roman" w:cs="Segoe UI"/>
                <w:b/>
                <w:bCs/>
                <w:lang w:eastAsia="en-AU"/>
              </w:rPr>
              <w:t xml:space="preserve">Oversight – reforms to optimise access </w:t>
            </w:r>
            <w:r w:rsidR="00C45F13">
              <w:rPr>
                <w:rFonts w:eastAsia="Times New Roman" w:cs="Segoe UI"/>
                <w:b/>
                <w:bCs/>
                <w:lang w:eastAsia="en-AU"/>
              </w:rPr>
              <w:t xml:space="preserve">to </w:t>
            </w:r>
            <w:r w:rsidRPr="00607D0B">
              <w:rPr>
                <w:rFonts w:eastAsia="Times New Roman" w:cs="Segoe UI"/>
                <w:b/>
                <w:bCs/>
                <w:lang w:eastAsia="en-AU"/>
              </w:rPr>
              <w:t>and use of RWD in HTA</w:t>
            </w:r>
            <w:r w:rsidR="002543B2" w:rsidRPr="00C737B2">
              <w:rPr>
                <w:rFonts w:eastAsia="Times New Roman" w:cs="Segoe UI"/>
                <w:b/>
                <w:bCs/>
                <w:lang w:eastAsia="en-AU"/>
              </w:rPr>
              <w:t xml:space="preserve"> </w:t>
            </w:r>
          </w:p>
          <w:p w14:paraId="48ADD594" w14:textId="2ED50187" w:rsidR="002543B2" w:rsidRPr="00837CDF" w:rsidRDefault="000B548D" w:rsidP="008C10BB">
            <w:pPr>
              <w:spacing w:after="120" w:line="259" w:lineRule="auto"/>
              <w:rPr>
                <w:rFonts w:eastAsia="Times New Roman" w:cs="Segoe UI"/>
                <w:lang w:eastAsia="en-AU"/>
              </w:rPr>
            </w:pPr>
            <w:r w:rsidRPr="000B548D">
              <w:rPr>
                <w:rFonts w:eastAsia="Times New Roman" w:cs="Segoe UI"/>
                <w:lang w:eastAsia="en-AU"/>
              </w:rPr>
              <w:t>Establish a multi-stakeholder advisory group, reporting to government, to co-design and oversee the development and implementation of enabling systems, pathways, evaluation, and research to optimise access and use of RWD in HTA.</w:t>
            </w:r>
          </w:p>
        </w:tc>
      </w:tr>
    </w:tbl>
    <w:p w14:paraId="12DDBDD4" w14:textId="77777777" w:rsidR="00891DF9" w:rsidRDefault="00891DF9" w:rsidP="007158BC">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0B548D" w14:paraId="6A057176"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051F8F16" w14:textId="26C0EDD3" w:rsidR="00C45F13" w:rsidRDefault="00C45F13" w:rsidP="008C10BB">
            <w:pPr>
              <w:spacing w:after="120" w:line="259" w:lineRule="auto"/>
              <w:rPr>
                <w:rFonts w:eastAsia="Times New Roman" w:cs="Segoe UI"/>
                <w:b/>
                <w:bCs/>
                <w:lang w:eastAsia="en-AU"/>
              </w:rPr>
            </w:pPr>
            <w:r w:rsidRPr="00C45F13">
              <w:rPr>
                <w:rFonts w:eastAsia="Times New Roman" w:cs="Segoe UI"/>
                <w:b/>
                <w:bCs/>
                <w:lang w:eastAsia="en-AU"/>
              </w:rPr>
              <w:t xml:space="preserve">Develop a strategic approach to increase confidence, awareness, and acceptance of cross-jurisdictional and cross-sectoral RWD access and use in </w:t>
            </w:r>
            <w:proofErr w:type="gramStart"/>
            <w:r w:rsidRPr="00C45F13">
              <w:rPr>
                <w:rFonts w:eastAsia="Times New Roman" w:cs="Segoe UI"/>
                <w:b/>
                <w:bCs/>
                <w:lang w:eastAsia="en-AU"/>
              </w:rPr>
              <w:t>HTA</w:t>
            </w:r>
            <w:proofErr w:type="gramEnd"/>
          </w:p>
          <w:p w14:paraId="318CC382" w14:textId="77777777" w:rsidR="000B548D" w:rsidRPr="000B548D" w:rsidRDefault="000B548D" w:rsidP="007C63F9">
            <w:pPr>
              <w:spacing w:after="120"/>
              <w:rPr>
                <w:rFonts w:eastAsia="Times New Roman" w:cs="Segoe UI"/>
                <w:lang w:eastAsia="en-AU"/>
              </w:rPr>
            </w:pPr>
            <w:r w:rsidRPr="000B548D">
              <w:rPr>
                <w:rFonts w:eastAsia="Times New Roman" w:cs="Segoe UI"/>
                <w:lang w:eastAsia="en-AU"/>
              </w:rPr>
              <w:t>This approach should centre consumer and community engagement and co-design, leverage and integrate existing international activities and guidelines, incorporate Australian context and evidence, and fine tune responses and messages specific to HTA. Critically, Australia should continue to develop and enhance systems that ensure privacy protections and data security.</w:t>
            </w:r>
          </w:p>
          <w:p w14:paraId="0C606B6A" w14:textId="00352DB8" w:rsidR="000B548D" w:rsidRPr="00837CDF" w:rsidRDefault="000B548D" w:rsidP="007C63F9">
            <w:pPr>
              <w:spacing w:after="120"/>
              <w:rPr>
                <w:rFonts w:eastAsia="Times New Roman" w:cs="Segoe UI"/>
                <w:lang w:eastAsia="en-AU"/>
              </w:rPr>
            </w:pPr>
            <w:r w:rsidRPr="000B548D">
              <w:rPr>
                <w:rFonts w:eastAsia="Times New Roman" w:cs="Segoe UI"/>
                <w:lang w:eastAsia="en-AU"/>
              </w:rPr>
              <w:t>Australia could develop a strategic approach to increase confidence, awareness, and acceptance of cross-jurisdictional and cross-sectoral RWD access and use in HTA. This approach should centre consumer and community engagement and co-design, leverage and integrate existing international activities and guidelines, incorporate Australian context and evidence, and fine tune responses and messages specific to HTA. Critically, Australia should continue to develop and enhance systems that ensure privacy protections and data security.</w:t>
            </w:r>
          </w:p>
        </w:tc>
      </w:tr>
    </w:tbl>
    <w:p w14:paraId="60E679BC" w14:textId="77777777" w:rsidR="002543B2" w:rsidRDefault="002543B2" w:rsidP="007158BC">
      <w:pPr>
        <w:keepNext/>
        <w:keepLines/>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891DF9" w14:paraId="54B1C970"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24B804B" w14:textId="0923FD85" w:rsidR="00891DF9" w:rsidRDefault="00891DF9" w:rsidP="008C10BB">
            <w:pPr>
              <w:spacing w:after="120" w:line="259" w:lineRule="auto"/>
              <w:rPr>
                <w:rFonts w:eastAsia="Times New Roman" w:cs="Segoe UI"/>
                <w:b/>
                <w:bCs/>
                <w:lang w:eastAsia="en-AU"/>
              </w:rPr>
            </w:pPr>
            <w:r w:rsidRPr="00891DF9">
              <w:rPr>
                <w:rFonts w:eastAsia="Times New Roman" w:cs="Segoe UI"/>
                <w:b/>
                <w:bCs/>
                <w:lang w:eastAsia="en-AU"/>
              </w:rPr>
              <w:t xml:space="preserve">Data infrastructure </w:t>
            </w:r>
          </w:p>
          <w:p w14:paraId="2B822183" w14:textId="77777777" w:rsidR="007C63F9" w:rsidRPr="007C63F9" w:rsidRDefault="007C63F9" w:rsidP="007C63F9">
            <w:pPr>
              <w:spacing w:after="120"/>
              <w:rPr>
                <w:rFonts w:eastAsia="Times New Roman" w:cs="Segoe UI"/>
                <w:lang w:eastAsia="en-AU"/>
              </w:rPr>
            </w:pPr>
            <w:r w:rsidRPr="007C63F9">
              <w:rPr>
                <w:rFonts w:eastAsia="Times New Roman" w:cs="Segoe UI"/>
                <w:lang w:eastAsia="en-AU"/>
              </w:rPr>
              <w:t>Develop a dynamic, enduring whole-of-government data infrastructure, including transparent and streamlined governance, that is fit-for-purpose to accelerate RWE</w:t>
            </w:r>
            <w:r w:rsidRPr="007C63F9">
              <w:rPr>
                <w:rFonts w:eastAsia="Times New Roman" w:cs="Segoe UI"/>
                <w:lang w:eastAsia="en-AU"/>
              </w:rPr>
              <w:fldChar w:fldCharType="begin"/>
            </w:r>
            <w:r w:rsidRPr="007C63F9">
              <w:rPr>
                <w:rFonts w:eastAsia="Times New Roman" w:cs="Segoe UI"/>
                <w:lang w:eastAsia="en-AU"/>
              </w:rPr>
              <w:instrText xml:space="preserve"> XE "real-world </w:instrText>
            </w:r>
            <w:proofErr w:type="spellStart"/>
            <w:proofErr w:type="gramStart"/>
            <w:r w:rsidRPr="007C63F9">
              <w:rPr>
                <w:rFonts w:eastAsia="Times New Roman" w:cs="Segoe UI"/>
                <w:lang w:eastAsia="en-AU"/>
              </w:rPr>
              <w:instrText>evidence:RWE</w:instrText>
            </w:r>
            <w:proofErr w:type="spellEnd"/>
            <w:proofErr w:type="gramEnd"/>
            <w:r w:rsidRPr="007C63F9">
              <w:rPr>
                <w:rFonts w:eastAsia="Times New Roman" w:cs="Segoe UI"/>
                <w:lang w:eastAsia="en-AU"/>
              </w:rPr>
              <w:instrText xml:space="preserve">" \b </w:instrText>
            </w:r>
            <w:r w:rsidRPr="007C63F9">
              <w:rPr>
                <w:rFonts w:eastAsia="Times New Roman" w:cs="Segoe UI"/>
                <w:lang w:eastAsia="en-AU"/>
              </w:rPr>
              <w:fldChar w:fldCharType="end"/>
            </w:r>
            <w:r w:rsidRPr="007C63F9">
              <w:rPr>
                <w:rFonts w:eastAsia="Times New Roman" w:cs="Segoe UI"/>
                <w:lang w:eastAsia="en-AU"/>
              </w:rPr>
              <w:t xml:space="preserve"> development for HTA. </w:t>
            </w:r>
          </w:p>
          <w:p w14:paraId="3DCB6332" w14:textId="77777777" w:rsidR="007C63F9" w:rsidRPr="00D27949" w:rsidRDefault="002F0CB6" w:rsidP="008505D7">
            <w:pPr>
              <w:numPr>
                <w:ilvl w:val="0"/>
                <w:numId w:val="109"/>
              </w:numPr>
              <w:rPr>
                <w:rFonts w:eastAsia="Times New Roman" w:cs="Segoe UI"/>
                <w:lang w:eastAsia="en-AU"/>
              </w:rPr>
            </w:pPr>
            <w:r w:rsidRPr="00D27949">
              <w:rPr>
                <w:rFonts w:eastAsia="Times New Roman" w:cs="Segoe UI"/>
                <w:lang w:eastAsia="en-AU"/>
              </w:rPr>
              <w:t xml:space="preserve">This infrastructure should evolve over time, based on the needs of HTA agencies and other stakeholders. </w:t>
            </w:r>
          </w:p>
          <w:p w14:paraId="3EA93B99" w14:textId="77777777" w:rsidR="007C63F9" w:rsidRPr="00D27949" w:rsidRDefault="007C63F9" w:rsidP="008505D7">
            <w:pPr>
              <w:numPr>
                <w:ilvl w:val="0"/>
                <w:numId w:val="109"/>
              </w:numPr>
              <w:rPr>
                <w:rFonts w:eastAsia="Times New Roman" w:cs="Segoe UI"/>
                <w:lang w:eastAsia="en-AU"/>
              </w:rPr>
            </w:pPr>
            <w:r w:rsidRPr="00D27949">
              <w:rPr>
                <w:rFonts w:eastAsia="Times New Roman" w:cs="Segoe UI"/>
                <w:lang w:eastAsia="en-AU"/>
              </w:rPr>
              <w:t xml:space="preserve">It should also be harmonised using international standards, be flexible to accommodate treatment landscape changes, scalable to incorporate emerging novel datasets, and allow transparent data quality assessment. </w:t>
            </w:r>
          </w:p>
          <w:p w14:paraId="3F55ABEF" w14:textId="5C598D47" w:rsidR="00891DF9" w:rsidRPr="00837CDF" w:rsidRDefault="007C63F9" w:rsidP="008505D7">
            <w:pPr>
              <w:numPr>
                <w:ilvl w:val="0"/>
                <w:numId w:val="109"/>
              </w:numPr>
              <w:spacing w:line="259" w:lineRule="auto"/>
              <w:rPr>
                <w:rFonts w:eastAsia="Times New Roman" w:cs="Segoe UI"/>
                <w:lang w:eastAsia="en-AU"/>
              </w:rPr>
            </w:pPr>
            <w:r w:rsidRPr="00D27949">
              <w:rPr>
                <w:rFonts w:eastAsia="Times New Roman" w:cs="Segoe UI"/>
                <w:lang w:eastAsia="en-AU"/>
              </w:rPr>
              <w:t>Integrated health and social data from a single populous jurisdiction may be fit-for-purpose to address some research questions. These data may be more rapidly accessible and offer depth across multiple sectors.</w:t>
            </w:r>
          </w:p>
        </w:tc>
      </w:tr>
    </w:tbl>
    <w:p w14:paraId="0584C328" w14:textId="77777777" w:rsidR="00156F43" w:rsidRDefault="00156F43" w:rsidP="00156F43"/>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1E562B" w14:paraId="12E7C315"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189C8B2" w14:textId="30CD18BC" w:rsidR="001E562B" w:rsidRDefault="001E562B" w:rsidP="008C10BB">
            <w:pPr>
              <w:spacing w:after="120" w:line="259" w:lineRule="auto"/>
              <w:rPr>
                <w:rFonts w:eastAsia="Times New Roman" w:cs="Segoe UI"/>
                <w:b/>
                <w:bCs/>
                <w:lang w:eastAsia="en-AU"/>
              </w:rPr>
            </w:pPr>
            <w:r w:rsidRPr="001E562B">
              <w:rPr>
                <w:rFonts w:eastAsia="Times New Roman" w:cs="Segoe UI"/>
                <w:b/>
                <w:bCs/>
                <w:lang w:eastAsia="en-AU"/>
              </w:rPr>
              <w:lastRenderedPageBreak/>
              <w:t xml:space="preserve">Methods development </w:t>
            </w:r>
          </w:p>
          <w:p w14:paraId="378C0D52" w14:textId="29BD49CF" w:rsidR="001E562B" w:rsidRPr="00837CDF" w:rsidRDefault="002040CE" w:rsidP="008C10BB">
            <w:pPr>
              <w:spacing w:line="259" w:lineRule="auto"/>
              <w:rPr>
                <w:rFonts w:eastAsia="Times New Roman" w:cs="Segoe UI"/>
                <w:lang w:eastAsia="en-AU"/>
              </w:rPr>
            </w:pPr>
            <w:r w:rsidRPr="002040CE">
              <w:rPr>
                <w:rFonts w:eastAsia="Times New Roman" w:cs="Segoe UI"/>
                <w:lang w:eastAsia="en-AU"/>
              </w:rPr>
              <w:t>Develop a multi-stakeholder coordinated approach to transparent evidence development using best-practice methods for HTA, spanning data standardisation, standardised analytics, and reporting.</w:t>
            </w:r>
          </w:p>
        </w:tc>
      </w:tr>
    </w:tbl>
    <w:p w14:paraId="2A29EC0E" w14:textId="095D4740" w:rsidR="001E562B" w:rsidRDefault="00311AFA" w:rsidP="00156F43">
      <w:r>
        <w:t xml:space="preserve">It should be noted that these structures would take </w:t>
      </w:r>
      <w:proofErr w:type="gramStart"/>
      <w:r>
        <w:t>a number of</w:t>
      </w:r>
      <w:proofErr w:type="gramEnd"/>
      <w:r>
        <w:t xml:space="preserve"> years to effectively establish, and options for collection of outcome data associated with the use of any provisionally listed health technologies is also required in the short term in order to inform decisions around continued subsidy.</w:t>
      </w:r>
    </w:p>
    <w:tbl>
      <w:tblPr>
        <w:tblStyle w:val="TableGrid"/>
        <w:tblpPr w:leftFromText="181" w:rightFromText="181" w:bottomFromText="142" w:vertAnchor="text" w:horzAnchor="margin" w:tblpY="64"/>
        <w:tblOverlap w:val="never"/>
        <w:tblW w:w="9367" w:type="dxa"/>
        <w:tblCellMar>
          <w:top w:w="113" w:type="dxa"/>
          <w:bottom w:w="113" w:type="dxa"/>
        </w:tblCellMar>
        <w:tblLook w:val="04A0" w:firstRow="1" w:lastRow="0" w:firstColumn="1" w:lastColumn="0" w:noHBand="0" w:noVBand="1"/>
      </w:tblPr>
      <w:tblGrid>
        <w:gridCol w:w="9367"/>
      </w:tblGrid>
      <w:tr w:rsidR="00311AFA" w14:paraId="167D8033"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1D446C35" w14:textId="77777777" w:rsidR="00311AFA" w:rsidRDefault="00311AFA" w:rsidP="008C10BB">
            <w:pPr>
              <w:spacing w:after="120" w:line="259" w:lineRule="auto"/>
              <w:rPr>
                <w:rFonts w:eastAsia="Times New Roman" w:cs="Segoe UI"/>
                <w:b/>
                <w:bCs/>
                <w:lang w:eastAsia="en-AU"/>
              </w:rPr>
            </w:pPr>
            <w:r w:rsidRPr="002040CE">
              <w:rPr>
                <w:rFonts w:eastAsia="Times New Roman" w:cs="Segoe UI"/>
                <w:b/>
                <w:bCs/>
                <w:lang w:eastAsia="en-AU"/>
              </w:rPr>
              <w:t xml:space="preserve">Develop Guidance </w:t>
            </w:r>
            <w:proofErr w:type="gramStart"/>
            <w:r w:rsidRPr="002040CE">
              <w:rPr>
                <w:rFonts w:eastAsia="Times New Roman" w:cs="Segoe UI"/>
                <w:b/>
                <w:bCs/>
                <w:lang w:eastAsia="en-AU"/>
              </w:rPr>
              <w:t>framework</w:t>
            </w:r>
            <w:proofErr w:type="gramEnd"/>
          </w:p>
          <w:p w14:paraId="64F7EE4A" w14:textId="2B509C0B" w:rsidR="00311AFA" w:rsidRPr="00587194" w:rsidRDefault="00311AFA" w:rsidP="008C10BB">
            <w:pPr>
              <w:spacing w:after="120" w:line="259" w:lineRule="auto"/>
              <w:rPr>
                <w:rFonts w:eastAsia="Times New Roman" w:cs="Segoe UI"/>
                <w:lang w:eastAsia="en-AU"/>
              </w:rPr>
            </w:pPr>
            <w:r w:rsidRPr="00587194">
              <w:rPr>
                <w:rFonts w:eastAsia="Times New Roman" w:cs="Segoe UI"/>
                <w:lang w:eastAsia="en-AU"/>
              </w:rPr>
              <w:t>Guidance on the use of RWD and RWE</w:t>
            </w:r>
            <w:r w:rsidR="00810D9D" w:rsidRPr="00810D9D">
              <w:rPr>
                <w:rFonts w:eastAsia="Times New Roman" w:cs="Segoe UI"/>
                <w:lang w:eastAsia="en-AU"/>
              </w:rPr>
              <w:fldChar w:fldCharType="begin"/>
            </w:r>
            <w:r w:rsidR="00810D9D" w:rsidRPr="00810D9D">
              <w:rPr>
                <w:rFonts w:eastAsia="Times New Roman" w:cs="Segoe UI"/>
                <w:lang w:eastAsia="en-AU"/>
              </w:rPr>
              <w:instrText xml:space="preserve"> XE "real-world </w:instrText>
            </w:r>
            <w:proofErr w:type="spellStart"/>
            <w:proofErr w:type="gramStart"/>
            <w:r w:rsidR="00810D9D" w:rsidRPr="00810D9D">
              <w:rPr>
                <w:rFonts w:eastAsia="Times New Roman" w:cs="Segoe UI"/>
                <w:lang w:eastAsia="en-AU"/>
              </w:rPr>
              <w:instrText>evidence:RWE</w:instrText>
            </w:r>
            <w:proofErr w:type="spellEnd"/>
            <w:proofErr w:type="gramEnd"/>
            <w:r w:rsidR="00810D9D" w:rsidRPr="00810D9D">
              <w:rPr>
                <w:rFonts w:eastAsia="Times New Roman" w:cs="Segoe UI"/>
                <w:lang w:eastAsia="en-AU"/>
              </w:rPr>
              <w:instrText xml:space="preserve">" \b </w:instrText>
            </w:r>
            <w:r w:rsidR="00810D9D" w:rsidRPr="00810D9D">
              <w:rPr>
                <w:rFonts w:eastAsia="Times New Roman" w:cs="Segoe UI"/>
                <w:lang w:eastAsia="en-AU"/>
              </w:rPr>
              <w:fldChar w:fldCharType="end"/>
            </w:r>
            <w:r w:rsidRPr="00587194">
              <w:rPr>
                <w:rFonts w:eastAsia="Times New Roman" w:cs="Segoe UI"/>
                <w:lang w:eastAsia="en-AU"/>
              </w:rPr>
              <w:t xml:space="preserve"> would be produced under the oversight of the aforementioned advisory group, following the development of methods. In the interim, the FDA data standardisation framework adopted by the TGA may also be adopted to guide the use of RWD in HTA for subsidy decisions.</w:t>
            </w:r>
          </w:p>
        </w:tc>
      </w:tr>
    </w:tbl>
    <w:p w14:paraId="74ADFA2A" w14:textId="77777777" w:rsidR="00156F43" w:rsidRDefault="00156F43" w:rsidP="007158BC">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2040CE" w14:paraId="1DDB150D"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6CA608AE" w14:textId="6D623284" w:rsidR="002040CE" w:rsidRDefault="0030236D" w:rsidP="008C10BB">
            <w:pPr>
              <w:spacing w:after="120" w:line="259" w:lineRule="auto"/>
              <w:rPr>
                <w:rFonts w:eastAsia="Times New Roman" w:cs="Segoe UI"/>
                <w:b/>
                <w:bCs/>
                <w:lang w:eastAsia="en-AU"/>
              </w:rPr>
            </w:pPr>
            <w:r w:rsidRPr="0030236D">
              <w:rPr>
                <w:rFonts w:eastAsia="Times New Roman" w:cs="Segoe UI"/>
                <w:b/>
                <w:bCs/>
                <w:lang w:eastAsia="en-AU"/>
              </w:rPr>
              <w:t xml:space="preserve">Collection of utilisation and outcome data for provisionally listed health technologies </w:t>
            </w:r>
          </w:p>
          <w:p w14:paraId="231471CE" w14:textId="77777777" w:rsidR="00810D9D" w:rsidRPr="003E6FE1" w:rsidRDefault="00810D9D" w:rsidP="00810D9D">
            <w:pPr>
              <w:spacing w:after="120" w:line="259" w:lineRule="auto"/>
              <w:rPr>
                <w:rFonts w:eastAsia="Times New Roman" w:cs="Segoe UI"/>
                <w:kern w:val="24"/>
                <w:lang w:eastAsia="en-AU"/>
              </w:rPr>
            </w:pPr>
            <w:r w:rsidRPr="003E6FE1">
              <w:rPr>
                <w:rFonts w:eastAsia="Times New Roman" w:cs="Segoe UI"/>
                <w:kern w:val="24"/>
                <w:lang w:eastAsia="en-AU"/>
              </w:rPr>
              <w:t>Existing national or international registries</w:t>
            </w:r>
            <w:r w:rsidRPr="003E6FE1">
              <w:rPr>
                <w:rFonts w:eastAsia="Times New Roman" w:cs="Segoe UI"/>
                <w:kern w:val="24"/>
                <w:lang w:eastAsia="en-AU"/>
              </w:rPr>
              <w:fldChar w:fldCharType="begin"/>
            </w:r>
            <w:r>
              <w:instrText xml:space="preserve"> XE "</w:instrText>
            </w:r>
            <w:r w:rsidRPr="008675E1">
              <w:instrText>registries</w:instrText>
            </w:r>
            <w:r>
              <w:instrText xml:space="preserve">" \b </w:instrText>
            </w:r>
            <w:r w:rsidRPr="003E6FE1">
              <w:rPr>
                <w:rFonts w:eastAsia="Times New Roman" w:cs="Segoe UI"/>
                <w:kern w:val="24"/>
                <w:lang w:eastAsia="en-AU"/>
              </w:rPr>
              <w:fldChar w:fldCharType="end"/>
            </w:r>
            <w:r w:rsidRPr="003E6FE1">
              <w:rPr>
                <w:rFonts w:eastAsia="Times New Roman" w:cs="Segoe UI"/>
                <w:kern w:val="24"/>
                <w:lang w:eastAsia="en-AU"/>
              </w:rPr>
              <w:t xml:space="preserve"> should be used, where possible, to facilitate the collection of outcome data relating to provisionally listed technologies in a timely manner. </w:t>
            </w:r>
          </w:p>
          <w:p w14:paraId="625EA707" w14:textId="77777777" w:rsidR="00810D9D" w:rsidRPr="00810D9D" w:rsidRDefault="00810D9D" w:rsidP="008505D7">
            <w:pPr>
              <w:numPr>
                <w:ilvl w:val="0"/>
                <w:numId w:val="111"/>
              </w:numPr>
              <w:rPr>
                <w:rFonts w:eastAsia="Times New Roman" w:cs="Segoe UI"/>
                <w:lang w:eastAsia="en-AU"/>
              </w:rPr>
            </w:pPr>
            <w:r w:rsidRPr="00810D9D">
              <w:rPr>
                <w:rFonts w:eastAsia="Times New Roman" w:cs="Segoe UI"/>
                <w:lang w:eastAsia="en-AU"/>
              </w:rPr>
              <w:t xml:space="preserve">Outcomes of interest should be determined based on the areas of uncertainty to be resolved, along with baseline data and information relating to other care received. </w:t>
            </w:r>
          </w:p>
          <w:p w14:paraId="643AA469" w14:textId="77777777" w:rsidR="00810D9D" w:rsidRPr="00810D9D" w:rsidRDefault="00810D9D" w:rsidP="008505D7">
            <w:pPr>
              <w:numPr>
                <w:ilvl w:val="0"/>
                <w:numId w:val="111"/>
              </w:numPr>
              <w:rPr>
                <w:rFonts w:eastAsia="Times New Roman" w:cs="Segoe UI"/>
                <w:lang w:eastAsia="en-AU"/>
              </w:rPr>
            </w:pPr>
            <w:r w:rsidRPr="00810D9D">
              <w:rPr>
                <w:rFonts w:eastAsia="Times New Roman" w:cs="Segoe UI"/>
                <w:lang w:eastAsia="en-AU"/>
              </w:rPr>
              <w:t>When it is expected that an application is likely to result in a CED arrangement, a suitable registry should be identified as early as possible, and negotiations commenced to determine the feasibility of data collection and timely access, as well as resourcing requirements (to be paid for by the sponsor, under cost-recovery arrangements). In the longer-term outcomes of interest may be collected as an add-on to relevant enduring data-linkages or e-Health Record data, as recommended by the advisory body (above).</w:t>
            </w:r>
          </w:p>
          <w:p w14:paraId="38A7F126" w14:textId="6C266842" w:rsidR="002040CE" w:rsidRPr="00837CDF" w:rsidRDefault="00810D9D" w:rsidP="008505D7">
            <w:pPr>
              <w:numPr>
                <w:ilvl w:val="0"/>
                <w:numId w:val="111"/>
              </w:numPr>
              <w:spacing w:line="259" w:lineRule="auto"/>
              <w:rPr>
                <w:rFonts w:eastAsia="Times New Roman" w:cs="Segoe UI"/>
                <w:lang w:eastAsia="en-AU"/>
              </w:rPr>
            </w:pPr>
            <w:r w:rsidRPr="00810D9D">
              <w:rPr>
                <w:rFonts w:eastAsia="Times New Roman" w:cs="Segoe UI"/>
                <w:lang w:eastAsia="en-AU"/>
              </w:rPr>
              <w:t>In the case of ultra-rare diseases</w:t>
            </w:r>
            <w:r w:rsidRPr="00810D9D">
              <w:rPr>
                <w:rFonts w:eastAsia="Times New Roman" w:cs="Segoe UI"/>
                <w:lang w:eastAsia="en-AU"/>
              </w:rPr>
              <w:fldChar w:fldCharType="begin"/>
            </w:r>
            <w:r w:rsidRPr="00810D9D">
              <w:rPr>
                <w:rFonts w:eastAsia="Times New Roman" w:cs="Segoe UI"/>
                <w:lang w:eastAsia="en-AU"/>
              </w:rPr>
              <w:instrText xml:space="preserve"> XE "rare diseases" \b </w:instrText>
            </w:r>
            <w:r w:rsidRPr="00810D9D">
              <w:rPr>
                <w:rFonts w:eastAsia="Times New Roman" w:cs="Segoe UI"/>
                <w:lang w:eastAsia="en-AU"/>
              </w:rPr>
              <w:fldChar w:fldCharType="end"/>
            </w:r>
            <w:r w:rsidRPr="00810D9D">
              <w:rPr>
                <w:rFonts w:eastAsia="Times New Roman" w:cs="Segoe UI"/>
                <w:lang w:eastAsia="en-AU"/>
              </w:rPr>
              <w:t>, international registries</w:t>
            </w:r>
            <w:r w:rsidRPr="00810D9D">
              <w:rPr>
                <w:rFonts w:eastAsia="Times New Roman" w:cs="Segoe UI"/>
                <w:lang w:eastAsia="en-AU"/>
              </w:rPr>
              <w:fldChar w:fldCharType="begin"/>
            </w:r>
            <w:r w:rsidRPr="00810D9D">
              <w:rPr>
                <w:rFonts w:eastAsia="Times New Roman" w:cs="Segoe UI"/>
                <w:lang w:eastAsia="en-AU"/>
              </w:rPr>
              <w:instrText xml:space="preserve"> XE "registries" \b </w:instrText>
            </w:r>
            <w:r w:rsidRPr="00810D9D">
              <w:rPr>
                <w:rFonts w:eastAsia="Times New Roman" w:cs="Segoe UI"/>
                <w:lang w:eastAsia="en-AU"/>
              </w:rPr>
              <w:fldChar w:fldCharType="end"/>
            </w:r>
            <w:r w:rsidRPr="00810D9D">
              <w:rPr>
                <w:rFonts w:eastAsia="Times New Roman" w:cs="Segoe UI"/>
                <w:lang w:eastAsia="en-AU"/>
              </w:rPr>
              <w:t xml:space="preserve"> should be utilised. Prior to entry into any CED arrangements, the likelihood of obtaining new evidence to address areas of uncertainty should be considered.</w:t>
            </w:r>
          </w:p>
        </w:tc>
      </w:tr>
    </w:tbl>
    <w:p w14:paraId="4D9FA20F" w14:textId="77777777" w:rsidR="00953AE4" w:rsidRDefault="00227DBB" w:rsidP="008C10BB">
      <w:pPr>
        <w:sectPr w:rsidR="00953AE4" w:rsidSect="00566319">
          <w:headerReference w:type="default" r:id="rId188"/>
          <w:pgSz w:w="11906" w:h="16838"/>
          <w:pgMar w:top="709" w:right="1440" w:bottom="1440" w:left="1440" w:header="284" w:footer="708" w:gutter="0"/>
          <w:cols w:space="708"/>
          <w:docGrid w:linePitch="360"/>
        </w:sectPr>
      </w:pPr>
      <w:bookmarkStart w:id="214" w:name="_Futureproofing_our_systems"/>
      <w:bookmarkStart w:id="215" w:name="_Ref156466775"/>
      <w:bookmarkEnd w:id="214"/>
      <w:r>
        <w:br w:type="page"/>
      </w:r>
    </w:p>
    <w:p w14:paraId="6BE5B2AC" w14:textId="4C2ECA37" w:rsidR="00676C85" w:rsidRDefault="00676C85" w:rsidP="008C10BB">
      <w:pPr>
        <w:pStyle w:val="Heading1"/>
        <w:spacing w:line="259" w:lineRule="auto"/>
      </w:pPr>
      <w:bookmarkStart w:id="216" w:name="_Toc157029115"/>
      <w:bookmarkStart w:id="217" w:name="_Toc157029499"/>
      <w:bookmarkStart w:id="218" w:name="_Toc157030191"/>
      <w:r w:rsidRPr="001C5DDA">
        <w:lastRenderedPageBreak/>
        <w:t xml:space="preserve">Futureproofing </w:t>
      </w:r>
      <w:r w:rsidR="00953AE4">
        <w:t>Australia’s</w:t>
      </w:r>
      <w:r w:rsidRPr="001C5DDA">
        <w:t xml:space="preserve"> systems and processes</w:t>
      </w:r>
      <w:bookmarkEnd w:id="215"/>
      <w:bookmarkEnd w:id="216"/>
      <w:bookmarkEnd w:id="217"/>
      <w:bookmarkEnd w:id="218"/>
    </w:p>
    <w:tbl>
      <w:tblPr>
        <w:tblStyle w:val="TableGrid"/>
        <w:tblW w:w="0" w:type="auto"/>
        <w:tblInd w:w="-142" w:type="dxa"/>
        <w:tblLook w:val="04A0" w:firstRow="1" w:lastRow="0" w:firstColumn="1" w:lastColumn="0" w:noHBand="0" w:noVBand="1"/>
      </w:tblPr>
      <w:tblGrid>
        <w:gridCol w:w="9016"/>
      </w:tblGrid>
      <w:tr w:rsidR="008D49E4" w14:paraId="07A38786" w14:textId="77777777" w:rsidTr="00C3189F">
        <w:tc>
          <w:tcPr>
            <w:tcW w:w="9016" w:type="dxa"/>
            <w:tcBorders>
              <w:top w:val="nil"/>
              <w:left w:val="single" w:sz="18" w:space="0" w:color="153A6E" w:themeColor="text2"/>
              <w:bottom w:val="nil"/>
              <w:right w:val="nil"/>
            </w:tcBorders>
          </w:tcPr>
          <w:p w14:paraId="6764231A" w14:textId="4260C685" w:rsidR="008D49E4" w:rsidRDefault="00C3189F" w:rsidP="008C10BB">
            <w:pPr>
              <w:spacing w:before="120" w:after="120" w:line="259" w:lineRule="auto"/>
              <w:ind w:left="142"/>
            </w:pPr>
            <w:bookmarkStart w:id="219" w:name="_Proactively_addressing_areas"/>
            <w:bookmarkStart w:id="220" w:name="_Ref156431792"/>
            <w:bookmarkEnd w:id="219"/>
            <w:r>
              <w:t xml:space="preserve">This section should be read in conjunction with </w:t>
            </w:r>
            <w:hyperlink r:id="rId189" w:history="1">
              <w:r w:rsidRPr="002E4E2B">
                <w:rPr>
                  <w:rStyle w:val="Hyperlink"/>
                </w:rPr>
                <w:t>Horizon Scanning and Early Assessment</w:t>
              </w:r>
            </w:hyperlink>
            <w:r>
              <w:t xml:space="preserve"> and</w:t>
            </w:r>
            <w:r w:rsidRPr="009B2E2A">
              <w:t xml:space="preserve"> </w:t>
            </w:r>
            <w:hyperlink r:id="rId190" w:history="1">
              <w:r w:rsidRPr="00F07FF3">
                <w:rPr>
                  <w:rStyle w:val="Hyperlink"/>
                </w:rPr>
                <w:t>International Health Technology Market Approval, Funding and Assessment Pathways</w:t>
              </w:r>
            </w:hyperlink>
          </w:p>
        </w:tc>
      </w:tr>
    </w:tbl>
    <w:p w14:paraId="7CEA261C" w14:textId="3F94E4BE" w:rsidR="00EB0C6C" w:rsidRDefault="00EB0C6C" w:rsidP="008C10BB">
      <w:pPr>
        <w:pStyle w:val="Heading2"/>
        <w:spacing w:line="259" w:lineRule="auto"/>
        <w:ind w:left="0" w:firstLine="0"/>
      </w:pPr>
      <w:bookmarkStart w:id="221" w:name="_Toc157029116"/>
      <w:bookmarkStart w:id="222" w:name="_Toc157029500"/>
      <w:bookmarkStart w:id="223" w:name="_Toc157030192"/>
      <w:r w:rsidRPr="00CD050D">
        <w:t>Proactively addressing areas of unmet clinical need</w:t>
      </w:r>
      <w:r w:rsidR="002401F9">
        <w:fldChar w:fldCharType="begin"/>
      </w:r>
      <w:r w:rsidR="002401F9">
        <w:instrText xml:space="preserve"> XE "</w:instrText>
      </w:r>
      <w:r w:rsidR="002401F9" w:rsidRPr="002456C6">
        <w:instrText>unmet clinical need</w:instrText>
      </w:r>
      <w:r w:rsidR="002401F9">
        <w:instrText xml:space="preserve">" \b </w:instrText>
      </w:r>
      <w:r w:rsidR="002401F9">
        <w:fldChar w:fldCharType="end"/>
      </w:r>
      <w:r w:rsidRPr="00CD050D">
        <w:t xml:space="preserve"> and gaps in </w:t>
      </w:r>
      <w:r w:rsidR="00AC4006">
        <w:t>fund</w:t>
      </w:r>
      <w:r w:rsidR="00945211">
        <w:t>ed access</w:t>
      </w:r>
      <w:bookmarkEnd w:id="220"/>
      <w:bookmarkEnd w:id="221"/>
      <w:bookmarkEnd w:id="222"/>
      <w:bookmarkEnd w:id="223"/>
    </w:p>
    <w:p w14:paraId="30E97433" w14:textId="0C5DBA5A" w:rsidR="00E66A61" w:rsidRDefault="00A7558F" w:rsidP="00C56DE5">
      <w:pPr>
        <w:pStyle w:val="Heading3"/>
      </w:pPr>
      <w:bookmarkStart w:id="224" w:name="_Toc157029117"/>
      <w:r>
        <w:t>C</w:t>
      </w:r>
      <w:r w:rsidR="00E66A61">
        <w:t>urrent state</w:t>
      </w:r>
      <w:bookmarkEnd w:id="224"/>
    </w:p>
    <w:p w14:paraId="09860838" w14:textId="6DF8A933" w:rsidR="000A589D" w:rsidRDefault="00502056" w:rsidP="000A589D">
      <w:r>
        <w:t xml:space="preserve">Health technologies are funded in Australia </w:t>
      </w:r>
      <w:r w:rsidR="008C7CCA">
        <w:t xml:space="preserve">in response to applications from sponsors </w:t>
      </w:r>
      <w:r w:rsidR="00D13436">
        <w:t xml:space="preserve">to fund access in Australia. </w:t>
      </w:r>
      <w:r w:rsidR="00CE3D22">
        <w:t xml:space="preserve">This is necessary because health technology companies usually hold the scientific data and other information necessary to inform HTA </w:t>
      </w:r>
      <w:r w:rsidR="00014448">
        <w:t>C</w:t>
      </w:r>
      <w:r w:rsidR="00CE3D22">
        <w:t xml:space="preserve">ommittee’s consideration. </w:t>
      </w:r>
      <w:r w:rsidR="000F77EC">
        <w:t>Further</w:t>
      </w:r>
      <w:r w:rsidR="00F20C7E">
        <w:t>,</w:t>
      </w:r>
      <w:r w:rsidR="004131B4">
        <w:t xml:space="preserve"> </w:t>
      </w:r>
      <w:r w:rsidR="00DE1426">
        <w:t xml:space="preserve">funding arrangements </w:t>
      </w:r>
      <w:r w:rsidR="00C70177">
        <w:t xml:space="preserve">will impact </w:t>
      </w:r>
      <w:r w:rsidR="000F77EC">
        <w:t>health technology compan</w:t>
      </w:r>
      <w:r w:rsidR="000E68DC">
        <w:t>ies’</w:t>
      </w:r>
      <w:r w:rsidR="000F77EC">
        <w:t xml:space="preserve"> </w:t>
      </w:r>
      <w:r w:rsidR="00C70177">
        <w:t xml:space="preserve">decisions to market a product in Australia. </w:t>
      </w:r>
    </w:p>
    <w:p w14:paraId="034CE42C" w14:textId="336FE0C3" w:rsidR="00C70177" w:rsidRDefault="00811E60" w:rsidP="000A589D">
      <w:r>
        <w:t xml:space="preserve">HTA in Australia is reactive. It reacts to submissions being made from </w:t>
      </w:r>
      <w:r w:rsidR="00A01C4A">
        <w:t>sponsors</w:t>
      </w:r>
      <w:r>
        <w:t xml:space="preserve">. We currently do not have </w:t>
      </w:r>
      <w:r w:rsidR="003D63A0">
        <w:t xml:space="preserve">proactive </w:t>
      </w:r>
      <w:r>
        <w:t xml:space="preserve">processes for identifying areas of unmet need and </w:t>
      </w:r>
      <w:r w:rsidR="009F7A37">
        <w:t xml:space="preserve">potential </w:t>
      </w:r>
      <w:r>
        <w:t>treatments</w:t>
      </w:r>
      <w:r w:rsidR="009F7A37">
        <w:t xml:space="preserve"> being developed, or that have been developed that could meet those unmet needs. </w:t>
      </w:r>
    </w:p>
    <w:p w14:paraId="13E44381" w14:textId="21654557" w:rsidR="009F7A37" w:rsidRPr="009F7A37" w:rsidRDefault="00E66A61" w:rsidP="00DF77CD">
      <w:pPr>
        <w:pStyle w:val="Heading3"/>
      </w:pPr>
      <w:bookmarkStart w:id="225" w:name="_Toc157029118"/>
      <w:r w:rsidRPr="006647C5">
        <w:t>What we heard from stakeholders</w:t>
      </w:r>
      <w:bookmarkEnd w:id="225"/>
      <w:r w:rsidRPr="006647C5">
        <w:t xml:space="preserve"> </w:t>
      </w:r>
    </w:p>
    <w:p w14:paraId="404A2681" w14:textId="079BF5A7" w:rsidR="00DF77CD" w:rsidRPr="00DF77CD" w:rsidRDefault="00DF77CD" w:rsidP="00DF77CD">
      <w:r>
        <w:t xml:space="preserve">Stakeholders suggested that Australia adopt a more proactive approach </w:t>
      </w:r>
      <w:r w:rsidR="004063B4">
        <w:t xml:space="preserve">to identifying therapies that address unmet needs such as is undertaken by </w:t>
      </w:r>
      <w:r w:rsidR="13E9B604">
        <w:t xml:space="preserve">the </w:t>
      </w:r>
      <w:r w:rsidR="004063B4">
        <w:t xml:space="preserve">CADTH and the </w:t>
      </w:r>
      <w:r w:rsidR="00E421AA" w:rsidRPr="00760FCD">
        <w:t xml:space="preserve">National Institute for Health and Care Research </w:t>
      </w:r>
      <w:r w:rsidR="00E421AA">
        <w:t xml:space="preserve">Innovation Observatory (NIHRIO) </w:t>
      </w:r>
      <w:r w:rsidR="004063B4">
        <w:t xml:space="preserve">in the UK. </w:t>
      </w:r>
    </w:p>
    <w:p w14:paraId="229EB72A" w14:textId="6FA1EF58" w:rsidR="00E66A61" w:rsidRDefault="00A8088C" w:rsidP="00C56DE5">
      <w:pPr>
        <w:pStyle w:val="Heading3"/>
      </w:pPr>
      <w:bookmarkStart w:id="226" w:name="_Toc157029119"/>
      <w:r>
        <w:t>Issues</w:t>
      </w:r>
      <w:bookmarkEnd w:id="226"/>
    </w:p>
    <w:p w14:paraId="1408FDA9" w14:textId="36776BC0" w:rsidR="00C92563" w:rsidRPr="00C92563" w:rsidRDefault="00A630B7" w:rsidP="00C92563">
      <w:r>
        <w:t xml:space="preserve">We consider that for as long as we are </w:t>
      </w:r>
      <w:r w:rsidR="007E6AC4">
        <w:t>not identifying where we have unmet needs</w:t>
      </w:r>
      <w:r w:rsidR="00D74461">
        <w:t>,</w:t>
      </w:r>
      <w:r w:rsidR="007E6AC4">
        <w:t xml:space="preserve"> </w:t>
      </w:r>
      <w:r w:rsidR="002A231E">
        <w:t>and potential therapies that may address them</w:t>
      </w:r>
      <w:r w:rsidR="00D74461">
        <w:t>,</w:t>
      </w:r>
      <w:r w:rsidR="002A231E">
        <w:t xml:space="preserve"> we will not be </w:t>
      </w:r>
      <w:proofErr w:type="gramStart"/>
      <w:r w:rsidR="002A231E">
        <w:t>in a position</w:t>
      </w:r>
      <w:proofErr w:type="gramEnd"/>
      <w:r w:rsidR="002A231E">
        <w:t xml:space="preserve"> to assess how well our system is </w:t>
      </w:r>
      <w:r w:rsidR="00D74461">
        <w:t xml:space="preserve">meeting the needs of Australians. </w:t>
      </w:r>
      <w:r w:rsidR="00DB11CC">
        <w:t xml:space="preserve">We have heard that </w:t>
      </w:r>
      <w:r w:rsidR="004F7817">
        <w:t>Australia should undertake more formal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rsidR="009C5BD6">
        <w:t xml:space="preserve"> and ways to repurpose existing medicines. </w:t>
      </w:r>
      <w:r w:rsidR="00843DC7">
        <w:t xml:space="preserve">We consider that identifying </w:t>
      </w:r>
      <w:r w:rsidR="007D66D4">
        <w:t xml:space="preserve">unmet </w:t>
      </w:r>
      <w:r w:rsidR="00843DC7">
        <w:t>needs is a pr</w:t>
      </w:r>
      <w:r w:rsidR="009E5D70">
        <w:t xml:space="preserve">ecursor to </w:t>
      </w:r>
      <w:r w:rsidR="007D66D4">
        <w:t xml:space="preserve">identifying </w:t>
      </w:r>
      <w:r w:rsidR="00FB658B">
        <w:t xml:space="preserve">health technologies that could potentially address them. </w:t>
      </w:r>
    </w:p>
    <w:p w14:paraId="73C42980" w14:textId="052BAA5D" w:rsidR="00E66A61" w:rsidRDefault="00E66A61" w:rsidP="00C56DE5">
      <w:pPr>
        <w:pStyle w:val="Heading3"/>
      </w:pPr>
      <w:bookmarkStart w:id="227" w:name="_Toc157029120"/>
      <w:r w:rsidRPr="006647C5">
        <w:t>Options</w:t>
      </w:r>
      <w:bookmarkEnd w:id="227"/>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B84162" w14:paraId="583666E3"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36FDCDF" w14:textId="54357E9A" w:rsidR="00B84162" w:rsidRDefault="00662427" w:rsidP="008C10BB">
            <w:pPr>
              <w:spacing w:after="120" w:line="259" w:lineRule="auto"/>
              <w:rPr>
                <w:rFonts w:eastAsia="Times New Roman" w:cs="Segoe UI"/>
                <w:b/>
                <w:bCs/>
                <w:lang w:eastAsia="en-AU"/>
              </w:rPr>
            </w:pPr>
            <w:r w:rsidRPr="00662427">
              <w:rPr>
                <w:rFonts w:eastAsia="Times New Roman" w:cs="Segoe UI"/>
                <w:b/>
                <w:bCs/>
                <w:lang w:eastAsia="en-AU"/>
              </w:rPr>
              <w:lastRenderedPageBreak/>
              <w:t xml:space="preserve">Development of a priority list </w:t>
            </w:r>
          </w:p>
          <w:p w14:paraId="0E668153" w14:textId="26372372" w:rsidR="00662427" w:rsidRPr="006732A5" w:rsidRDefault="00662427" w:rsidP="008505D7">
            <w:pPr>
              <w:pStyle w:val="ListParagraph"/>
              <w:numPr>
                <w:ilvl w:val="0"/>
                <w:numId w:val="115"/>
              </w:numPr>
              <w:spacing w:after="160" w:line="259" w:lineRule="auto"/>
              <w:rPr>
                <w:rFonts w:eastAsia="Times New Roman" w:cs="Segoe UI"/>
                <w:lang w:eastAsia="en-AU"/>
              </w:rPr>
            </w:pPr>
            <w:r w:rsidRPr="006732A5">
              <w:rPr>
                <w:rFonts w:eastAsia="Times New Roman" w:cs="Segoe UI"/>
                <w:lang w:eastAsia="en-AU"/>
              </w:rPr>
              <w:t xml:space="preserve">A priority list of areas of </w:t>
            </w:r>
            <w:r w:rsidR="004E53B9">
              <w:rPr>
                <w:rFonts w:eastAsia="Times New Roman" w:cs="Segoe UI"/>
                <w:lang w:eastAsia="en-AU"/>
              </w:rPr>
              <w:t>HUCN</w:t>
            </w:r>
            <w:r w:rsidR="00D027D9">
              <w:rPr>
                <w:rFonts w:eastAsia="Times New Roman" w:cs="Segoe UI"/>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lang w:eastAsia="en-AU"/>
              </w:rPr>
              <w:fldChar w:fldCharType="end"/>
            </w:r>
            <w:r w:rsidRPr="006732A5">
              <w:rPr>
                <w:rFonts w:eastAsia="Times New Roman" w:cs="Segoe UI"/>
                <w:lang w:eastAsia="en-AU"/>
              </w:rPr>
              <w:t xml:space="preserve"> to be developed and regularly reviewed and updated in partnership between clinicians, patients and patient organisations, and community. </w:t>
            </w:r>
          </w:p>
          <w:p w14:paraId="34477EF2" w14:textId="5343A413" w:rsidR="006B6D35" w:rsidRDefault="00662427" w:rsidP="008505D7">
            <w:pPr>
              <w:pStyle w:val="ListParagraph"/>
              <w:numPr>
                <w:ilvl w:val="0"/>
                <w:numId w:val="115"/>
              </w:numPr>
              <w:spacing w:after="160" w:line="259" w:lineRule="auto"/>
              <w:rPr>
                <w:rFonts w:eastAsia="Times New Roman" w:cs="Segoe UI"/>
                <w:lang w:eastAsia="en-AU"/>
              </w:rPr>
            </w:pPr>
            <w:r w:rsidRPr="006732A5">
              <w:rPr>
                <w:rFonts w:eastAsia="Times New Roman" w:cs="Segoe UI"/>
                <w:lang w:eastAsia="en-AU"/>
              </w:rPr>
              <w:t xml:space="preserve">In line with the priority reforms under the </w:t>
            </w:r>
            <w:hyperlink r:id="rId191">
              <w:r w:rsidRPr="006B6D35">
                <w:t>National Closing the Gap Agreement 2020</w:t>
              </w:r>
            </w:hyperlink>
            <w:r w:rsidRPr="006732A5">
              <w:rPr>
                <w:rFonts w:eastAsia="Times New Roman" w:cs="Segoe UI"/>
                <w:lang w:eastAsia="en-AU"/>
              </w:rPr>
              <w:t xml:space="preserve"> between all </w:t>
            </w:r>
            <w:r w:rsidR="00F6031C">
              <w:rPr>
                <w:rFonts w:eastAsia="Times New Roman" w:cs="Segoe UI"/>
                <w:lang w:eastAsia="en-AU"/>
              </w:rPr>
              <w:t>g</w:t>
            </w:r>
            <w:r w:rsidRPr="006732A5">
              <w:rPr>
                <w:rFonts w:eastAsia="Times New Roman" w:cs="Segoe UI"/>
                <w:lang w:eastAsia="en-AU"/>
              </w:rPr>
              <w:t>overnments and the Coalition of Peaks, a sub-set of the priority list will be developed in partnership with ACCHSs for the priority areas of HUCN</w:t>
            </w:r>
            <w:r w:rsidR="00D027D9">
              <w:rPr>
                <w:rFonts w:eastAsia="Times New Roman" w:cs="Segoe UI"/>
                <w:lang w:eastAsia="en-AU"/>
              </w:rPr>
              <w:fldChar w:fldCharType="begin"/>
            </w:r>
            <w:r w:rsidR="00D027D9">
              <w:instrText xml:space="preserve"> XE "</w:instrText>
            </w:r>
            <w:r w:rsidR="00D027D9" w:rsidRPr="008516C7">
              <w:rPr>
                <w:lang w:val="en-US"/>
              </w:rPr>
              <w:instrText>high unmet clinical need:</w:instrText>
            </w:r>
            <w:r w:rsidR="00D027D9" w:rsidRPr="008516C7">
              <w:instrText>HUCN</w:instrText>
            </w:r>
            <w:r w:rsidR="00D027D9">
              <w:instrText xml:space="preserve">" </w:instrText>
            </w:r>
            <w:r w:rsidR="00D027D9">
              <w:rPr>
                <w:rFonts w:eastAsia="Times New Roman" w:cs="Segoe UI"/>
                <w:lang w:eastAsia="en-AU"/>
              </w:rPr>
              <w:fldChar w:fldCharType="end"/>
            </w:r>
            <w:r w:rsidRPr="006732A5">
              <w:rPr>
                <w:rFonts w:eastAsia="Times New Roman" w:cs="Segoe UI"/>
                <w:lang w:eastAsia="en-AU"/>
              </w:rPr>
              <w:t xml:space="preserve"> for First Nations </w:t>
            </w:r>
            <w:r w:rsidR="00954835">
              <w:rPr>
                <w:rFonts w:eastAsia="Times New Roman" w:cs="Segoe UI"/>
                <w:lang w:eastAsia="en-AU"/>
              </w:rPr>
              <w:t>p</w:t>
            </w:r>
            <w:r w:rsidRPr="006732A5">
              <w:rPr>
                <w:rFonts w:eastAsia="Times New Roman" w:cs="Segoe UI"/>
                <w:lang w:eastAsia="en-AU"/>
              </w:rPr>
              <w:t>eoples</w:t>
            </w:r>
            <w:r w:rsidR="009950D4">
              <w:rPr>
                <w:rFonts w:eastAsia="Times New Roman" w:cs="Segoe UI"/>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lang w:eastAsia="en-AU"/>
              </w:rPr>
              <w:fldChar w:fldCharType="end"/>
            </w:r>
            <w:r w:rsidRPr="006732A5">
              <w:rPr>
                <w:rFonts w:eastAsia="Times New Roman" w:cs="Segoe UI"/>
                <w:lang w:eastAsia="en-AU"/>
              </w:rPr>
              <w:t xml:space="preserve">. </w:t>
            </w:r>
          </w:p>
          <w:p w14:paraId="62FB27E5" w14:textId="24D5AC80" w:rsidR="00B84162" w:rsidRPr="006732A5" w:rsidRDefault="00662427" w:rsidP="008505D7">
            <w:pPr>
              <w:pStyle w:val="ListParagraph"/>
              <w:numPr>
                <w:ilvl w:val="0"/>
                <w:numId w:val="115"/>
              </w:numPr>
              <w:rPr>
                <w:lang w:eastAsia="en-AU"/>
              </w:rPr>
            </w:pPr>
            <w:r w:rsidRPr="006732A5">
              <w:rPr>
                <w:lang w:eastAsia="en-AU"/>
              </w:rPr>
              <w:t>The list should include consideration of surveillance of AMR to identify new microbes developing resistance to current available treatments, and surveillance of vaccine preventable diseases.</w:t>
            </w:r>
          </w:p>
        </w:tc>
      </w:tr>
    </w:tbl>
    <w:p w14:paraId="5368DA1A" w14:textId="77777777" w:rsidR="00B84162" w:rsidRDefault="00B84162" w:rsidP="002D029D">
      <w:pPr>
        <w:spacing w:after="0"/>
        <w:rPr>
          <w:b/>
          <w:bCs/>
        </w:rPr>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6B6D35" w14:paraId="2BD14176"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20DCAC46" w14:textId="02F3507A" w:rsidR="006B6D35" w:rsidRDefault="006B6D35" w:rsidP="008C10BB">
            <w:pPr>
              <w:spacing w:after="120" w:line="259" w:lineRule="auto"/>
              <w:rPr>
                <w:rFonts w:eastAsia="Times New Roman" w:cs="Segoe UI"/>
                <w:b/>
                <w:bCs/>
                <w:lang w:eastAsia="en-AU"/>
              </w:rPr>
            </w:pPr>
            <w:r w:rsidRPr="006B6D35">
              <w:rPr>
                <w:rFonts w:eastAsia="Times New Roman" w:cs="Segoe UI"/>
                <w:b/>
                <w:bCs/>
                <w:lang w:eastAsia="en-AU"/>
              </w:rPr>
              <w:t>Identifying therapies to meet priority list (horizon scanning</w:t>
            </w:r>
            <w:r w:rsidR="00953783">
              <w:rPr>
                <w:rFonts w:eastAsia="Times New Roman" w:cs="Segoe UI"/>
                <w:b/>
                <w:bCs/>
                <w:lang w:eastAsia="en-AU"/>
              </w:rPr>
              <w:fldChar w:fldCharType="begin"/>
            </w:r>
            <w:r w:rsidR="00953783">
              <w:instrText xml:space="preserve"> XE "</w:instrText>
            </w:r>
            <w:r w:rsidR="00953783" w:rsidRPr="00E51D8C">
              <w:instrText>horizon scanning</w:instrText>
            </w:r>
            <w:r w:rsidR="00953783">
              <w:instrText xml:space="preserve">" </w:instrText>
            </w:r>
            <w:r w:rsidR="00953783">
              <w:rPr>
                <w:rFonts w:eastAsia="Times New Roman" w:cs="Segoe UI"/>
                <w:b/>
                <w:bCs/>
                <w:lang w:eastAsia="en-AU"/>
              </w:rPr>
              <w:fldChar w:fldCharType="end"/>
            </w:r>
            <w:r w:rsidRPr="006B6D35">
              <w:rPr>
                <w:rFonts w:eastAsia="Times New Roman" w:cs="Segoe UI"/>
                <w:b/>
                <w:bCs/>
                <w:lang w:eastAsia="en-AU"/>
              </w:rPr>
              <w:t>)</w:t>
            </w:r>
            <w:r w:rsidRPr="00662427">
              <w:rPr>
                <w:rFonts w:eastAsia="Times New Roman" w:cs="Segoe UI"/>
                <w:b/>
                <w:bCs/>
                <w:lang w:eastAsia="en-AU"/>
              </w:rPr>
              <w:t xml:space="preserve"> </w:t>
            </w:r>
          </w:p>
          <w:p w14:paraId="3FA86D8C" w14:textId="617303BB" w:rsidR="006B6D35" w:rsidRPr="006732A5" w:rsidRDefault="006B6D35" w:rsidP="008505D7">
            <w:pPr>
              <w:pStyle w:val="ListParagraph"/>
              <w:numPr>
                <w:ilvl w:val="0"/>
                <w:numId w:val="116"/>
              </w:numPr>
              <w:spacing w:after="160" w:line="259" w:lineRule="auto"/>
              <w:rPr>
                <w:rFonts w:eastAsia="Times New Roman" w:cs="Segoe UI"/>
                <w:lang w:eastAsia="en-AU"/>
              </w:rPr>
            </w:pPr>
            <w:r w:rsidRPr="006732A5">
              <w:rPr>
                <w:rFonts w:eastAsia="Times New Roman" w:cs="Segoe UI"/>
                <w:lang w:eastAsia="en-AU"/>
              </w:rPr>
              <w:t>An active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process </w:t>
            </w:r>
            <w:r w:rsidR="00D64B14">
              <w:rPr>
                <w:rFonts w:eastAsia="Times New Roman" w:cs="Segoe UI"/>
                <w:lang w:eastAsia="en-AU"/>
              </w:rPr>
              <w:t xml:space="preserve">to </w:t>
            </w:r>
            <w:r w:rsidRPr="006732A5">
              <w:rPr>
                <w:rFonts w:eastAsia="Times New Roman" w:cs="Segoe UI"/>
                <w:lang w:eastAsia="en-AU"/>
              </w:rPr>
              <w:t>be developed to identify therapies with promising HATV</w:t>
            </w:r>
            <w:r w:rsidRPr="006732A5">
              <w:rPr>
                <w:rFonts w:eastAsia="Times New Roman" w:cs="Segoe UI"/>
                <w:lang w:eastAsia="en-AU"/>
              </w:rPr>
              <w:fldChar w:fldCharType="begin"/>
            </w:r>
            <w:r w:rsidRPr="006732A5">
              <w:rPr>
                <w:rFonts w:eastAsia="Times New Roman" w:cs="Segoe UI"/>
                <w:lang w:eastAsia="en-AU"/>
              </w:rPr>
              <w:instrText xml:space="preserve"> XE "high added therapeutic </w:instrText>
            </w:r>
            <w:proofErr w:type="spellStart"/>
            <w:proofErr w:type="gramStart"/>
            <w:r w:rsidRPr="006732A5">
              <w:rPr>
                <w:rFonts w:eastAsia="Times New Roman" w:cs="Segoe UI"/>
                <w:lang w:eastAsia="en-AU"/>
              </w:rPr>
              <w:instrText>value:HATV</w:instrText>
            </w:r>
            <w:proofErr w:type="spellEnd"/>
            <w:proofErr w:type="gramEnd"/>
            <w:r w:rsidRPr="006732A5">
              <w:rPr>
                <w:rFonts w:eastAsia="Times New Roman" w:cs="Segoe UI"/>
                <w:lang w:eastAsia="en-AU"/>
              </w:rPr>
              <w:instrText xml:space="preserve">" \b </w:instrText>
            </w:r>
            <w:r w:rsidRPr="006732A5">
              <w:rPr>
                <w:rFonts w:eastAsia="Times New Roman" w:cs="Segoe UI"/>
                <w:lang w:eastAsia="en-AU"/>
              </w:rPr>
              <w:fldChar w:fldCharType="end"/>
            </w:r>
            <w:r w:rsidRPr="006732A5">
              <w:rPr>
                <w:rFonts w:eastAsia="Times New Roman" w:cs="Segoe UI"/>
                <w:lang w:eastAsia="en-AU"/>
              </w:rPr>
              <w:t xml:space="preserve"> for indications on the priority list (this could include new therapies or new patient indications for the ‘repurposing’ of existing therapies). </w:t>
            </w:r>
          </w:p>
          <w:p w14:paraId="3B7F72B8" w14:textId="26995F28" w:rsidR="006B6D35" w:rsidRPr="006732A5" w:rsidRDefault="006B6D35" w:rsidP="008505D7">
            <w:pPr>
              <w:pStyle w:val="ListParagraph"/>
              <w:numPr>
                <w:ilvl w:val="0"/>
                <w:numId w:val="116"/>
              </w:numPr>
              <w:spacing w:after="160" w:line="259" w:lineRule="auto"/>
              <w:rPr>
                <w:rFonts w:eastAsia="Times New Roman" w:cs="Segoe UI"/>
                <w:lang w:eastAsia="en-AU"/>
              </w:rPr>
            </w:pPr>
            <w:r w:rsidRPr="006732A5">
              <w:rPr>
                <w:rFonts w:eastAsia="Times New Roman" w:cs="Segoe UI"/>
                <w:lang w:eastAsia="en-AU"/>
              </w:rPr>
              <w:t xml:space="preserve">This list is to include a mechanism for partnership with ACCHSs to ensure First Nations </w:t>
            </w:r>
            <w:r w:rsidR="007C6137">
              <w:rPr>
                <w:rFonts w:eastAsia="Times New Roman" w:cs="Segoe UI"/>
                <w:lang w:eastAsia="en-AU"/>
              </w:rPr>
              <w:t>p</w:t>
            </w:r>
            <w:r w:rsidRPr="006732A5">
              <w:rPr>
                <w:rFonts w:eastAsia="Times New Roman" w:cs="Segoe UI"/>
                <w:lang w:eastAsia="en-AU"/>
              </w:rPr>
              <w:t>eoples</w:t>
            </w:r>
            <w:r w:rsidR="009950D4">
              <w:rPr>
                <w:rFonts w:eastAsia="Times New Roman" w:cs="Segoe UI"/>
                <w:lang w:eastAsia="en-AU"/>
              </w:rPr>
              <w:fldChar w:fldCharType="begin"/>
            </w:r>
            <w:r w:rsidR="009950D4">
              <w:instrText xml:space="preserve"> XE "</w:instrText>
            </w:r>
            <w:r w:rsidR="009950D4" w:rsidRPr="0032056E">
              <w:instrText xml:space="preserve">Aboriginal and Torres Strait </w:instrText>
            </w:r>
            <w:proofErr w:type="spellStart"/>
            <w:proofErr w:type="gramStart"/>
            <w:r w:rsidR="009950D4" w:rsidRPr="0032056E">
              <w:instrText>Islander:First</w:instrText>
            </w:r>
            <w:proofErr w:type="spellEnd"/>
            <w:proofErr w:type="gramEnd"/>
            <w:r w:rsidR="009950D4" w:rsidRPr="0032056E">
              <w:instrText xml:space="preserve"> Nations peoples</w:instrText>
            </w:r>
            <w:r w:rsidR="009950D4">
              <w:instrText xml:space="preserve">" </w:instrText>
            </w:r>
            <w:r w:rsidR="009950D4">
              <w:rPr>
                <w:rFonts w:eastAsia="Times New Roman" w:cs="Segoe UI"/>
                <w:lang w:eastAsia="en-AU"/>
              </w:rPr>
              <w:fldChar w:fldCharType="end"/>
            </w:r>
            <w:r w:rsidRPr="006732A5">
              <w:rPr>
                <w:rFonts w:eastAsia="Times New Roman" w:cs="Segoe UI"/>
                <w:lang w:eastAsia="en-AU"/>
              </w:rPr>
              <w:t xml:space="preserve"> health outcomes and health equity</w:t>
            </w:r>
            <w:r w:rsidRPr="006732A5">
              <w:rPr>
                <w:rFonts w:eastAsia="Times New Roman" w:cs="Segoe UI"/>
                <w:lang w:eastAsia="en-AU"/>
              </w:rPr>
              <w:fldChar w:fldCharType="begin"/>
            </w:r>
            <w:r w:rsidRPr="006732A5">
              <w:rPr>
                <w:rFonts w:eastAsia="Times New Roman" w:cs="Segoe UI"/>
                <w:lang w:eastAsia="en-AU"/>
              </w:rPr>
              <w:instrText xml:space="preserve"> XE "equity" </w:instrText>
            </w:r>
            <w:r w:rsidRPr="006732A5">
              <w:rPr>
                <w:rFonts w:eastAsia="Times New Roman" w:cs="Segoe UI"/>
                <w:lang w:eastAsia="en-AU"/>
              </w:rPr>
              <w:fldChar w:fldCharType="end"/>
            </w:r>
            <w:r w:rsidRPr="006732A5">
              <w:rPr>
                <w:rFonts w:eastAsia="Times New Roman" w:cs="Segoe UI"/>
                <w:lang w:eastAsia="en-AU"/>
              </w:rPr>
              <w:t xml:space="preserve"> is appropriately reflected. </w:t>
            </w:r>
          </w:p>
          <w:p w14:paraId="2360D509" w14:textId="77777777" w:rsidR="006B6D35" w:rsidRPr="006732A5" w:rsidRDefault="006B6D35" w:rsidP="008505D7">
            <w:pPr>
              <w:pStyle w:val="ListParagraph"/>
              <w:numPr>
                <w:ilvl w:val="0"/>
                <w:numId w:val="116"/>
              </w:numPr>
              <w:spacing w:line="259" w:lineRule="auto"/>
              <w:rPr>
                <w:rFonts w:eastAsia="Times New Roman" w:cs="Segoe UI"/>
                <w:lang w:eastAsia="en-AU"/>
              </w:rPr>
            </w:pPr>
            <w:r w:rsidRPr="006732A5">
              <w:rPr>
                <w:rFonts w:eastAsia="Times New Roman" w:cs="Segoe UI"/>
                <w:lang w:eastAsia="en-AU"/>
              </w:rPr>
              <w:t>This list would include technologies that do not have market authorisation in Australia as well as technologies where there is evidence they could be repurposed for new indications.</w:t>
            </w:r>
          </w:p>
          <w:p w14:paraId="58436046" w14:textId="54D98C17" w:rsidR="006B6D35" w:rsidRPr="006732A5" w:rsidRDefault="006B6D35" w:rsidP="008C10BB">
            <w:pPr>
              <w:spacing w:line="259" w:lineRule="auto"/>
              <w:rPr>
                <w:rFonts w:eastAsia="Times New Roman" w:cs="Segoe UI"/>
                <w:lang w:eastAsia="en-AU"/>
              </w:rPr>
            </w:pPr>
            <w:r w:rsidRPr="006732A5">
              <w:rPr>
                <w:rFonts w:eastAsia="Times New Roman" w:cs="Segoe UI"/>
                <w:i/>
                <w:lang w:eastAsia="en-AU"/>
              </w:rPr>
              <w:t xml:space="preserve">Note: See separate section on options for </w:t>
            </w:r>
            <w:hyperlink w:anchor="po_HS" w:history="1">
              <w:r w:rsidRPr="006732A5">
                <w:rPr>
                  <w:rStyle w:val="Hyperlink"/>
                  <w:rFonts w:eastAsia="Times New Roman" w:cs="Segoe UI"/>
                  <w:i/>
                  <w:lang w:eastAsia="en-AU"/>
                </w:rPr>
                <w:t>horizon scanning</w:t>
              </w:r>
              <w:r w:rsidRPr="006732A5">
                <w:rPr>
                  <w:rStyle w:val="Hyperlink"/>
                  <w:rFonts w:eastAsia="Times New Roman" w:cs="Segoe UI"/>
                  <w:i/>
                  <w:lang w:eastAsia="en-AU"/>
                </w:rPr>
                <w:fldChar w:fldCharType="begin"/>
              </w:r>
              <w:r w:rsidRPr="006B6D35">
                <w:instrText xml:space="preserve"> XE "</w:instrText>
              </w:r>
              <w:r w:rsidRPr="006732A5">
                <w:rPr>
                  <w:rFonts w:eastAsia="Times New Roman" w:cs="Segoe UI"/>
                  <w:lang w:eastAsia="en-AU"/>
                </w:rPr>
                <w:instrText>horizon scanning</w:instrText>
              </w:r>
              <w:r w:rsidRPr="006B6D35">
                <w:instrText xml:space="preserve">" \b </w:instrText>
              </w:r>
              <w:r w:rsidRPr="006732A5">
                <w:rPr>
                  <w:rStyle w:val="Hyperlink"/>
                  <w:rFonts w:eastAsia="Times New Roman" w:cs="Segoe UI"/>
                  <w:i/>
                  <w:lang w:eastAsia="en-AU"/>
                </w:rPr>
                <w:fldChar w:fldCharType="end"/>
              </w:r>
            </w:hyperlink>
            <w:r w:rsidRPr="006732A5">
              <w:rPr>
                <w:rFonts w:eastAsia="Times New Roman" w:cs="Segoe UI"/>
                <w:i/>
                <w:lang w:eastAsia="en-AU"/>
              </w:rPr>
              <w:t xml:space="preserve"> for further information and additional preferred options considered by the Reference Committee relating to horizon scanning.</w:t>
            </w:r>
          </w:p>
        </w:tc>
      </w:tr>
    </w:tbl>
    <w:p w14:paraId="43AEEF9E" w14:textId="77777777" w:rsidR="006B6D35" w:rsidRDefault="006B6D35" w:rsidP="002D029D">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6B6D35" w14:paraId="420B2566"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103C522A" w14:textId="0FAB9D41" w:rsidR="006B6D35" w:rsidRDefault="00127366" w:rsidP="008C10BB">
            <w:pPr>
              <w:spacing w:after="120" w:line="259" w:lineRule="auto"/>
              <w:rPr>
                <w:rFonts w:eastAsia="Times New Roman" w:cs="Segoe UI"/>
                <w:b/>
                <w:bCs/>
                <w:lang w:eastAsia="en-AU"/>
              </w:rPr>
            </w:pPr>
            <w:r w:rsidRPr="00127366">
              <w:rPr>
                <w:rFonts w:eastAsia="Times New Roman" w:cs="Segoe UI"/>
                <w:b/>
                <w:bCs/>
                <w:lang w:eastAsia="en-AU"/>
              </w:rPr>
              <w:t>Early assessment and prioritisation of potentially promising therapies</w:t>
            </w:r>
            <w:r w:rsidR="006B6D35" w:rsidRPr="00662427">
              <w:rPr>
                <w:rFonts w:eastAsia="Times New Roman" w:cs="Segoe UI"/>
                <w:b/>
                <w:bCs/>
                <w:lang w:eastAsia="en-AU"/>
              </w:rPr>
              <w:t xml:space="preserve"> </w:t>
            </w:r>
          </w:p>
          <w:p w14:paraId="486767EF" w14:textId="7979CEAD" w:rsidR="006B6D35" w:rsidRPr="00837CDF" w:rsidRDefault="00127366" w:rsidP="008C10BB">
            <w:pPr>
              <w:spacing w:line="259" w:lineRule="auto"/>
              <w:rPr>
                <w:rFonts w:eastAsia="Times New Roman" w:cs="Segoe UI"/>
                <w:lang w:eastAsia="en-AU"/>
              </w:rPr>
            </w:pPr>
            <w:r w:rsidRPr="00127366">
              <w:rPr>
                <w:rFonts w:eastAsia="Times New Roman" w:cs="Segoe UI"/>
                <w:lang w:eastAsia="en-AU"/>
              </w:rPr>
              <w:t>Implement a system to assess and prioritise the therapies identified through horizon scanning</w:t>
            </w:r>
            <w:r w:rsidR="00953783">
              <w:rPr>
                <w:rFonts w:eastAsia="Times New Roman" w:cs="Segoe UI"/>
                <w:lang w:eastAsia="en-AU"/>
              </w:rPr>
              <w:fldChar w:fldCharType="begin"/>
            </w:r>
            <w:r w:rsidR="00953783">
              <w:instrText xml:space="preserve"> XE "</w:instrText>
            </w:r>
            <w:r w:rsidR="00953783" w:rsidRPr="00E51D8C">
              <w:instrText>horizon scanning</w:instrText>
            </w:r>
            <w:r w:rsidR="00953783">
              <w:instrText xml:space="preserve">" </w:instrText>
            </w:r>
            <w:r w:rsidR="00953783">
              <w:rPr>
                <w:rFonts w:eastAsia="Times New Roman" w:cs="Segoe UI"/>
                <w:lang w:eastAsia="en-AU"/>
              </w:rPr>
              <w:fldChar w:fldCharType="end"/>
            </w:r>
            <w:r w:rsidRPr="00127366">
              <w:rPr>
                <w:rFonts w:eastAsia="Times New Roman" w:cs="Segoe UI"/>
                <w:lang w:eastAsia="en-AU"/>
              </w:rPr>
              <w:t xml:space="preserve"> with the goal of understanding which therapies represent important advances (HATV</w:t>
            </w:r>
            <w:r w:rsidR="00A56CD6">
              <w:rPr>
                <w:rFonts w:eastAsia="Times New Roman" w:cs="Segoe UI"/>
                <w:lang w:eastAsia="en-AU"/>
              </w:rPr>
              <w:t>)</w:t>
            </w:r>
            <w:r w:rsidRPr="00127366">
              <w:rPr>
                <w:rFonts w:eastAsia="Times New Roman" w:cs="Segoe UI"/>
                <w:lang w:eastAsia="en-AU"/>
              </w:rPr>
              <w:t xml:space="preserve"> in areas of </w:t>
            </w:r>
            <w:r w:rsidR="004E53B9">
              <w:rPr>
                <w:rFonts w:eastAsia="Times New Roman" w:cs="Segoe UI"/>
                <w:lang w:eastAsia="en-AU"/>
              </w:rPr>
              <w:t>HUCN</w:t>
            </w:r>
            <w:r w:rsidR="00D027D9">
              <w:rPr>
                <w:rFonts w:eastAsia="Times New Roman" w:cs="Segoe UI"/>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lang w:eastAsia="en-AU"/>
              </w:rPr>
              <w:fldChar w:fldCharType="end"/>
            </w:r>
            <w:r w:rsidRPr="00127366">
              <w:rPr>
                <w:rFonts w:eastAsia="Times New Roman" w:cs="Segoe UI"/>
                <w:lang w:eastAsia="en-AU"/>
              </w:rPr>
              <w:t>.</w:t>
            </w:r>
          </w:p>
        </w:tc>
      </w:tr>
    </w:tbl>
    <w:p w14:paraId="642F0C6F" w14:textId="77777777" w:rsidR="006B6D35" w:rsidRDefault="006B6D35" w:rsidP="002D029D">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127366" w14:paraId="16EC929A" w14:textId="77777777" w:rsidTr="006F015D">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56232851" w14:textId="33CE743B" w:rsidR="00127366" w:rsidRDefault="00127366" w:rsidP="008C10BB">
            <w:pPr>
              <w:spacing w:after="120" w:line="259" w:lineRule="auto"/>
              <w:rPr>
                <w:rFonts w:eastAsia="Times New Roman" w:cs="Segoe UI"/>
                <w:b/>
                <w:bCs/>
                <w:lang w:eastAsia="en-AU"/>
              </w:rPr>
            </w:pPr>
            <w:r w:rsidRPr="00127366">
              <w:rPr>
                <w:rFonts w:eastAsia="Times New Roman" w:cs="Segoe UI"/>
                <w:b/>
                <w:bCs/>
                <w:lang w:eastAsia="en-AU"/>
              </w:rPr>
              <w:lastRenderedPageBreak/>
              <w:t xml:space="preserve">Proactive submission invitation and incentivisation </w:t>
            </w:r>
          </w:p>
          <w:p w14:paraId="71E07F45" w14:textId="4FC38745" w:rsidR="00127366" w:rsidRPr="00127366" w:rsidRDefault="00127366" w:rsidP="008C10BB">
            <w:pPr>
              <w:spacing w:line="259" w:lineRule="auto"/>
              <w:rPr>
                <w:rFonts w:eastAsia="Times New Roman" w:cs="Segoe UI"/>
                <w:lang w:eastAsia="en-AU"/>
              </w:rPr>
            </w:pPr>
            <w:r w:rsidRPr="00127366">
              <w:rPr>
                <w:rFonts w:eastAsia="Times New Roman" w:cs="Segoe UI"/>
                <w:lang w:eastAsia="en-AU"/>
              </w:rPr>
              <w:t>After a therapy identified through horizon scanning</w:t>
            </w:r>
            <w:r w:rsidR="00953783">
              <w:rPr>
                <w:rFonts w:eastAsia="Times New Roman" w:cs="Segoe UI"/>
                <w:lang w:eastAsia="en-AU"/>
              </w:rPr>
              <w:fldChar w:fldCharType="begin"/>
            </w:r>
            <w:r w:rsidR="00953783">
              <w:instrText xml:space="preserve"> XE "</w:instrText>
            </w:r>
            <w:r w:rsidR="00953783" w:rsidRPr="00E51D8C">
              <w:instrText>horizon scanning</w:instrText>
            </w:r>
            <w:r w:rsidR="00953783">
              <w:instrText xml:space="preserve">" </w:instrText>
            </w:r>
            <w:r w:rsidR="00953783">
              <w:rPr>
                <w:rFonts w:eastAsia="Times New Roman" w:cs="Segoe UI"/>
                <w:lang w:eastAsia="en-AU"/>
              </w:rPr>
              <w:fldChar w:fldCharType="end"/>
            </w:r>
            <w:r w:rsidRPr="00127366">
              <w:rPr>
                <w:rFonts w:eastAsia="Times New Roman" w:cs="Segoe UI"/>
                <w:lang w:eastAsia="en-AU"/>
              </w:rPr>
              <w:t xml:space="preserve"> has been prioritised through the early assessment, the Government could proactively request a sponsor submission. Incentives for the sponsor to bring a submission forward could include: </w:t>
            </w:r>
          </w:p>
          <w:p w14:paraId="4C7F666A" w14:textId="26104D12" w:rsidR="00127366" w:rsidRPr="006732A5" w:rsidRDefault="00127366" w:rsidP="008505D7">
            <w:pPr>
              <w:pStyle w:val="ListParagraph"/>
              <w:numPr>
                <w:ilvl w:val="0"/>
                <w:numId w:val="117"/>
              </w:numPr>
              <w:spacing w:line="259" w:lineRule="auto"/>
              <w:rPr>
                <w:rFonts w:eastAsia="Times New Roman" w:cs="Segoe UI"/>
                <w:lang w:eastAsia="en-AU"/>
              </w:rPr>
            </w:pPr>
            <w:r w:rsidRPr="006732A5">
              <w:rPr>
                <w:rFonts w:eastAsia="Times New Roman" w:cs="Segoe UI"/>
                <w:lang w:eastAsia="en-AU"/>
              </w:rPr>
              <w:t>fee wa</w:t>
            </w:r>
            <w:r w:rsidR="00AE5802">
              <w:rPr>
                <w:rFonts w:eastAsia="Times New Roman" w:cs="Segoe UI"/>
                <w:lang w:eastAsia="en-AU"/>
              </w:rPr>
              <w:t>i</w:t>
            </w:r>
            <w:r w:rsidRPr="006732A5">
              <w:rPr>
                <w:rFonts w:eastAsia="Times New Roman" w:cs="Segoe UI"/>
                <w:lang w:eastAsia="en-AU"/>
              </w:rPr>
              <w:t xml:space="preserve">vers </w:t>
            </w:r>
          </w:p>
          <w:p w14:paraId="4E88BD29" w14:textId="058D484E" w:rsidR="00127366" w:rsidRPr="006732A5" w:rsidRDefault="00127366" w:rsidP="008505D7">
            <w:pPr>
              <w:pStyle w:val="ListParagraph"/>
              <w:numPr>
                <w:ilvl w:val="0"/>
                <w:numId w:val="117"/>
              </w:numPr>
              <w:spacing w:line="259" w:lineRule="auto"/>
              <w:rPr>
                <w:rFonts w:eastAsia="Times New Roman" w:cs="Segoe UI"/>
                <w:lang w:eastAsia="en-AU"/>
              </w:rPr>
            </w:pPr>
            <w:r w:rsidRPr="006732A5">
              <w:rPr>
                <w:rFonts w:eastAsia="Times New Roman" w:cs="Segoe UI"/>
                <w:lang w:eastAsia="en-AU"/>
              </w:rPr>
              <w:t xml:space="preserve">case management </w:t>
            </w:r>
          </w:p>
          <w:p w14:paraId="6ECDA0C3" w14:textId="6682145E" w:rsidR="00127366" w:rsidRPr="006732A5" w:rsidRDefault="00127366" w:rsidP="008505D7">
            <w:pPr>
              <w:pStyle w:val="ListParagraph"/>
              <w:numPr>
                <w:ilvl w:val="0"/>
                <w:numId w:val="117"/>
              </w:numPr>
              <w:spacing w:line="259" w:lineRule="auto"/>
              <w:rPr>
                <w:rFonts w:eastAsia="Times New Roman" w:cs="Segoe UI"/>
                <w:lang w:eastAsia="en-AU"/>
              </w:rPr>
            </w:pPr>
            <w:r w:rsidRPr="006732A5">
              <w:rPr>
                <w:rFonts w:eastAsia="Times New Roman" w:cs="Segoe UI"/>
                <w:lang w:eastAsia="en-AU"/>
              </w:rPr>
              <w:t xml:space="preserve">priority pathway </w:t>
            </w:r>
          </w:p>
          <w:p w14:paraId="619D54FF" w14:textId="6E2A783E" w:rsidR="00127366" w:rsidRPr="006732A5" w:rsidRDefault="00127366" w:rsidP="008505D7">
            <w:pPr>
              <w:pStyle w:val="ListParagraph"/>
              <w:numPr>
                <w:ilvl w:val="0"/>
                <w:numId w:val="117"/>
              </w:numPr>
              <w:spacing w:line="259" w:lineRule="auto"/>
              <w:rPr>
                <w:rFonts w:eastAsia="Times New Roman" w:cs="Segoe UI"/>
                <w:lang w:eastAsia="en-AU"/>
              </w:rPr>
            </w:pPr>
            <w:r w:rsidRPr="006732A5">
              <w:rPr>
                <w:rFonts w:eastAsia="Times New Roman" w:cs="Segoe UI"/>
                <w:lang w:eastAsia="en-AU"/>
              </w:rPr>
              <w:t xml:space="preserve">potential for access to provisional funding programs (subject to HTA committee recommendation) (see </w:t>
            </w:r>
            <w:hyperlink w:anchor="_Approaches_to_funding_1" w:history="1">
              <w:r w:rsidR="00314311">
                <w:rPr>
                  <w:rStyle w:val="Hyperlink"/>
                  <w:rFonts w:eastAsia="Times New Roman" w:cs="Segoe UI"/>
                  <w:lang w:eastAsia="en-AU"/>
                </w:rPr>
                <w:t>Health Technology Funding and purchasing approaches and managing uncertainty</w:t>
              </w:r>
            </w:hyperlink>
            <w:r w:rsidRPr="006732A5">
              <w:rPr>
                <w:rFonts w:eastAsia="Times New Roman" w:cs="Segoe UI"/>
                <w:lang w:eastAsia="en-AU"/>
              </w:rPr>
              <w:t>)</w:t>
            </w:r>
          </w:p>
          <w:p w14:paraId="1DCE85B7" w14:textId="699801F2" w:rsidR="00127366" w:rsidRPr="00837CDF" w:rsidRDefault="00127366" w:rsidP="008C10BB">
            <w:pPr>
              <w:spacing w:line="259" w:lineRule="auto"/>
              <w:rPr>
                <w:rFonts w:eastAsia="Times New Roman" w:cs="Segoe UI"/>
                <w:lang w:eastAsia="en-AU"/>
              </w:rPr>
            </w:pPr>
            <w:r w:rsidRPr="00127366">
              <w:rPr>
                <w:rFonts w:eastAsia="Times New Roman" w:cs="Segoe UI"/>
                <w:lang w:eastAsia="en-AU"/>
              </w:rPr>
              <w:t xml:space="preserve">The sponsor would have a defined period to notify the Government of their intention to accept the offer (4-6 weeks) and then will have to make a submission to the PBAC (and </w:t>
            </w:r>
            <w:r w:rsidR="00D16627">
              <w:rPr>
                <w:rFonts w:eastAsia="Times New Roman" w:cs="Segoe UI"/>
                <w:lang w:eastAsia="en-AU"/>
              </w:rPr>
              <w:t xml:space="preserve">application to the </w:t>
            </w:r>
            <w:r w:rsidRPr="00127366">
              <w:rPr>
                <w:rFonts w:eastAsia="Times New Roman" w:cs="Segoe UI"/>
                <w:lang w:eastAsia="en-AU"/>
              </w:rPr>
              <w:t xml:space="preserve">TGA if applicable) within a pre-defined </w:t>
            </w:r>
            <w:proofErr w:type="gramStart"/>
            <w:r w:rsidRPr="00127366">
              <w:rPr>
                <w:rFonts w:eastAsia="Times New Roman" w:cs="Segoe UI"/>
                <w:lang w:eastAsia="en-AU"/>
              </w:rPr>
              <w:t>time period</w:t>
            </w:r>
            <w:proofErr w:type="gramEnd"/>
            <w:r w:rsidRPr="00127366">
              <w:rPr>
                <w:rFonts w:eastAsia="Times New Roman" w:cs="Segoe UI"/>
                <w:lang w:eastAsia="en-AU"/>
              </w:rPr>
              <w:t>.</w:t>
            </w:r>
          </w:p>
        </w:tc>
      </w:tr>
    </w:tbl>
    <w:p w14:paraId="16C6E209" w14:textId="77777777" w:rsidR="00127366" w:rsidRDefault="00127366" w:rsidP="002D029D">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127366" w14:paraId="5F9B1371" w14:textId="77777777" w:rsidTr="000D16BB">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45EF5438" w14:textId="13F66E68" w:rsidR="00127366" w:rsidRDefault="00127366" w:rsidP="008C10BB">
            <w:pPr>
              <w:spacing w:after="120" w:line="259" w:lineRule="auto"/>
              <w:rPr>
                <w:rFonts w:eastAsia="Times New Roman" w:cs="Segoe UI"/>
                <w:b/>
                <w:bCs/>
                <w:lang w:eastAsia="en-AU"/>
              </w:rPr>
            </w:pPr>
            <w:bookmarkStart w:id="228" w:name="_Hlk156884474"/>
            <w:r w:rsidRPr="00127366">
              <w:rPr>
                <w:rFonts w:eastAsia="Times New Roman" w:cs="Segoe UI"/>
                <w:b/>
                <w:bCs/>
                <w:lang w:eastAsia="en-AU"/>
              </w:rPr>
              <w:t xml:space="preserve">Early PICO scoping </w:t>
            </w:r>
          </w:p>
          <w:p w14:paraId="2FEE2F58" w14:textId="2ED464EA" w:rsidR="00127366" w:rsidRPr="00837CDF" w:rsidRDefault="00127366" w:rsidP="008C10BB">
            <w:pPr>
              <w:spacing w:line="259" w:lineRule="auto"/>
              <w:rPr>
                <w:rFonts w:eastAsia="Times New Roman" w:cs="Segoe UI"/>
                <w:lang w:eastAsia="en-AU"/>
              </w:rPr>
            </w:pPr>
            <w:r w:rsidRPr="00127366">
              <w:rPr>
                <w:rFonts w:eastAsia="Times New Roman" w:cs="Segoe UI"/>
                <w:lang w:eastAsia="en-AU"/>
              </w:rPr>
              <w:t>For therapies where the sponsor has accepted proactive submission invitation, early PICO scoping including identification of implementation requirements and challenges to occur (this could happen contemporaneously to the sponsor developing their submission).</w:t>
            </w:r>
          </w:p>
        </w:tc>
      </w:tr>
    </w:tbl>
    <w:p w14:paraId="7352878B" w14:textId="6D3CE927" w:rsidR="00CD050D" w:rsidRPr="00CD050D" w:rsidRDefault="00CD050D" w:rsidP="008C10BB">
      <w:pPr>
        <w:pStyle w:val="Heading2"/>
        <w:spacing w:line="259" w:lineRule="auto"/>
      </w:pPr>
      <w:bookmarkStart w:id="229" w:name="_Horizon_Scanning"/>
      <w:bookmarkStart w:id="230" w:name="_Ref156896532"/>
      <w:bookmarkStart w:id="231" w:name="_Toc157029121"/>
      <w:bookmarkStart w:id="232" w:name="_Toc157029501"/>
      <w:bookmarkStart w:id="233" w:name="_Toc157030193"/>
      <w:bookmarkEnd w:id="228"/>
      <w:bookmarkEnd w:id="229"/>
      <w:r w:rsidRPr="00CD050D">
        <w:t>Horizon Scanning</w:t>
      </w:r>
      <w:bookmarkEnd w:id="230"/>
      <w:bookmarkEnd w:id="231"/>
      <w:bookmarkEnd w:id="232"/>
      <w:bookmarkEnd w:id="233"/>
      <w:r w:rsidRPr="00CD050D">
        <w:t xml:space="preserve"> </w:t>
      </w:r>
    </w:p>
    <w:p w14:paraId="2298A7C0" w14:textId="77777777" w:rsidR="009139D9" w:rsidRDefault="009139D9" w:rsidP="00C56DE5">
      <w:pPr>
        <w:pStyle w:val="Heading3"/>
        <w:rPr>
          <w:i/>
        </w:rPr>
      </w:pPr>
      <w:bookmarkStart w:id="234" w:name="_Toc157029122"/>
      <w:r w:rsidRPr="006647C5">
        <w:t>Introduction</w:t>
      </w:r>
      <w:r>
        <w:t xml:space="preserve"> and current state</w:t>
      </w:r>
      <w:bookmarkEnd w:id="234"/>
    </w:p>
    <w:p w14:paraId="08411435" w14:textId="22049D0F" w:rsidR="002915FE" w:rsidRDefault="002915FE" w:rsidP="002915FE">
      <w:r>
        <w:t>The Reference Committee acknowledges the keen interest of stakeholders in the topic of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as expressed in stakeholder consultations and presentations to the HTA Review. The </w:t>
      </w:r>
      <w:r w:rsidR="00E12883">
        <w:t>Reference C</w:t>
      </w:r>
      <w:r>
        <w:t xml:space="preserve">ommittee notes the importance of establishing a common baseline understanding of what horizon scanning is (and its intended purposes) and therefore encourages stakeholders to consider the accompanying </w:t>
      </w:r>
      <w:hyperlink r:id="rId192" w:history="1">
        <w:r w:rsidR="00E12883" w:rsidRPr="00E12883">
          <w:rPr>
            <w:rStyle w:val="Hyperlink"/>
          </w:rPr>
          <w:t>paper</w:t>
        </w:r>
        <w:r w:rsidR="00E12883">
          <w:rPr>
            <w:rStyle w:val="Hyperlink"/>
          </w:rPr>
          <w:t xml:space="preserve"> </w:t>
        </w:r>
        <w:r w:rsidR="00BE1D71">
          <w:rPr>
            <w:rStyle w:val="Hyperlink"/>
          </w:rPr>
          <w:t>2</w:t>
        </w:r>
        <w:r w:rsidR="00E12883">
          <w:rPr>
            <w:rStyle w:val="Hyperlink"/>
          </w:rPr>
          <w:t xml:space="preserve"> on</w:t>
        </w:r>
        <w:r w:rsidR="00E12883" w:rsidRPr="00E12883">
          <w:rPr>
            <w:rStyle w:val="Hyperlink"/>
          </w:rPr>
          <w:t xml:space="preserve"> Horizon Scanning and Early Assessment</w:t>
        </w:r>
      </w:hyperlink>
      <w:r w:rsidR="00E12883">
        <w:t xml:space="preserve"> </w:t>
      </w:r>
      <w:r>
        <w:t xml:space="preserve">when providing feedback on the options and concepts discussed in this chapter. </w:t>
      </w:r>
    </w:p>
    <w:p w14:paraId="737E6F61" w14:textId="6D7366D2" w:rsidR="002915FE" w:rsidRDefault="002915FE" w:rsidP="002915FE">
      <w:r>
        <w:t>In brief,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is defined in the </w:t>
      </w:r>
      <w:hyperlink r:id="rId193" w:history="1">
        <w:r w:rsidRPr="00D86A67">
          <w:rPr>
            <w:rStyle w:val="Hyperlink"/>
          </w:rPr>
          <w:t>HTA Glossary</w:t>
        </w:r>
      </w:hyperlink>
      <w:r>
        <w:t xml:space="preserve"> as “</w:t>
      </w:r>
      <w:r w:rsidR="00282A99">
        <w:t>t</w:t>
      </w:r>
      <w:r>
        <w:t xml:space="preserve">he systematic identification of health technologies that are new, emerging or becoming obsolete and that have the potential to effect health, health services and/or society”. </w:t>
      </w:r>
    </w:p>
    <w:p w14:paraId="6236A697" w14:textId="67C9C4A8" w:rsidR="002915FE" w:rsidRDefault="002915FE" w:rsidP="002915FE">
      <w:r>
        <w:t xml:space="preserve">Related concepts described in the HTA </w:t>
      </w:r>
      <w:r w:rsidR="005E7C49">
        <w:t>G</w:t>
      </w:r>
      <w:r>
        <w:t xml:space="preserve">lossary and broader literature are: </w:t>
      </w:r>
    </w:p>
    <w:p w14:paraId="0AB1456F" w14:textId="35F09E57" w:rsidR="002915FE" w:rsidRDefault="002915FE" w:rsidP="008D2A3F">
      <w:pPr>
        <w:pStyle w:val="ListParagraph"/>
        <w:numPr>
          <w:ilvl w:val="0"/>
          <w:numId w:val="12"/>
        </w:numPr>
      </w:pPr>
      <w:r>
        <w:lastRenderedPageBreak/>
        <w:t>early awareness and alert systems, which are defined as “</w:t>
      </w:r>
      <w:r w:rsidRPr="00DE6B98">
        <w:rPr>
          <w:i/>
        </w:rPr>
        <w:t>a system that aims to identify, filter and prioriti</w:t>
      </w:r>
      <w:r w:rsidR="0014671F" w:rsidRPr="00DE6B98">
        <w:rPr>
          <w:i/>
        </w:rPr>
        <w:t>s</w:t>
      </w:r>
      <w:r w:rsidRPr="00DE6B98">
        <w:rPr>
          <w:i/>
        </w:rPr>
        <w:t xml:space="preserve">e new and emerging health technologies, or new uses of existing interventions; to assess or predict their impact on health, health services and/or society; and to disseminate </w:t>
      </w:r>
      <w:proofErr w:type="gramStart"/>
      <w:r w:rsidRPr="00DE6B98">
        <w:rPr>
          <w:i/>
        </w:rPr>
        <w:t>information”</w:t>
      </w:r>
      <w:proofErr w:type="gramEnd"/>
    </w:p>
    <w:p w14:paraId="10ED6880" w14:textId="77777777" w:rsidR="002915FE" w:rsidRDefault="002915FE" w:rsidP="008D2A3F">
      <w:pPr>
        <w:pStyle w:val="ListParagraph"/>
        <w:numPr>
          <w:ilvl w:val="0"/>
          <w:numId w:val="12"/>
        </w:numPr>
      </w:pPr>
      <w:r>
        <w:t xml:space="preserve">early warning systems, defined as “a stable unit with reliable connections and sources which aims to: identify new technologies that have the potential to make a large impact on health services; filter and prioritise these technologies to select those most likely to have an impact on health, services and budgets; and assess that impact”. </w:t>
      </w:r>
    </w:p>
    <w:p w14:paraId="594D4E23" w14:textId="70E0BE78" w:rsidR="002915FE" w:rsidRDefault="002915FE" w:rsidP="002915FE">
      <w:r>
        <w:t>For the purposes of this Options Paper,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in the healthcare context can be taken to broadly describe a process that is intended to help different stakeholders be aware of the implications of technologies that will </w:t>
      </w:r>
      <w:r w:rsidR="00A632F7">
        <w:t>affect</w:t>
      </w:r>
      <w:r>
        <w:t xml:space="preserve"> healthcare policy or delivery in some way, and (where necessary) provide an evidence base to support the case for changes to the health system in some form. </w:t>
      </w:r>
    </w:p>
    <w:p w14:paraId="62E43942" w14:textId="1FFA9308" w:rsidR="00E704B6" w:rsidRPr="00E704B6" w:rsidRDefault="002915FE" w:rsidP="00E704B6">
      <w:r>
        <w:t>Australia currently does not perform any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activities in healthcare at the national level, although it has performed </w:t>
      </w:r>
      <w:r w:rsidR="00605C82">
        <w:t>limited</w:t>
      </w:r>
      <w:r>
        <w:t xml:space="preserve"> horizon scanning in the past through the </w:t>
      </w:r>
      <w:proofErr w:type="spellStart"/>
      <w:r>
        <w:t>HealthPACT</w:t>
      </w:r>
      <w:proofErr w:type="spellEnd"/>
      <w:r>
        <w:t xml:space="preserve"> and subsequent advisory committee arrangements, which reported to the former Australian Health Ministers’ Advisory Coun</w:t>
      </w:r>
      <w:r w:rsidR="00874688">
        <w:t>cil</w:t>
      </w:r>
      <w:r>
        <w:t xml:space="preserve">) prior to its dissolution in 2020. </w:t>
      </w:r>
    </w:p>
    <w:p w14:paraId="556836E2" w14:textId="1A19E3A4" w:rsidR="009139D9" w:rsidRDefault="009139D9" w:rsidP="00E331F1">
      <w:pPr>
        <w:pStyle w:val="Heading3"/>
      </w:pPr>
      <w:bookmarkStart w:id="235" w:name="_Toc157029123"/>
      <w:r w:rsidRPr="006647C5">
        <w:t>What we heard from stakeholders</w:t>
      </w:r>
      <w:bookmarkEnd w:id="235"/>
    </w:p>
    <w:p w14:paraId="13B2C817" w14:textId="276E72B4" w:rsidR="00236421" w:rsidRDefault="00236421" w:rsidP="00236421">
      <w:r>
        <w:t>Many stakeholders expressed concern that Australia does not have localised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arrangements at the national level and reflected on the fact that comparable healthcare systems either have localised horizon scanning programs (</w:t>
      </w:r>
      <w:proofErr w:type="gramStart"/>
      <w:r w:rsidR="006A48DA">
        <w:t>e.g.</w:t>
      </w:r>
      <w:proofErr w:type="gramEnd"/>
      <w:r>
        <w:t xml:space="preserve"> CADTH</w:t>
      </w:r>
      <w:r w:rsidR="00F96F14">
        <w:t xml:space="preserve"> and </w:t>
      </w:r>
      <w:r>
        <w:t>NIHRIO) and/or participate in cross-border horizon scanning collaborations (</w:t>
      </w:r>
      <w:r w:rsidR="00067177">
        <w:t>e.g.</w:t>
      </w:r>
      <w:r w:rsidR="00380A9A">
        <w:t xml:space="preserve"> </w:t>
      </w:r>
      <w:r w:rsidR="009A5241" w:rsidRPr="00A06CC1">
        <w:t>International Horizon Scanning Initiative (</w:t>
      </w:r>
      <w:r>
        <w:t xml:space="preserve">IHSI). </w:t>
      </w:r>
    </w:p>
    <w:p w14:paraId="26F39AB5" w14:textId="2DAE12B6" w:rsidR="00C44412" w:rsidRDefault="00236421" w:rsidP="00236421">
      <w:r>
        <w:t>The Reference Committee noted that stakeholder reflections on the purpose of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could be grouped broadly into one or more of the following areas: </w:t>
      </w:r>
    </w:p>
    <w:p w14:paraId="6A82E226" w14:textId="1FE38CB6" w:rsidR="00874596" w:rsidRDefault="00236421" w:rsidP="008505D7">
      <w:pPr>
        <w:pStyle w:val="ListParagraph"/>
        <w:numPr>
          <w:ilvl w:val="0"/>
          <w:numId w:val="34"/>
        </w:numPr>
      </w:pPr>
      <w:r>
        <w:t xml:space="preserve">identifying future products and technologies in therapeutic areas </w:t>
      </w:r>
    </w:p>
    <w:p w14:paraId="3A2AC830" w14:textId="29967928" w:rsidR="003438D4" w:rsidRDefault="00236421" w:rsidP="008505D7">
      <w:pPr>
        <w:pStyle w:val="ListParagraph"/>
        <w:numPr>
          <w:ilvl w:val="0"/>
          <w:numId w:val="34"/>
        </w:numPr>
      </w:pPr>
      <w:r>
        <w:t>gathering patient insights in respect of health technologies of interest</w:t>
      </w:r>
    </w:p>
    <w:p w14:paraId="164EA0FF" w14:textId="24A891EC" w:rsidR="007A2961" w:rsidRDefault="00236421" w:rsidP="008505D7">
      <w:pPr>
        <w:pStyle w:val="ListParagraph"/>
        <w:numPr>
          <w:ilvl w:val="0"/>
          <w:numId w:val="34"/>
        </w:numPr>
      </w:pPr>
      <w:r>
        <w:t>identifying gaps in knowledge and data relevant to a given health technology</w:t>
      </w:r>
    </w:p>
    <w:p w14:paraId="61831C05" w14:textId="501720D6" w:rsidR="0093680A" w:rsidRDefault="00236421" w:rsidP="008505D7">
      <w:pPr>
        <w:pStyle w:val="ListParagraph"/>
        <w:numPr>
          <w:ilvl w:val="0"/>
          <w:numId w:val="34"/>
        </w:numPr>
      </w:pPr>
      <w:r>
        <w:t>informing assessment pathways (and necessary flexibility/modifications) relevant to future health products/technologies (esp</w:t>
      </w:r>
      <w:r w:rsidR="0093680A">
        <w:t>ecially</w:t>
      </w:r>
      <w:r>
        <w:t xml:space="preserve"> for cell/gene therapies)</w:t>
      </w:r>
    </w:p>
    <w:p w14:paraId="7A71CF15" w14:textId="0425AD82" w:rsidR="00236421" w:rsidRDefault="00236421" w:rsidP="008505D7">
      <w:pPr>
        <w:pStyle w:val="ListParagraph"/>
        <w:numPr>
          <w:ilvl w:val="0"/>
          <w:numId w:val="34"/>
        </w:numPr>
      </w:pPr>
      <w:r>
        <w:t xml:space="preserve">informing health system resourcing and preparedness decisions necessary to support the introduction/adoption of new health technologies. </w:t>
      </w:r>
    </w:p>
    <w:p w14:paraId="6B8C9536" w14:textId="191B29E9" w:rsidR="00E331F1" w:rsidRDefault="00E331F1" w:rsidP="00E331F1">
      <w:pPr>
        <w:pStyle w:val="Heading3"/>
      </w:pPr>
      <w:bookmarkStart w:id="236" w:name="_Toc157029124"/>
      <w:r>
        <w:t>Issues</w:t>
      </w:r>
      <w:bookmarkEnd w:id="236"/>
    </w:p>
    <w:p w14:paraId="0D7536AC" w14:textId="7047983D" w:rsidR="00387FEB" w:rsidRDefault="00236421" w:rsidP="00236421">
      <w:r>
        <w:lastRenderedPageBreak/>
        <w:t>Similarly, the stated purpose</w:t>
      </w:r>
      <w:r w:rsidR="00076F11">
        <w:t>s</w:t>
      </w:r>
      <w:r>
        <w:t xml:space="preserve"> of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arrangements </w:t>
      </w:r>
      <w:r w:rsidR="00EF6AA4">
        <w:t>overseas</w:t>
      </w:r>
      <w:r>
        <w:t xml:space="preserve"> </w:t>
      </w:r>
      <w:r w:rsidR="00076F11">
        <w:t xml:space="preserve">was set out in </w:t>
      </w:r>
      <w:hyperlink r:id="rId194" w:history="1">
        <w:r w:rsidR="00076F11" w:rsidRPr="00DE2CFA">
          <w:rPr>
            <w:rStyle w:val="Hyperlink"/>
          </w:rPr>
          <w:t>paper 2’s</w:t>
        </w:r>
      </w:hyperlink>
      <w:r w:rsidR="00076F11">
        <w:rPr>
          <w:rStyle w:val="Hyperlink"/>
        </w:rPr>
        <w:t>.</w:t>
      </w:r>
      <w:r>
        <w:t xml:space="preserve"> </w:t>
      </w:r>
      <w:r w:rsidR="00076F11">
        <w:t>These</w:t>
      </w:r>
      <w:r w:rsidR="00BE3AE3">
        <w:t xml:space="preserve"> purposes</w:t>
      </w:r>
      <w:r w:rsidR="00076F11">
        <w:t xml:space="preserve"> </w:t>
      </w:r>
      <w:r w:rsidR="002C69B8">
        <w:t>were</w:t>
      </w:r>
      <w:r>
        <w:t xml:space="preserve"> broadly categorised into the following areas: </w:t>
      </w:r>
    </w:p>
    <w:p w14:paraId="3EC4A492" w14:textId="71CA5016" w:rsidR="00651EC6" w:rsidRDefault="00387FEB" w:rsidP="008505D7">
      <w:pPr>
        <w:pStyle w:val="ListParagraph"/>
        <w:numPr>
          <w:ilvl w:val="0"/>
          <w:numId w:val="41"/>
        </w:numPr>
      </w:pPr>
      <w:r>
        <w:t>i</w:t>
      </w:r>
      <w:r w:rsidR="00236421">
        <w:t xml:space="preserve">dentification of pricing for health technologies to inform reimbursement decisions or </w:t>
      </w:r>
      <w:proofErr w:type="gramStart"/>
      <w:r w:rsidR="00236421">
        <w:t>negotiations</w:t>
      </w:r>
      <w:proofErr w:type="gramEnd"/>
      <w:r w:rsidR="00236421">
        <w:t xml:space="preserve"> </w:t>
      </w:r>
    </w:p>
    <w:p w14:paraId="38A98A21" w14:textId="29696B97" w:rsidR="00651EC6" w:rsidRDefault="00C553DD" w:rsidP="008505D7">
      <w:pPr>
        <w:pStyle w:val="ListParagraph"/>
        <w:numPr>
          <w:ilvl w:val="0"/>
          <w:numId w:val="41"/>
        </w:numPr>
      </w:pPr>
      <w:r>
        <w:t>assisting funders and suppliers to</w:t>
      </w:r>
      <w:r w:rsidR="00236421">
        <w:t xml:space="preserve"> determin</w:t>
      </w:r>
      <w:r>
        <w:t>e</w:t>
      </w:r>
      <w:r w:rsidR="00236421">
        <w:t xml:space="preserve"> appropriate assessment pathways for health </w:t>
      </w:r>
      <w:proofErr w:type="gramStart"/>
      <w:r w:rsidR="00236421">
        <w:t>technologies</w:t>
      </w:r>
      <w:proofErr w:type="gramEnd"/>
      <w:r w:rsidR="00236421">
        <w:t xml:space="preserve"> </w:t>
      </w:r>
    </w:p>
    <w:p w14:paraId="7564967A" w14:textId="7977EC4C" w:rsidR="003D21F0" w:rsidRDefault="00651EC6" w:rsidP="008505D7">
      <w:pPr>
        <w:pStyle w:val="ListParagraph"/>
        <w:numPr>
          <w:ilvl w:val="0"/>
          <w:numId w:val="41"/>
        </w:numPr>
      </w:pPr>
      <w:r>
        <w:t>d</w:t>
      </w:r>
      <w:r w:rsidR="00236421">
        <w:t>irecting regional health service planning</w:t>
      </w:r>
    </w:p>
    <w:p w14:paraId="7810A774" w14:textId="6EA0D937" w:rsidR="00236421" w:rsidRDefault="003D21F0" w:rsidP="008505D7">
      <w:pPr>
        <w:pStyle w:val="ListParagraph"/>
        <w:numPr>
          <w:ilvl w:val="0"/>
          <w:numId w:val="41"/>
        </w:numPr>
      </w:pPr>
      <w:r>
        <w:t>providing a</w:t>
      </w:r>
      <w:r w:rsidR="00236421">
        <w:t xml:space="preserve">dvance notification about health technologies to health service policy bodies. </w:t>
      </w:r>
    </w:p>
    <w:p w14:paraId="1F5E8E1E" w14:textId="00488907" w:rsidR="00236421" w:rsidRDefault="00236421" w:rsidP="00236421">
      <w:r>
        <w:t>Additionally, for most agencies,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generally followed a process consisting of: </w:t>
      </w:r>
    </w:p>
    <w:p w14:paraId="3D48BA1E" w14:textId="5430E50B" w:rsidR="00EF35F2" w:rsidRDefault="00236421" w:rsidP="008505D7">
      <w:pPr>
        <w:pStyle w:val="ListParagraph"/>
        <w:numPr>
          <w:ilvl w:val="0"/>
          <w:numId w:val="42"/>
        </w:numPr>
      </w:pPr>
      <w:r>
        <w:t xml:space="preserve">topic identification </w:t>
      </w:r>
    </w:p>
    <w:p w14:paraId="4DE677A2" w14:textId="5401C223" w:rsidR="00EF35F2" w:rsidRDefault="00236421" w:rsidP="008505D7">
      <w:pPr>
        <w:pStyle w:val="ListParagraph"/>
        <w:numPr>
          <w:ilvl w:val="0"/>
          <w:numId w:val="42"/>
        </w:numPr>
      </w:pPr>
      <w:r>
        <w:t xml:space="preserve">filtration of topics, and </w:t>
      </w:r>
    </w:p>
    <w:p w14:paraId="560DDB50" w14:textId="192BEA1B" w:rsidR="00236421" w:rsidRDefault="00236421" w:rsidP="008505D7">
      <w:pPr>
        <w:pStyle w:val="ListParagraph"/>
        <w:numPr>
          <w:ilvl w:val="0"/>
          <w:numId w:val="42"/>
        </w:numPr>
      </w:pPr>
      <w:r>
        <w:t xml:space="preserve">selection (prioritisation) for further attention. </w:t>
      </w:r>
    </w:p>
    <w:p w14:paraId="1554144E" w14:textId="2BC475A1" w:rsidR="00F77C8B" w:rsidRDefault="00236421" w:rsidP="00236421">
      <w:r>
        <w:t>The Reference Committee also noted the trend towards horizon scanning</w:t>
      </w:r>
      <w:r w:rsidR="00CF3213">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fldChar w:fldCharType="end"/>
      </w:r>
      <w:r>
        <w:t xml:space="preserve"> collaborations internationally due to the resource intensity of horizon scanning arrangements and noted that alignment between jurisdictions on the goals and purposes of horizon scanning were essential to produce meaningful outputs. </w:t>
      </w:r>
    </w:p>
    <w:p w14:paraId="3352DA2B" w14:textId="23B73708" w:rsidR="00BD213C" w:rsidRDefault="00F77C8B" w:rsidP="002D029D">
      <w:pPr>
        <w:rPr>
          <w:rStyle w:val="normaltextrun"/>
          <w:rFonts w:cs="Segoe UI"/>
        </w:rPr>
      </w:pPr>
      <w:r w:rsidRPr="00245B3A">
        <w:rPr>
          <w:rStyle w:val="normaltextrun"/>
          <w:rFonts w:cs="Segoe UI"/>
        </w:rPr>
        <w:t xml:space="preserve">In reflecting on the information presented during the HTA Review, the </w:t>
      </w:r>
      <w:r w:rsidR="00597E51">
        <w:rPr>
          <w:rStyle w:val="normaltextrun"/>
          <w:rFonts w:cs="Segoe UI"/>
        </w:rPr>
        <w:t>c</w:t>
      </w:r>
      <w:r w:rsidRPr="00245B3A">
        <w:rPr>
          <w:rStyle w:val="normaltextrun"/>
          <w:rFonts w:cs="Segoe UI"/>
        </w:rPr>
        <w:t>ommittee noted circumstances where a national horizon scanning</w:t>
      </w:r>
      <w:r w:rsidR="00CF3213">
        <w:rPr>
          <w:rStyle w:val="normaltextrun"/>
          <w:rFonts w:cs="Segoe UI"/>
        </w:rPr>
        <w:fldChar w:fldCharType="begin"/>
      </w:r>
      <w:r w:rsidR="00CF3213">
        <w:instrText xml:space="preserve"> XE "</w:instrText>
      </w:r>
      <w:r w:rsidR="00CF3213" w:rsidRPr="0034374C">
        <w:rPr>
          <w:rFonts w:cs="Segoe UI"/>
          <w:sz w:val="20"/>
          <w:szCs w:val="20"/>
          <w:lang w:eastAsia="en-AU"/>
        </w:rPr>
        <w:instrText>horizon scanning</w:instrText>
      </w:r>
      <w:r w:rsidR="00CF3213">
        <w:instrText xml:space="preserve">" \b </w:instrText>
      </w:r>
      <w:r w:rsidR="00CF3213">
        <w:rPr>
          <w:rStyle w:val="normaltextrun"/>
          <w:rFonts w:cs="Segoe UI"/>
        </w:rPr>
        <w:fldChar w:fldCharType="end"/>
      </w:r>
      <w:r w:rsidRPr="00245B3A">
        <w:rPr>
          <w:rStyle w:val="normaltextrun"/>
          <w:rFonts w:cs="Segoe UI"/>
        </w:rPr>
        <w:t xml:space="preserve"> program that supports HTA activities may have improved the quality and speed of HTA recommendations and health technology implementation arrangements, facilitated clinician and patient accessibility to certain health technologies and improved resulting patient health outcomes. </w:t>
      </w:r>
    </w:p>
    <w:p w14:paraId="483DEE0B" w14:textId="31930164" w:rsidR="00F77C8B" w:rsidRDefault="00F77C8B" w:rsidP="002D029D">
      <w:pPr>
        <w:rPr>
          <w:rStyle w:val="eop"/>
          <w:rFonts w:cs="Segoe UI"/>
        </w:rPr>
      </w:pPr>
      <w:r w:rsidRPr="00245B3A">
        <w:rPr>
          <w:rStyle w:val="normaltextrun"/>
          <w:rFonts w:cs="Segoe UI"/>
        </w:rPr>
        <w:t xml:space="preserve">Case examples discussed included the initial HTA evaluation and implementation of recommendations for the provision of </w:t>
      </w:r>
      <w:r w:rsidR="00E95590">
        <w:rPr>
          <w:rStyle w:val="normaltextrun"/>
          <w:rFonts w:cs="Segoe UI"/>
        </w:rPr>
        <w:t>advanced therapies</w:t>
      </w:r>
      <w:r w:rsidR="00700B73">
        <w:rPr>
          <w:rStyle w:val="normaltextrun"/>
          <w:rFonts w:cs="Segoe UI"/>
        </w:rPr>
        <w:fldChar w:fldCharType="begin"/>
      </w:r>
      <w:r w:rsidR="00700B73">
        <w:instrText xml:space="preserve"> XE "</w:instrText>
      </w:r>
      <w:r w:rsidR="00700B73" w:rsidRPr="00D231D2">
        <w:instrText>advanced therapies</w:instrText>
      </w:r>
      <w:r w:rsidR="00700B73">
        <w:instrText xml:space="preserve">" </w:instrText>
      </w:r>
      <w:r w:rsidR="00700B73">
        <w:rPr>
          <w:rStyle w:val="normaltextrun"/>
          <w:rFonts w:cs="Segoe UI"/>
        </w:rPr>
        <w:fldChar w:fldCharType="end"/>
      </w:r>
      <w:r w:rsidRPr="00245B3A">
        <w:rPr>
          <w:rStyle w:val="normaltextrun"/>
          <w:rFonts w:cs="Segoe UI"/>
        </w:rPr>
        <w:t xml:space="preserve"> such as CAR-T </w:t>
      </w:r>
      <w:r w:rsidR="009854D1">
        <w:rPr>
          <w:rStyle w:val="normaltextrun"/>
          <w:rFonts w:cs="Segoe UI"/>
        </w:rPr>
        <w:t xml:space="preserve">(cell therapies) </w:t>
      </w:r>
      <w:r w:rsidRPr="00245B3A">
        <w:rPr>
          <w:rStyle w:val="normaltextrun"/>
          <w:rFonts w:cs="Segoe UI"/>
        </w:rPr>
        <w:t>and gene therapies.</w:t>
      </w:r>
      <w:r w:rsidR="007A1B3A">
        <w:rPr>
          <w:rStyle w:val="normaltextrun"/>
          <w:rFonts w:cs="Segoe UI"/>
        </w:rPr>
        <w:t xml:space="preserve"> </w:t>
      </w:r>
    </w:p>
    <w:p w14:paraId="6C3842BD" w14:textId="2E109F04" w:rsidR="007E4B42" w:rsidRDefault="00F77C8B" w:rsidP="002D029D">
      <w:pPr>
        <w:rPr>
          <w:rStyle w:val="normaltextrun"/>
          <w:rFonts w:cs="Segoe UI"/>
          <w:b/>
        </w:rPr>
      </w:pPr>
      <w:r w:rsidRPr="00245B3A">
        <w:rPr>
          <w:rStyle w:val="normaltextrun"/>
          <w:rFonts w:cs="Segoe UI"/>
        </w:rPr>
        <w:t xml:space="preserve">Further, in considering the programs and other international examples discussed in the research paper and flagged by stakeholders, it is clear to the </w:t>
      </w:r>
      <w:r w:rsidR="00902A8C">
        <w:rPr>
          <w:rStyle w:val="normaltextrun"/>
          <w:rFonts w:cs="Segoe UI"/>
        </w:rPr>
        <w:t>c</w:t>
      </w:r>
      <w:r w:rsidRPr="00245B3A">
        <w:rPr>
          <w:rStyle w:val="normaltextrun"/>
          <w:rFonts w:cs="Segoe UI"/>
        </w:rPr>
        <w:t>ommittee that, should horizon scanning</w:t>
      </w:r>
      <w:r w:rsidR="00CF3213">
        <w:rPr>
          <w:rStyle w:val="normaltextrun"/>
          <w:rFonts w:cs="Segoe UI"/>
        </w:rPr>
        <w:fldChar w:fldCharType="begin"/>
      </w:r>
      <w:r w:rsidR="00CF3213">
        <w:instrText xml:space="preserve"> XE "</w:instrText>
      </w:r>
      <w:r w:rsidR="00CF3213" w:rsidRPr="0034374C">
        <w:rPr>
          <w:rFonts w:cs="Segoe UI"/>
          <w:sz w:val="20"/>
          <w:szCs w:val="20"/>
          <w:lang w:eastAsia="en-AU"/>
        </w:rPr>
        <w:instrText>horizon scanning</w:instrText>
      </w:r>
      <w:r w:rsidR="00CF3213">
        <w:instrText xml:space="preserve">" \b </w:instrText>
      </w:r>
      <w:r w:rsidR="00CF3213">
        <w:rPr>
          <w:rStyle w:val="normaltextrun"/>
          <w:rFonts w:cs="Segoe UI"/>
        </w:rPr>
        <w:fldChar w:fldCharType="end"/>
      </w:r>
      <w:r w:rsidRPr="00245B3A">
        <w:rPr>
          <w:rStyle w:val="normaltextrun"/>
          <w:rFonts w:cs="Segoe UI"/>
        </w:rPr>
        <w:t xml:space="preserve"> arrangements be reintroduced, identifying the following baseline characteristics </w:t>
      </w:r>
      <w:r w:rsidR="003B6B4F">
        <w:rPr>
          <w:rStyle w:val="normaltextrun"/>
          <w:rFonts w:cs="Segoe UI"/>
        </w:rPr>
        <w:t>for</w:t>
      </w:r>
      <w:r w:rsidR="003B6B4F" w:rsidRPr="00245B3A">
        <w:rPr>
          <w:rStyle w:val="normaltextrun"/>
          <w:rFonts w:cs="Segoe UI"/>
        </w:rPr>
        <w:t xml:space="preserve"> </w:t>
      </w:r>
      <w:r w:rsidR="002D2F00">
        <w:rPr>
          <w:rStyle w:val="normaltextrun"/>
          <w:rFonts w:cs="Segoe UI"/>
        </w:rPr>
        <w:t xml:space="preserve">such a </w:t>
      </w:r>
      <w:r w:rsidRPr="00245B3A">
        <w:rPr>
          <w:rStyle w:val="normaltextrun"/>
          <w:rFonts w:cs="Segoe UI"/>
        </w:rPr>
        <w:t>program are essential to ensure its success</w:t>
      </w:r>
      <w:r w:rsidR="007E4B42">
        <w:rPr>
          <w:rStyle w:val="normaltextrun"/>
          <w:rFonts w:cs="Segoe UI"/>
        </w:rPr>
        <w:t xml:space="preserve"> </w:t>
      </w:r>
      <w:r w:rsidRPr="00245B3A">
        <w:rPr>
          <w:rStyle w:val="normaltextrun"/>
          <w:rFonts w:cs="Segoe UI"/>
        </w:rPr>
        <w:t>in the Australian context:</w:t>
      </w:r>
      <w:r w:rsidRPr="00245B3A">
        <w:rPr>
          <w:rStyle w:val="eop"/>
          <w:rFonts w:cs="Segoe UI"/>
        </w:rPr>
        <w:t> </w:t>
      </w:r>
    </w:p>
    <w:p w14:paraId="771D088F" w14:textId="136DDBF2" w:rsidR="009F52E5" w:rsidRPr="0089073A" w:rsidRDefault="009F52E5" w:rsidP="008505D7">
      <w:pPr>
        <w:pStyle w:val="paragraph"/>
        <w:numPr>
          <w:ilvl w:val="0"/>
          <w:numId w:val="162"/>
        </w:numPr>
        <w:spacing w:before="0" w:beforeAutospacing="0" w:after="0" w:afterAutospacing="0" w:line="259" w:lineRule="auto"/>
        <w:textAlignment w:val="baseline"/>
        <w:rPr>
          <w:rFonts w:ascii="Segoe UI" w:hAnsi="Segoe UI" w:cs="Segoe UI"/>
          <w:bCs/>
        </w:rPr>
      </w:pPr>
      <w:r w:rsidRPr="00016EB0">
        <w:rPr>
          <w:rStyle w:val="normaltextrun"/>
          <w:rFonts w:ascii="Segoe UI" w:hAnsi="Segoe UI" w:cs="Segoe UI"/>
          <w:b/>
        </w:rPr>
        <w:t>s</w:t>
      </w:r>
      <w:r w:rsidR="00F77C8B" w:rsidRPr="00016EB0">
        <w:rPr>
          <w:rStyle w:val="normaltextrun"/>
          <w:rFonts w:ascii="Segoe UI" w:hAnsi="Segoe UI" w:cs="Segoe UI"/>
          <w:b/>
        </w:rPr>
        <w:t>cope</w:t>
      </w:r>
      <w:r w:rsidR="00F77C8B" w:rsidRPr="0089073A">
        <w:rPr>
          <w:rStyle w:val="normaltextrun"/>
          <w:rFonts w:ascii="Segoe UI" w:hAnsi="Segoe UI" w:cs="Segoe UI"/>
          <w:bCs/>
        </w:rPr>
        <w:t xml:space="preserve"> (technology type and time horizon to be horizon scanned)</w:t>
      </w:r>
      <w:r w:rsidR="00F77C8B" w:rsidRPr="0089073A">
        <w:rPr>
          <w:rStyle w:val="eop"/>
          <w:rFonts w:ascii="Segoe UI" w:hAnsi="Segoe UI" w:cs="Segoe UI"/>
          <w:bCs/>
        </w:rPr>
        <w:t> </w:t>
      </w:r>
    </w:p>
    <w:p w14:paraId="5D3E3D49" w14:textId="675E7BD8" w:rsidR="00405159" w:rsidRPr="00747F15" w:rsidRDefault="009F52E5" w:rsidP="008505D7">
      <w:pPr>
        <w:pStyle w:val="paragraph"/>
        <w:numPr>
          <w:ilvl w:val="0"/>
          <w:numId w:val="162"/>
        </w:numPr>
        <w:spacing w:before="0" w:beforeAutospacing="0" w:after="0" w:afterAutospacing="0" w:line="259" w:lineRule="auto"/>
        <w:textAlignment w:val="baseline"/>
        <w:rPr>
          <w:rFonts w:ascii="Segoe UI" w:hAnsi="Segoe UI" w:cs="Segoe UI"/>
        </w:rPr>
      </w:pPr>
      <w:r w:rsidRPr="00747F15">
        <w:rPr>
          <w:rStyle w:val="normaltextrun"/>
          <w:rFonts w:ascii="Segoe UI" w:hAnsi="Segoe UI" w:cs="Segoe UI"/>
          <w:b/>
        </w:rPr>
        <w:t>a</w:t>
      </w:r>
      <w:r w:rsidR="00F77C8B" w:rsidRPr="00747F15">
        <w:rPr>
          <w:rStyle w:val="normaltextrun"/>
          <w:rFonts w:ascii="Segoe UI" w:hAnsi="Segoe UI" w:cs="Segoe UI"/>
          <w:b/>
        </w:rPr>
        <w:t>udience</w:t>
      </w:r>
      <w:r w:rsidR="00F77C8B" w:rsidRPr="00747F15">
        <w:rPr>
          <w:rStyle w:val="normaltextrun"/>
          <w:rFonts w:ascii="Segoe UI" w:hAnsi="Segoe UI" w:cs="Segoe UI"/>
        </w:rPr>
        <w:t xml:space="preserve"> (intended recipient of horizon scanning</w:t>
      </w:r>
      <w:r w:rsidR="00CF3213" w:rsidRPr="0337427D">
        <w:rPr>
          <w:rStyle w:val="normaltextrun"/>
          <w:rFonts w:cs="Segoe UI"/>
        </w:rPr>
        <w:fldChar w:fldCharType="begin"/>
      </w:r>
      <w:r w:rsidR="00CF3213">
        <w:instrText xml:space="preserve"> XE "</w:instrText>
      </w:r>
      <w:r w:rsidR="00CF3213" w:rsidRPr="0337427D">
        <w:rPr>
          <w:rFonts w:cs="Segoe UI"/>
          <w:sz w:val="20"/>
          <w:szCs w:val="20"/>
          <w:lang w:eastAsia="en-AU"/>
        </w:rPr>
        <w:instrText>horizon scanning</w:instrText>
      </w:r>
      <w:r w:rsidR="00CF3213">
        <w:instrText xml:space="preserve">" \b </w:instrText>
      </w:r>
      <w:r w:rsidR="00CF3213" w:rsidRPr="0337427D">
        <w:rPr>
          <w:rStyle w:val="normaltextrun"/>
          <w:rFonts w:cs="Segoe UI"/>
        </w:rPr>
        <w:fldChar w:fldCharType="end"/>
      </w:r>
      <w:r w:rsidR="00F77C8B" w:rsidRPr="00747F15">
        <w:rPr>
          <w:rStyle w:val="normaltextrun"/>
          <w:rFonts w:ascii="Segoe UI" w:hAnsi="Segoe UI" w:cs="Segoe UI"/>
        </w:rPr>
        <w:t xml:space="preserve"> outputs, such as healthcare payers, decision-</w:t>
      </w:r>
      <w:proofErr w:type="gramStart"/>
      <w:r w:rsidR="00F77C8B" w:rsidRPr="00747F15">
        <w:rPr>
          <w:rStyle w:val="normaltextrun"/>
          <w:rFonts w:ascii="Segoe UI" w:hAnsi="Segoe UI" w:cs="Segoe UI"/>
        </w:rPr>
        <w:t>makers</w:t>
      </w:r>
      <w:proofErr w:type="gramEnd"/>
      <w:r w:rsidR="00F77C8B" w:rsidRPr="00747F15">
        <w:rPr>
          <w:rStyle w:val="normaltextrun"/>
          <w:rFonts w:ascii="Segoe UI" w:hAnsi="Segoe UI" w:cs="Segoe UI"/>
        </w:rPr>
        <w:t xml:space="preserve"> or patients)</w:t>
      </w:r>
      <w:r w:rsidR="00F77C8B" w:rsidRPr="00747F15">
        <w:rPr>
          <w:rStyle w:val="eop"/>
          <w:rFonts w:ascii="Segoe UI" w:hAnsi="Segoe UI" w:cs="Segoe UI"/>
        </w:rPr>
        <w:t> </w:t>
      </w:r>
    </w:p>
    <w:p w14:paraId="7F5DCEE7" w14:textId="480BB694" w:rsidR="00A12945" w:rsidRPr="00747F15" w:rsidRDefault="00405159" w:rsidP="008505D7">
      <w:pPr>
        <w:pStyle w:val="paragraph"/>
        <w:numPr>
          <w:ilvl w:val="0"/>
          <w:numId w:val="162"/>
        </w:numPr>
        <w:spacing w:before="0" w:beforeAutospacing="0" w:after="0" w:afterAutospacing="0" w:line="259" w:lineRule="auto"/>
        <w:textAlignment w:val="baseline"/>
        <w:rPr>
          <w:rFonts w:ascii="Segoe UI" w:hAnsi="Segoe UI" w:cs="Segoe UI"/>
        </w:rPr>
      </w:pPr>
      <w:r w:rsidRPr="00747F15">
        <w:rPr>
          <w:rStyle w:val="normaltextrun"/>
          <w:rFonts w:ascii="Segoe UI" w:hAnsi="Segoe UI" w:cs="Segoe UI"/>
          <w:b/>
        </w:rPr>
        <w:lastRenderedPageBreak/>
        <w:t>p</w:t>
      </w:r>
      <w:r w:rsidR="00F77C8B" w:rsidRPr="00747F15">
        <w:rPr>
          <w:rStyle w:val="normaltextrun"/>
          <w:rFonts w:ascii="Segoe UI" w:hAnsi="Segoe UI" w:cs="Segoe UI"/>
          <w:b/>
        </w:rPr>
        <w:t xml:space="preserve">urpose and </w:t>
      </w:r>
      <w:r w:rsidRPr="00747F15">
        <w:rPr>
          <w:rStyle w:val="normaltextrun"/>
          <w:rFonts w:ascii="Segoe UI" w:hAnsi="Segoe UI" w:cs="Segoe UI"/>
          <w:b/>
        </w:rPr>
        <w:t>o</w:t>
      </w:r>
      <w:r w:rsidR="00F77C8B" w:rsidRPr="00747F15">
        <w:rPr>
          <w:rStyle w:val="normaltextrun"/>
          <w:rFonts w:ascii="Segoe UI" w:hAnsi="Segoe UI" w:cs="Segoe UI"/>
          <w:b/>
        </w:rPr>
        <w:t>bjectives</w:t>
      </w:r>
      <w:r w:rsidR="00F77C8B" w:rsidRPr="00747F15">
        <w:rPr>
          <w:rStyle w:val="normaltextrun"/>
          <w:rFonts w:ascii="Segoe UI" w:hAnsi="Segoe UI" w:cs="Segoe UI"/>
        </w:rPr>
        <w:t xml:space="preserve"> (what </w:t>
      </w:r>
      <w:proofErr w:type="gramStart"/>
      <w:r w:rsidR="00F77C8B" w:rsidRPr="00747F15">
        <w:rPr>
          <w:rStyle w:val="normaltextrun"/>
          <w:rFonts w:ascii="Segoe UI" w:hAnsi="Segoe UI" w:cs="Segoe UI"/>
        </w:rPr>
        <w:t>is</w:t>
      </w:r>
      <w:proofErr w:type="gramEnd"/>
      <w:r w:rsidR="00F77C8B" w:rsidRPr="00747F15">
        <w:rPr>
          <w:rStyle w:val="normaltextrun"/>
          <w:rFonts w:ascii="Segoe UI" w:hAnsi="Segoe UI" w:cs="Segoe UI"/>
        </w:rPr>
        <w:t xml:space="preserve"> horizon scanning</w:t>
      </w:r>
      <w:r w:rsidR="00CF3213" w:rsidRPr="0337427D">
        <w:rPr>
          <w:rStyle w:val="normaltextrun"/>
          <w:rFonts w:cs="Segoe UI"/>
        </w:rPr>
        <w:fldChar w:fldCharType="begin"/>
      </w:r>
      <w:r w:rsidR="00CF3213">
        <w:instrText xml:space="preserve"> XE "</w:instrText>
      </w:r>
      <w:r w:rsidR="00CF3213" w:rsidRPr="0337427D">
        <w:rPr>
          <w:rFonts w:cs="Segoe UI"/>
          <w:sz w:val="20"/>
          <w:szCs w:val="20"/>
          <w:lang w:eastAsia="en-AU"/>
        </w:rPr>
        <w:instrText>horizon scanning</w:instrText>
      </w:r>
      <w:r w:rsidR="00CF3213">
        <w:instrText xml:space="preserve">" \b </w:instrText>
      </w:r>
      <w:r w:rsidR="00CF3213" w:rsidRPr="0337427D">
        <w:rPr>
          <w:rStyle w:val="normaltextrun"/>
          <w:rFonts w:cs="Segoe UI"/>
        </w:rPr>
        <w:fldChar w:fldCharType="end"/>
      </w:r>
      <w:r w:rsidR="00F77C8B" w:rsidRPr="00747F15">
        <w:rPr>
          <w:rStyle w:val="normaltextrun"/>
          <w:rFonts w:ascii="Segoe UI" w:hAnsi="Segoe UI" w:cs="Segoe UI"/>
        </w:rPr>
        <w:t xml:space="preserve"> </w:t>
      </w:r>
      <w:r w:rsidRPr="0089073A">
        <w:rPr>
          <w:rStyle w:val="normaltextrun"/>
          <w:rFonts w:ascii="Segoe UI" w:hAnsi="Segoe UI" w:cs="Segoe UI"/>
          <w:bCs/>
        </w:rPr>
        <w:t xml:space="preserve">to be </w:t>
      </w:r>
      <w:r w:rsidR="00F77C8B" w:rsidRPr="00747F15">
        <w:rPr>
          <w:rStyle w:val="normaltextrun"/>
          <w:rFonts w:ascii="Segoe UI" w:hAnsi="Segoe UI" w:cs="Segoe UI"/>
        </w:rPr>
        <w:t>used for</w:t>
      </w:r>
      <w:r w:rsidRPr="0089073A">
        <w:rPr>
          <w:rStyle w:val="normaltextrun"/>
          <w:rFonts w:ascii="Segoe UI" w:hAnsi="Segoe UI" w:cs="Segoe UI"/>
          <w:bCs/>
        </w:rPr>
        <w:t xml:space="preserve"> </w:t>
      </w:r>
      <w:r w:rsidR="00B80259" w:rsidRPr="0089073A">
        <w:rPr>
          <w:rStyle w:val="normaltextrun"/>
          <w:rFonts w:ascii="Segoe UI" w:hAnsi="Segoe UI" w:cs="Segoe UI"/>
          <w:bCs/>
        </w:rPr>
        <w:t>(</w:t>
      </w:r>
      <w:r w:rsidR="00067177">
        <w:rPr>
          <w:rStyle w:val="normaltextrun"/>
          <w:rFonts w:ascii="Segoe UI" w:hAnsi="Segoe UI" w:cs="Segoe UI"/>
          <w:bCs/>
        </w:rPr>
        <w:t xml:space="preserve">e.g. </w:t>
      </w:r>
      <w:r w:rsidR="00F77C8B" w:rsidRPr="00747F15">
        <w:rPr>
          <w:rStyle w:val="normaltextrun"/>
          <w:rFonts w:ascii="Segoe UI" w:hAnsi="Segoe UI" w:cs="Segoe UI"/>
        </w:rPr>
        <w:t>improving patient access to scanned technologies, supporting information exchange between healthcare providers)</w:t>
      </w:r>
      <w:r w:rsidR="00A12945" w:rsidRPr="0089073A">
        <w:rPr>
          <w:rStyle w:val="normaltextrun"/>
          <w:rFonts w:ascii="Segoe UI" w:hAnsi="Segoe UI" w:cs="Segoe UI"/>
          <w:bCs/>
        </w:rPr>
        <w:t>?</w:t>
      </w:r>
      <w:r w:rsidR="00F77C8B" w:rsidRPr="00747F15">
        <w:rPr>
          <w:rStyle w:val="eop"/>
          <w:rFonts w:ascii="Segoe UI" w:hAnsi="Segoe UI" w:cs="Segoe UI"/>
        </w:rPr>
        <w:t> </w:t>
      </w:r>
    </w:p>
    <w:p w14:paraId="342BC32F" w14:textId="7C567F85" w:rsidR="003E3812" w:rsidRPr="0089073A" w:rsidRDefault="00A12945" w:rsidP="008505D7">
      <w:pPr>
        <w:pStyle w:val="paragraph"/>
        <w:numPr>
          <w:ilvl w:val="0"/>
          <w:numId w:val="162"/>
        </w:numPr>
        <w:spacing w:before="0" w:beforeAutospacing="0" w:after="0" w:afterAutospacing="0" w:line="259" w:lineRule="auto"/>
        <w:textAlignment w:val="baseline"/>
        <w:rPr>
          <w:rFonts w:ascii="Segoe UI" w:hAnsi="Segoe UI" w:cs="Segoe UI"/>
          <w:bCs/>
        </w:rPr>
      </w:pPr>
      <w:r w:rsidRPr="00016EB0">
        <w:rPr>
          <w:rStyle w:val="normaltextrun"/>
          <w:rFonts w:ascii="Segoe UI" w:hAnsi="Segoe UI" w:cs="Segoe UI"/>
          <w:b/>
        </w:rPr>
        <w:t>p</w:t>
      </w:r>
      <w:r w:rsidR="00F77C8B" w:rsidRPr="00747F15">
        <w:rPr>
          <w:rStyle w:val="normaltextrun"/>
          <w:rFonts w:ascii="Segoe UI" w:hAnsi="Segoe UI" w:cs="Segoe UI"/>
          <w:b/>
        </w:rPr>
        <w:t>rocess and methods</w:t>
      </w:r>
      <w:r w:rsidR="00F77C8B" w:rsidRPr="00747F15">
        <w:rPr>
          <w:rStyle w:val="normaltextrun"/>
          <w:rFonts w:ascii="Segoe UI" w:hAnsi="Segoe UI" w:cs="Segoe UI"/>
        </w:rPr>
        <w:t xml:space="preserve"> (including matters of governance, decision-making checkpoints, as well as information input source considerations, as well as the participants in, and commissioners of, horizon scanning</w:t>
      </w:r>
      <w:r w:rsidR="00CF3213" w:rsidRPr="0337427D">
        <w:rPr>
          <w:rStyle w:val="normaltextrun"/>
          <w:rFonts w:cs="Segoe UI"/>
        </w:rPr>
        <w:fldChar w:fldCharType="begin"/>
      </w:r>
      <w:r w:rsidR="00CF3213">
        <w:instrText xml:space="preserve"> XE "</w:instrText>
      </w:r>
      <w:r w:rsidR="00CF3213" w:rsidRPr="0337427D">
        <w:rPr>
          <w:rFonts w:cs="Segoe UI"/>
          <w:sz w:val="20"/>
          <w:szCs w:val="20"/>
          <w:lang w:eastAsia="en-AU"/>
        </w:rPr>
        <w:instrText>horizon scanning</w:instrText>
      </w:r>
      <w:r w:rsidR="00CF3213">
        <w:instrText xml:space="preserve">" \b </w:instrText>
      </w:r>
      <w:r w:rsidR="00CF3213" w:rsidRPr="0337427D">
        <w:rPr>
          <w:rStyle w:val="normaltextrun"/>
          <w:rFonts w:cs="Segoe UI"/>
        </w:rPr>
        <w:fldChar w:fldCharType="end"/>
      </w:r>
      <w:r w:rsidR="00F77C8B" w:rsidRPr="00747F15">
        <w:rPr>
          <w:rStyle w:val="normaltextrun"/>
          <w:rFonts w:ascii="Segoe UI" w:hAnsi="Segoe UI" w:cs="Segoe UI"/>
        </w:rPr>
        <w:t xml:space="preserve"> activities)</w:t>
      </w:r>
      <w:r w:rsidR="00F77C8B" w:rsidRPr="00747F15">
        <w:rPr>
          <w:rStyle w:val="eop"/>
          <w:rFonts w:ascii="Segoe UI" w:hAnsi="Segoe UI" w:cs="Segoe UI"/>
        </w:rPr>
        <w:t> </w:t>
      </w:r>
    </w:p>
    <w:p w14:paraId="1340867B" w14:textId="2B96F00D" w:rsidR="002915FE" w:rsidRDefault="003E3812" w:rsidP="008505D7">
      <w:pPr>
        <w:pStyle w:val="paragraph"/>
        <w:numPr>
          <w:ilvl w:val="0"/>
          <w:numId w:val="162"/>
        </w:numPr>
        <w:spacing w:before="0" w:beforeAutospacing="0" w:after="0" w:afterAutospacing="0" w:line="259" w:lineRule="auto"/>
        <w:textAlignment w:val="baseline"/>
        <w:rPr>
          <w:bCs/>
        </w:rPr>
      </w:pPr>
      <w:r w:rsidRPr="00016EB0">
        <w:rPr>
          <w:rStyle w:val="normaltextrun"/>
          <w:rFonts w:ascii="Segoe UI" w:hAnsi="Segoe UI" w:cs="Segoe UI"/>
          <w:b/>
        </w:rPr>
        <w:t>o</w:t>
      </w:r>
      <w:r w:rsidR="00F77C8B" w:rsidRPr="00016EB0">
        <w:rPr>
          <w:rStyle w:val="normaltextrun"/>
          <w:rFonts w:ascii="Segoe UI" w:hAnsi="Segoe UI" w:cs="Segoe UI"/>
          <w:b/>
        </w:rPr>
        <w:t>utcomes/outputs</w:t>
      </w:r>
      <w:r w:rsidR="00F77C8B" w:rsidRPr="0089073A">
        <w:rPr>
          <w:rStyle w:val="normaltextrun"/>
          <w:rFonts w:ascii="Segoe UI" w:hAnsi="Segoe UI" w:cs="Segoe UI"/>
          <w:bCs/>
        </w:rPr>
        <w:t xml:space="preserve"> (</w:t>
      </w:r>
      <w:proofErr w:type="gramStart"/>
      <w:r w:rsidR="00060EFD">
        <w:rPr>
          <w:rStyle w:val="normaltextrun"/>
          <w:rFonts w:ascii="Segoe UI" w:hAnsi="Segoe UI" w:cs="Segoe UI"/>
          <w:bCs/>
        </w:rPr>
        <w:t>i.e.</w:t>
      </w:r>
      <w:proofErr w:type="gramEnd"/>
      <w:r w:rsidRPr="0089073A">
        <w:rPr>
          <w:rStyle w:val="normaltextrun"/>
          <w:rFonts w:ascii="Segoe UI" w:hAnsi="Segoe UI" w:cs="Segoe UI"/>
          <w:bCs/>
        </w:rPr>
        <w:t xml:space="preserve"> </w:t>
      </w:r>
      <w:r w:rsidR="00F77C8B" w:rsidRPr="0089073A">
        <w:rPr>
          <w:rStyle w:val="normaltextrun"/>
          <w:rFonts w:ascii="Segoe UI" w:hAnsi="Segoe UI" w:cs="Segoe UI"/>
          <w:bCs/>
        </w:rPr>
        <w:t>the content, and how that content is presented to the target audience for their consideration).</w:t>
      </w:r>
      <w:r w:rsidR="007A1B3A">
        <w:rPr>
          <w:rStyle w:val="normaltextrun"/>
          <w:rFonts w:ascii="Segoe UI" w:hAnsi="Segoe UI" w:cs="Segoe UI"/>
          <w:bCs/>
        </w:rPr>
        <w:t xml:space="preserve"> </w:t>
      </w:r>
      <w:r w:rsidR="00236421" w:rsidRPr="0089073A">
        <w:rPr>
          <w:bCs/>
        </w:rPr>
        <w:t xml:space="preserve"> </w:t>
      </w:r>
    </w:p>
    <w:p w14:paraId="5931E8FE" w14:textId="77777777" w:rsidR="00C32C08" w:rsidRPr="0089073A" w:rsidRDefault="00C32C08" w:rsidP="008C10BB">
      <w:pPr>
        <w:pStyle w:val="paragraph"/>
        <w:spacing w:before="0" w:beforeAutospacing="0" w:after="0" w:afterAutospacing="0" w:line="259" w:lineRule="auto"/>
        <w:ind w:left="360"/>
        <w:textAlignment w:val="baseline"/>
        <w:rPr>
          <w:bCs/>
        </w:rPr>
      </w:pPr>
    </w:p>
    <w:p w14:paraId="1A0E568B" w14:textId="3A96DB44" w:rsidR="009139D9" w:rsidRDefault="009139D9" w:rsidP="00903A2B">
      <w:pPr>
        <w:pStyle w:val="Heading3"/>
        <w:rPr>
          <w:i/>
        </w:rPr>
      </w:pPr>
      <w:bookmarkStart w:id="237" w:name="_Toc157029125"/>
      <w:r w:rsidRPr="006647C5">
        <w:t>Options</w:t>
      </w:r>
      <w:bookmarkEnd w:id="237"/>
    </w:p>
    <w:p w14:paraId="33B72211" w14:textId="4237612E" w:rsidR="000628FF" w:rsidRDefault="000628FF" w:rsidP="000628FF">
      <w:pPr>
        <w:rPr>
          <w:rFonts w:eastAsia="Times New Roman" w:cs="Segoe UI"/>
          <w:color w:val="222A35"/>
          <w:kern w:val="24"/>
          <w:lang w:eastAsia="en-AU"/>
        </w:rPr>
      </w:pPr>
      <w:r w:rsidRPr="00E9368B">
        <w:rPr>
          <w:rFonts w:eastAsia="Times New Roman" w:cs="Segoe UI"/>
          <w:color w:val="222A35"/>
          <w:kern w:val="24"/>
          <w:lang w:eastAsia="en-AU"/>
        </w:rPr>
        <w:t>Establishment of horizon scanning</w:t>
      </w:r>
      <w:r w:rsidR="00CF3213">
        <w:rPr>
          <w:rFonts w:eastAsia="Times New Roman" w:cs="Segoe UI"/>
          <w:color w:val="222A35"/>
          <w:kern w:val="24"/>
          <w:lang w:eastAsia="en-AU"/>
        </w:rPr>
        <w:fldChar w:fldCharType="begin"/>
      </w:r>
      <w:r w:rsidR="00CF3213">
        <w:instrText xml:space="preserve"> XE "</w:instrText>
      </w:r>
      <w:r w:rsidR="00CF3213" w:rsidRPr="0034374C">
        <w:rPr>
          <w:rFonts w:eastAsia="Times New Roman" w:cs="Segoe UI"/>
          <w:sz w:val="20"/>
          <w:szCs w:val="20"/>
          <w:lang w:eastAsia="en-AU"/>
        </w:rPr>
        <w:instrText>horizon scanning</w:instrText>
      </w:r>
      <w:r w:rsidR="00CF3213">
        <w:instrText xml:space="preserve">" \b </w:instrText>
      </w:r>
      <w:r w:rsidR="00CF3213">
        <w:rPr>
          <w:rFonts w:eastAsia="Times New Roman" w:cs="Segoe UI"/>
          <w:color w:val="222A35"/>
          <w:kern w:val="24"/>
          <w:lang w:eastAsia="en-AU"/>
        </w:rPr>
        <w:fldChar w:fldCharType="end"/>
      </w:r>
      <w:r w:rsidRPr="00E9368B">
        <w:rPr>
          <w:rFonts w:eastAsia="Times New Roman" w:cs="Segoe UI"/>
          <w:color w:val="222A35"/>
          <w:kern w:val="24"/>
          <w:lang w:eastAsia="en-AU"/>
        </w:rPr>
        <w:t xml:space="preserve"> programs to address specific informational needs within HTA and the health system</w:t>
      </w:r>
      <w:r w:rsidR="001314C3">
        <w:rPr>
          <w:rFonts w:eastAsia="Times New Roman" w:cs="Segoe UI"/>
          <w:color w:val="222A35"/>
          <w:kern w:val="24"/>
          <w:lang w:eastAsia="en-AU"/>
        </w:rPr>
        <w:t>.</w:t>
      </w: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127366" w14:paraId="68A19C9F" w14:textId="77777777" w:rsidTr="002C69B8">
        <w:trPr>
          <w:trHeight w:val="835"/>
        </w:trPr>
        <w:tc>
          <w:tcPr>
            <w:tcW w:w="9367" w:type="dxa"/>
            <w:tcBorders>
              <w:top w:val="single" w:sz="18" w:space="0" w:color="ACC02A" w:themeColor="accent5"/>
              <w:left w:val="nil"/>
              <w:bottom w:val="nil"/>
              <w:right w:val="nil"/>
            </w:tcBorders>
            <w:shd w:val="clear" w:color="auto" w:fill="F2F2F2" w:themeFill="background1" w:themeFillShade="F2"/>
          </w:tcPr>
          <w:p w14:paraId="64390102" w14:textId="7D4E1FD0" w:rsidR="00127366" w:rsidRDefault="003C4D70" w:rsidP="002D029D">
            <w:pPr>
              <w:spacing w:after="120" w:line="259" w:lineRule="auto"/>
              <w:rPr>
                <w:rFonts w:eastAsia="Times New Roman" w:cs="Segoe UI"/>
                <w:b/>
                <w:bCs/>
                <w:lang w:eastAsia="en-AU"/>
              </w:rPr>
            </w:pPr>
            <w:r w:rsidRPr="003C4D70">
              <w:rPr>
                <w:rFonts w:eastAsia="Times New Roman" w:cs="Segoe UI"/>
                <w:b/>
                <w:bCs/>
                <w:lang w:eastAsia="en-AU"/>
              </w:rPr>
              <w:t xml:space="preserve">Horizon scanning for </w:t>
            </w:r>
            <w:r w:rsidR="00F07F84">
              <w:rPr>
                <w:rFonts w:eastAsia="Times New Roman" w:cs="Segoe UI"/>
                <w:b/>
                <w:bCs/>
                <w:lang w:eastAsia="en-AU"/>
              </w:rPr>
              <w:t>advanced therapies</w:t>
            </w:r>
            <w:r w:rsidR="007E1476">
              <w:t xml:space="preserve"> </w:t>
            </w:r>
            <w:r w:rsidR="007E1476" w:rsidRPr="00274E72">
              <w:rPr>
                <w:b/>
                <w:bCs/>
              </w:rPr>
              <w:t>(</w:t>
            </w:r>
            <w:r w:rsidR="007E1476" w:rsidRPr="007E1476">
              <w:rPr>
                <w:rFonts w:eastAsia="Times New Roman" w:cs="Segoe UI"/>
                <w:b/>
                <w:bCs/>
                <w:lang w:eastAsia="en-AU"/>
              </w:rPr>
              <w:t xml:space="preserve">including high cost, HSTs funded through </w:t>
            </w:r>
            <w:r w:rsidR="007E1476">
              <w:rPr>
                <w:rFonts w:eastAsia="Times New Roman" w:cs="Segoe UI"/>
                <w:b/>
                <w:bCs/>
                <w:lang w:eastAsia="en-AU"/>
              </w:rPr>
              <w:t xml:space="preserve">the </w:t>
            </w:r>
            <w:r w:rsidR="007E1476" w:rsidRPr="007E1476">
              <w:rPr>
                <w:rFonts w:eastAsia="Times New Roman" w:cs="Segoe UI"/>
                <w:b/>
                <w:bCs/>
                <w:lang w:eastAsia="en-AU"/>
              </w:rPr>
              <w:t xml:space="preserve">NHRA) </w:t>
            </w:r>
            <w:r w:rsidR="00700B73">
              <w:rPr>
                <w:rFonts w:eastAsia="Times New Roman" w:cs="Segoe UI"/>
                <w:b/>
                <w:bCs/>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b/>
                <w:bCs/>
                <w:lang w:eastAsia="en-AU"/>
              </w:rPr>
              <w:fldChar w:fldCharType="end"/>
            </w:r>
            <w:r w:rsidRPr="003C4D70">
              <w:rPr>
                <w:rFonts w:eastAsia="Times New Roman" w:cs="Segoe UI"/>
                <w:b/>
                <w:bCs/>
                <w:lang w:eastAsia="en-AU"/>
              </w:rPr>
              <w:t xml:space="preserve">and other potentially disruptive </w:t>
            </w:r>
            <w:proofErr w:type="gramStart"/>
            <w:r w:rsidRPr="003C4D70">
              <w:rPr>
                <w:rFonts w:eastAsia="Times New Roman" w:cs="Segoe UI"/>
                <w:b/>
                <w:bCs/>
                <w:lang w:eastAsia="en-AU"/>
              </w:rPr>
              <w:t>technologies</w:t>
            </w:r>
            <w:proofErr w:type="gramEnd"/>
          </w:p>
          <w:p w14:paraId="605322D5" w14:textId="6197EC6A" w:rsidR="003C4D70" w:rsidRPr="006732A5" w:rsidRDefault="003C4D70" w:rsidP="002D029D">
            <w:pPr>
              <w:spacing w:line="259" w:lineRule="auto"/>
              <w:rPr>
                <w:rFonts w:eastAsia="Times New Roman" w:cs="Segoe UI"/>
                <w:color w:val="222A35"/>
                <w:kern w:val="24"/>
                <w:lang w:eastAsia="en-AU"/>
              </w:rPr>
            </w:pPr>
            <w:r w:rsidRPr="006732A5">
              <w:rPr>
                <w:rFonts w:eastAsia="Times New Roman" w:cs="Segoe UI"/>
                <w:color w:val="222A35"/>
                <w:kern w:val="24"/>
                <w:lang w:eastAsia="en-AU"/>
              </w:rPr>
              <w:t>Structured horizon scanning</w:t>
            </w:r>
            <w:r w:rsidRPr="006732A5">
              <w:rPr>
                <w:rFonts w:eastAsia="Times New Roman" w:cs="Segoe UI"/>
                <w:color w:val="222A35"/>
                <w:kern w:val="24"/>
                <w:lang w:eastAsia="en-AU"/>
              </w:rPr>
              <w:fldChar w:fldCharType="begin"/>
            </w:r>
            <w:r w:rsidRPr="003C4D70">
              <w:instrText xml:space="preserve"> XE "</w:instrText>
            </w:r>
            <w:r w:rsidRPr="006732A5">
              <w:rPr>
                <w:rFonts w:eastAsia="Times New Roman" w:cs="Segoe UI"/>
                <w:lang w:eastAsia="en-AU"/>
              </w:rPr>
              <w:instrText>horizon scanning</w:instrText>
            </w:r>
            <w:r w:rsidRPr="003C4D70">
              <w:instrText xml:space="preserve">" \b </w:instrText>
            </w:r>
            <w:r w:rsidRPr="006732A5">
              <w:rPr>
                <w:rFonts w:eastAsia="Times New Roman" w:cs="Segoe UI"/>
                <w:color w:val="222A35"/>
                <w:kern w:val="24"/>
                <w:lang w:eastAsia="en-AU"/>
              </w:rPr>
              <w:fldChar w:fldCharType="end"/>
            </w:r>
            <w:r w:rsidRPr="006732A5">
              <w:rPr>
                <w:rFonts w:eastAsia="Times New Roman" w:cs="Segoe UI"/>
                <w:color w:val="222A35"/>
                <w:kern w:val="24"/>
                <w:lang w:eastAsia="en-AU"/>
              </w:rPr>
              <w:t xml:space="preserve"> process</w:t>
            </w:r>
            <w:r w:rsidR="001314C3">
              <w:rPr>
                <w:rFonts w:eastAsia="Times New Roman" w:cs="Segoe UI"/>
                <w:color w:val="222A35"/>
                <w:kern w:val="24"/>
                <w:lang w:eastAsia="en-AU"/>
              </w:rPr>
              <w:t>:</w:t>
            </w:r>
          </w:p>
          <w:p w14:paraId="706C1D44" w14:textId="75501495" w:rsidR="003C4D70" w:rsidRPr="006732A5" w:rsidRDefault="003C4D70" w:rsidP="008505D7">
            <w:pPr>
              <w:pStyle w:val="ListParagraph"/>
              <w:numPr>
                <w:ilvl w:val="0"/>
                <w:numId w:val="119"/>
              </w:numPr>
              <w:spacing w:line="259" w:lineRule="auto"/>
              <w:rPr>
                <w:rFonts w:eastAsia="Times New Roman" w:cs="Segoe UI"/>
                <w:lang w:eastAsia="en-AU"/>
              </w:rPr>
            </w:pPr>
            <w:r w:rsidRPr="006732A5">
              <w:rPr>
                <w:rFonts w:eastAsia="Times New Roman" w:cs="Segoe UI"/>
                <w:lang w:eastAsia="en-AU"/>
              </w:rPr>
              <w:t>Consistent with the NHRA mid-term review recommendation 29: A structured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process should be established for high-cost, HST</w:t>
            </w:r>
            <w:r w:rsidR="00D0068C">
              <w:rPr>
                <w:rFonts w:eastAsia="Times New Roman" w:cs="Segoe UI"/>
                <w:lang w:eastAsia="en-AU"/>
              </w:rPr>
              <w:fldChar w:fldCharType="begin"/>
            </w:r>
            <w:r w:rsidR="00D0068C">
              <w:instrText xml:space="preserve"> XE "</w:instrText>
            </w:r>
            <w:r w:rsidR="00D0068C" w:rsidRPr="0014280D">
              <w:rPr>
                <w:rStyle w:val="cf01"/>
                <w:sz w:val="20"/>
                <w:szCs w:val="20"/>
              </w:rPr>
              <w:instrText xml:space="preserve">highly specialised </w:instrText>
            </w:r>
            <w:proofErr w:type="spellStart"/>
            <w:r w:rsidR="00D0068C" w:rsidRPr="0014280D">
              <w:rPr>
                <w:rStyle w:val="cf01"/>
                <w:sz w:val="20"/>
                <w:szCs w:val="20"/>
              </w:rPr>
              <w:instrText>therapies:</w:instrText>
            </w:r>
            <w:r w:rsidR="00D0068C" w:rsidRPr="0014280D">
              <w:instrText>HST</w:instrText>
            </w:r>
            <w:proofErr w:type="spellEnd"/>
            <w:r w:rsidR="00D0068C">
              <w:instrText xml:space="preserve">" </w:instrText>
            </w:r>
            <w:r w:rsidR="00D0068C">
              <w:rPr>
                <w:rFonts w:eastAsia="Times New Roman" w:cs="Segoe UI"/>
                <w:lang w:eastAsia="en-AU"/>
              </w:rPr>
              <w:fldChar w:fldCharType="end"/>
            </w:r>
            <w:r w:rsidRPr="006732A5">
              <w:rPr>
                <w:rFonts w:eastAsia="Times New Roman" w:cs="Segoe UI"/>
                <w:lang w:eastAsia="en-AU"/>
              </w:rPr>
              <w:t xml:space="preserve">’s, with involvement of all jurisdictions, and with input from relevant stakeholders, including but not limited to the National Blood Authority, Organ and Tissue Donation Authority, HTA Advisory Committees (currently PBAC and MSAC,) to support forward planning and priority setting. </w:t>
            </w:r>
            <w:r w:rsidR="003662E7">
              <w:rPr>
                <w:rFonts w:eastAsia="Times New Roman" w:cs="Segoe UI"/>
                <w:lang w:eastAsia="en-AU"/>
              </w:rPr>
              <w:t>(</w:t>
            </w:r>
            <w:proofErr w:type="gramStart"/>
            <w:r w:rsidR="003662E7">
              <w:rPr>
                <w:rFonts w:eastAsia="Times New Roman" w:cs="Segoe UI"/>
                <w:lang w:eastAsia="en-AU"/>
              </w:rPr>
              <w:t>see</w:t>
            </w:r>
            <w:proofErr w:type="gramEnd"/>
            <w:r w:rsidR="003662E7">
              <w:rPr>
                <w:rFonts w:eastAsia="Times New Roman" w:cs="Segoe UI"/>
                <w:lang w:eastAsia="en-AU"/>
              </w:rPr>
              <w:t xml:space="preserve"> </w:t>
            </w:r>
            <w:hyperlink w:anchor="_State_and_territory" w:history="1">
              <w:r w:rsidR="003662E7" w:rsidRPr="003662E7">
                <w:rPr>
                  <w:rStyle w:val="Hyperlink"/>
                  <w:rFonts w:eastAsia="Times New Roman" w:cs="Segoe UI"/>
                  <w:lang w:eastAsia="en-AU"/>
                </w:rPr>
                <w:t xml:space="preserve"> State and territory government collaboration</w:t>
              </w:r>
              <w:r w:rsidR="00306661">
                <w:rPr>
                  <w:rStyle w:val="Hyperlink"/>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Style w:val="Hyperlink"/>
                  <w:rFonts w:eastAsia="Times New Roman" w:cs="Segoe UI"/>
                  <w:lang w:eastAsia="en-AU"/>
                </w:rPr>
                <w:fldChar w:fldCharType="end"/>
              </w:r>
              <w:r w:rsidR="003662E7" w:rsidRPr="003662E7">
                <w:rPr>
                  <w:rStyle w:val="Hyperlink"/>
                  <w:rFonts w:eastAsia="Times New Roman" w:cs="Segoe UI"/>
                  <w:lang w:eastAsia="en-AU"/>
                </w:rPr>
                <w:t xml:space="preserve"> in HTA</w:t>
              </w:r>
            </w:hyperlink>
            <w:r w:rsidR="003662E7">
              <w:rPr>
                <w:rFonts w:eastAsia="Times New Roman" w:cs="Segoe UI"/>
                <w:lang w:eastAsia="en-AU"/>
              </w:rPr>
              <w:t>)</w:t>
            </w:r>
          </w:p>
          <w:p w14:paraId="7EABBC60" w14:textId="098D1916" w:rsidR="003C4D70" w:rsidRPr="006732A5" w:rsidRDefault="003C4D70" w:rsidP="008505D7">
            <w:pPr>
              <w:pStyle w:val="ListParagraph"/>
              <w:numPr>
                <w:ilvl w:val="0"/>
                <w:numId w:val="119"/>
              </w:numPr>
              <w:spacing w:line="259" w:lineRule="auto"/>
              <w:rPr>
                <w:rFonts w:eastAsia="Times New Roman" w:cs="Segoe UI"/>
                <w:lang w:eastAsia="en-AU"/>
              </w:rPr>
            </w:pPr>
            <w:r w:rsidRPr="006732A5">
              <w:rPr>
                <w:rFonts w:eastAsia="Times New Roman" w:cs="Segoe UI"/>
                <w:lang w:eastAsia="en-AU"/>
              </w:rPr>
              <w:t xml:space="preserve">This should be done in partnership including Commonwealth, </w:t>
            </w:r>
            <w:proofErr w:type="gramStart"/>
            <w:r w:rsidRPr="006732A5">
              <w:rPr>
                <w:rFonts w:eastAsia="Times New Roman" w:cs="Segoe UI"/>
                <w:lang w:eastAsia="en-AU"/>
              </w:rPr>
              <w:t>state</w:t>
            </w:r>
            <w:proofErr w:type="gramEnd"/>
            <w:r w:rsidRPr="006732A5">
              <w:rPr>
                <w:rFonts w:eastAsia="Times New Roman" w:cs="Segoe UI"/>
                <w:lang w:eastAsia="en-AU"/>
              </w:rPr>
              <w:t xml:space="preserve"> and territory governments</w:t>
            </w:r>
            <w:r w:rsidRPr="006732A5">
              <w:rPr>
                <w:rFonts w:eastAsia="Times New Roman" w:cs="Segoe UI"/>
                <w:lang w:eastAsia="en-AU"/>
              </w:rPr>
              <w:fldChar w:fldCharType="begin"/>
            </w:r>
            <w:r w:rsidRPr="006732A5">
              <w:rPr>
                <w:rFonts w:eastAsia="Times New Roman" w:cs="Segoe UI"/>
                <w:lang w:eastAsia="en-AU"/>
              </w:rPr>
              <w:instrText xml:space="preserve"> XE "state and territory governments" \b </w:instrText>
            </w:r>
            <w:r w:rsidRPr="006732A5">
              <w:rPr>
                <w:rFonts w:eastAsia="Times New Roman" w:cs="Segoe UI"/>
                <w:lang w:eastAsia="en-AU"/>
              </w:rPr>
              <w:fldChar w:fldCharType="end"/>
            </w:r>
            <w:r w:rsidRPr="006732A5">
              <w:rPr>
                <w:rFonts w:eastAsia="Times New Roman" w:cs="Segoe UI"/>
                <w:lang w:eastAsia="en-AU"/>
              </w:rPr>
              <w:t>, and industry and on a cost</w:t>
            </w:r>
            <w:r w:rsidR="00482378">
              <w:rPr>
                <w:rFonts w:eastAsia="Times New Roman" w:cs="Segoe UI"/>
                <w:lang w:eastAsia="en-AU"/>
              </w:rPr>
              <w:t>-</w:t>
            </w:r>
            <w:r w:rsidRPr="006732A5">
              <w:rPr>
                <w:rFonts w:eastAsia="Times New Roman" w:cs="Segoe UI"/>
                <w:lang w:eastAsia="en-AU"/>
              </w:rPr>
              <w:t>sharing basis between the partners (with consideration and consultation to what joint investment from industry could look like)</w:t>
            </w:r>
          </w:p>
          <w:p w14:paraId="1D66A6B0" w14:textId="4BA1D578" w:rsidR="003C4D70" w:rsidRPr="006732A5" w:rsidRDefault="003C4D70" w:rsidP="008505D7">
            <w:pPr>
              <w:pStyle w:val="ListParagraph"/>
              <w:numPr>
                <w:ilvl w:val="0"/>
                <w:numId w:val="119"/>
              </w:numPr>
              <w:spacing w:line="259" w:lineRule="auto"/>
              <w:rPr>
                <w:rFonts w:eastAsia="Times New Roman" w:cs="Segoe UI"/>
                <w:lang w:eastAsia="en-AU"/>
              </w:rPr>
            </w:pPr>
            <w:r w:rsidRPr="006732A5">
              <w:rPr>
                <w:rFonts w:eastAsia="Times New Roman" w:cs="Segoe UI"/>
                <w:lang w:eastAsia="en-AU"/>
              </w:rPr>
              <w:t>The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program should establish and seek agreement on what the purpose and objectives of the horizon scanning process is (what is the research question?), </w:t>
            </w:r>
            <w:r w:rsidR="000D3634">
              <w:rPr>
                <w:rFonts w:eastAsia="Times New Roman" w:cs="Segoe UI"/>
                <w:lang w:eastAsia="en-AU"/>
              </w:rPr>
              <w:t>h</w:t>
            </w:r>
            <w:r w:rsidRPr="006732A5">
              <w:rPr>
                <w:rFonts w:eastAsia="Times New Roman" w:cs="Segoe UI"/>
                <w:lang w:eastAsia="en-AU"/>
              </w:rPr>
              <w:t>ow the information will be used/translated into action? (</w:t>
            </w:r>
            <w:proofErr w:type="gramStart"/>
            <w:r w:rsidRPr="006732A5">
              <w:rPr>
                <w:rFonts w:eastAsia="Times New Roman" w:cs="Segoe UI"/>
                <w:lang w:eastAsia="en-AU"/>
              </w:rPr>
              <w:t>including</w:t>
            </w:r>
            <w:proofErr w:type="gramEnd"/>
            <w:r w:rsidRPr="006732A5">
              <w:rPr>
                <w:rFonts w:eastAsia="Times New Roman" w:cs="Segoe UI"/>
                <w:lang w:eastAsia="en-AU"/>
              </w:rPr>
              <w:t xml:space="preserve"> explicit scope, audience, purpose, process/methods and outcomes/outputs</w:t>
            </w:r>
            <w:r w:rsidR="00296A58" w:rsidRPr="006732A5">
              <w:rPr>
                <w:rFonts w:eastAsia="Times New Roman" w:cs="Segoe UI"/>
                <w:lang w:eastAsia="en-AU"/>
              </w:rPr>
              <w:t>).</w:t>
            </w:r>
            <w:r w:rsidRPr="006732A5">
              <w:rPr>
                <w:rFonts w:eastAsia="Times New Roman" w:cs="Segoe UI"/>
                <w:lang w:eastAsia="en-AU"/>
              </w:rPr>
              <w:t xml:space="preserve"> </w:t>
            </w:r>
          </w:p>
          <w:p w14:paraId="06157280" w14:textId="77777777" w:rsidR="003C4D70" w:rsidRPr="006732A5" w:rsidRDefault="003C4D70" w:rsidP="008505D7">
            <w:pPr>
              <w:pStyle w:val="ListParagraph"/>
              <w:numPr>
                <w:ilvl w:val="0"/>
                <w:numId w:val="119"/>
              </w:numPr>
              <w:spacing w:line="259" w:lineRule="auto"/>
              <w:rPr>
                <w:rFonts w:eastAsia="Times New Roman" w:cs="Segoe UI"/>
                <w:lang w:eastAsia="en-AU"/>
              </w:rPr>
            </w:pPr>
            <w:r w:rsidRPr="006732A5">
              <w:rPr>
                <w:rFonts w:eastAsia="Times New Roman" w:cs="Segoe UI"/>
                <w:lang w:eastAsia="en-AU"/>
              </w:rPr>
              <w:t>The developed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should be tied to actions required to be undertaken by the partners to prepare for the funding and successful implementation of the identified health technology. </w:t>
            </w:r>
          </w:p>
          <w:p w14:paraId="7FD653B1" w14:textId="0BBF63A0" w:rsidR="003C4D70" w:rsidRPr="00BA07C1" w:rsidRDefault="003C4D70" w:rsidP="008505D7">
            <w:pPr>
              <w:pStyle w:val="ListParagraph"/>
              <w:numPr>
                <w:ilvl w:val="0"/>
                <w:numId w:val="119"/>
              </w:numPr>
              <w:spacing w:after="160" w:line="259" w:lineRule="auto"/>
              <w:ind w:left="357" w:hanging="357"/>
              <w:contextualSpacing w:val="0"/>
              <w:rPr>
                <w:rFonts w:eastAsia="Times New Roman" w:cs="Segoe UI"/>
                <w:lang w:eastAsia="en-AU"/>
              </w:rPr>
            </w:pPr>
            <w:r w:rsidRPr="006732A5">
              <w:rPr>
                <w:rFonts w:eastAsia="Times New Roman" w:cs="Segoe UI"/>
                <w:lang w:eastAsia="en-AU"/>
              </w:rPr>
              <w:lastRenderedPageBreak/>
              <w:t>A method to measure and evaluate the success of the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program, its </w:t>
            </w:r>
            <w:proofErr w:type="gramStart"/>
            <w:r w:rsidRPr="006732A5">
              <w:rPr>
                <w:rFonts w:eastAsia="Times New Roman" w:cs="Segoe UI"/>
                <w:lang w:eastAsia="en-AU"/>
              </w:rPr>
              <w:t>outputs</w:t>
            </w:r>
            <w:proofErr w:type="gramEnd"/>
            <w:r w:rsidRPr="006732A5">
              <w:rPr>
                <w:rFonts w:eastAsia="Times New Roman" w:cs="Segoe UI"/>
                <w:lang w:eastAsia="en-AU"/>
              </w:rPr>
              <w:t xml:space="preserve"> and impacts</w:t>
            </w:r>
            <w:r w:rsidR="000D3634">
              <w:rPr>
                <w:rFonts w:eastAsia="Times New Roman" w:cs="Segoe UI"/>
                <w:lang w:eastAsia="en-AU"/>
              </w:rPr>
              <w:t>,</w:t>
            </w:r>
            <w:r w:rsidRPr="006732A5">
              <w:rPr>
                <w:rFonts w:eastAsia="Times New Roman" w:cs="Segoe UI"/>
                <w:lang w:eastAsia="en-AU"/>
              </w:rPr>
              <w:t xml:space="preserve"> should be developed</w:t>
            </w:r>
            <w:r w:rsidR="00296A58" w:rsidRPr="006732A5">
              <w:rPr>
                <w:rFonts w:eastAsia="Times New Roman" w:cs="Segoe UI"/>
                <w:lang w:eastAsia="en-AU"/>
              </w:rPr>
              <w:t>,</w:t>
            </w:r>
            <w:r w:rsidRPr="006732A5">
              <w:rPr>
                <w:rFonts w:eastAsia="Times New Roman" w:cs="Segoe UI"/>
                <w:lang w:eastAsia="en-AU"/>
              </w:rPr>
              <w:t xml:space="preserve"> and the program be regularly reviewed and updated accordingly</w:t>
            </w:r>
            <w:r w:rsidR="00D122EB">
              <w:rPr>
                <w:rFonts w:eastAsia="Times New Roman" w:cs="Segoe UI"/>
                <w:lang w:eastAsia="en-AU"/>
              </w:rPr>
              <w:t>.</w:t>
            </w:r>
          </w:p>
          <w:p w14:paraId="5C559A2C" w14:textId="2CDBCC3C" w:rsidR="003C4D70" w:rsidRPr="006732A5" w:rsidRDefault="003C4D70" w:rsidP="001F5A5B">
            <w:pPr>
              <w:spacing w:after="160" w:line="259" w:lineRule="auto"/>
              <w:rPr>
                <w:rFonts w:eastAsia="Times New Roman" w:cs="Segoe UI"/>
                <w:color w:val="222A35"/>
                <w:kern w:val="24"/>
                <w:lang w:eastAsia="en-AU"/>
              </w:rPr>
            </w:pPr>
            <w:r w:rsidRPr="006732A5">
              <w:rPr>
                <w:rFonts w:eastAsia="Times New Roman" w:cs="Segoe UI"/>
                <w:color w:val="222A35"/>
                <w:kern w:val="24"/>
                <w:lang w:eastAsia="en-AU"/>
              </w:rPr>
              <w:t>Continue to progress multi-agency, international collaboration</w:t>
            </w:r>
            <w:r w:rsidRPr="006732A5">
              <w:rPr>
                <w:rFonts w:eastAsia="Times New Roman" w:cs="Segoe UI"/>
                <w:color w:val="222A35"/>
                <w:kern w:val="24"/>
                <w:lang w:eastAsia="en-AU"/>
              </w:rPr>
              <w:fldChar w:fldCharType="begin"/>
            </w:r>
            <w:r w:rsidRPr="003C4D70">
              <w:instrText xml:space="preserve"> XE "</w:instrText>
            </w:r>
            <w:r w:rsidRPr="006732A5">
              <w:rPr>
                <w:rFonts w:eastAsia="Times New Roman" w:cs="Segoe UI"/>
                <w:color w:val="222A35"/>
                <w:kern w:val="24"/>
                <w:lang w:eastAsia="en-AU"/>
              </w:rPr>
              <w:instrText>international collaboration</w:instrText>
            </w:r>
            <w:r w:rsidRPr="003C4D70">
              <w:instrText xml:space="preserve">" \b </w:instrText>
            </w:r>
            <w:r w:rsidRPr="006732A5">
              <w:rPr>
                <w:rFonts w:eastAsia="Times New Roman" w:cs="Segoe UI"/>
                <w:color w:val="222A35"/>
                <w:kern w:val="24"/>
                <w:lang w:eastAsia="en-AU"/>
              </w:rPr>
              <w:fldChar w:fldCharType="end"/>
            </w:r>
            <w:r w:rsidRPr="006732A5">
              <w:rPr>
                <w:rFonts w:eastAsia="Times New Roman" w:cs="Segoe UI"/>
                <w:color w:val="222A35"/>
                <w:kern w:val="24"/>
                <w:lang w:eastAsia="en-AU"/>
              </w:rPr>
              <w:t xml:space="preserve"> around horizon scanning</w:t>
            </w:r>
            <w:r w:rsidRPr="006732A5">
              <w:rPr>
                <w:rFonts w:eastAsia="Times New Roman" w:cs="Segoe UI"/>
                <w:color w:val="222A35"/>
                <w:kern w:val="24"/>
                <w:lang w:eastAsia="en-AU"/>
              </w:rPr>
              <w:fldChar w:fldCharType="begin"/>
            </w:r>
            <w:r w:rsidRPr="003C4D70">
              <w:instrText xml:space="preserve"> XE "</w:instrText>
            </w:r>
            <w:r w:rsidRPr="006732A5">
              <w:rPr>
                <w:rFonts w:eastAsia="Times New Roman" w:cs="Segoe UI"/>
                <w:lang w:eastAsia="en-AU"/>
              </w:rPr>
              <w:instrText>horizon scanning</w:instrText>
            </w:r>
            <w:r w:rsidRPr="003C4D70">
              <w:instrText xml:space="preserve">" \b </w:instrText>
            </w:r>
            <w:r w:rsidRPr="006732A5">
              <w:rPr>
                <w:rFonts w:eastAsia="Times New Roman" w:cs="Segoe UI"/>
                <w:color w:val="222A35"/>
                <w:kern w:val="24"/>
                <w:lang w:eastAsia="en-AU"/>
              </w:rPr>
              <w:fldChar w:fldCharType="end"/>
            </w:r>
            <w:r w:rsidR="001F5A5B">
              <w:rPr>
                <w:rFonts w:eastAsia="Times New Roman" w:cs="Segoe UI"/>
                <w:color w:val="222A35"/>
                <w:kern w:val="24"/>
                <w:lang w:eastAsia="en-AU"/>
              </w:rPr>
              <w:t>:</w:t>
            </w:r>
          </w:p>
          <w:p w14:paraId="79E88775" w14:textId="38CBA442" w:rsidR="00127366" w:rsidRPr="00837CDF" w:rsidRDefault="003C4D70" w:rsidP="002D029D">
            <w:pPr>
              <w:spacing w:line="259" w:lineRule="auto"/>
              <w:rPr>
                <w:rFonts w:eastAsia="Times New Roman" w:cs="Segoe UI"/>
                <w:lang w:eastAsia="en-AU"/>
              </w:rPr>
            </w:pPr>
            <w:r w:rsidRPr="006732A5">
              <w:rPr>
                <w:rFonts w:eastAsia="Times New Roman" w:cs="Segoe UI"/>
                <w:color w:val="222A35"/>
                <w:kern w:val="24"/>
                <w:lang w:eastAsia="en-AU"/>
              </w:rPr>
              <w:t>Noting the international collaboration</w:t>
            </w:r>
            <w:r w:rsidRPr="006732A5">
              <w:rPr>
                <w:rFonts w:eastAsia="Times New Roman" w:cs="Segoe UI"/>
                <w:color w:val="222A35"/>
                <w:kern w:val="24"/>
                <w:lang w:eastAsia="en-AU"/>
              </w:rPr>
              <w:fldChar w:fldCharType="begin"/>
            </w:r>
            <w:r w:rsidRPr="003C4D70">
              <w:instrText xml:space="preserve"> XE "</w:instrText>
            </w:r>
            <w:r w:rsidRPr="006732A5">
              <w:rPr>
                <w:rFonts w:eastAsia="Times New Roman" w:cs="Segoe UI"/>
                <w:color w:val="222A35"/>
                <w:kern w:val="24"/>
                <w:lang w:eastAsia="en-AU"/>
              </w:rPr>
              <w:instrText>international collaboration</w:instrText>
            </w:r>
            <w:r w:rsidRPr="003C4D70">
              <w:instrText xml:space="preserve">" \b </w:instrText>
            </w:r>
            <w:r w:rsidRPr="006732A5">
              <w:rPr>
                <w:rFonts w:eastAsia="Times New Roman" w:cs="Segoe UI"/>
                <w:color w:val="222A35"/>
                <w:kern w:val="24"/>
                <w:lang w:eastAsia="en-AU"/>
              </w:rPr>
              <w:fldChar w:fldCharType="end"/>
            </w:r>
            <w:r w:rsidRPr="006732A5">
              <w:rPr>
                <w:rFonts w:eastAsia="Times New Roman" w:cs="Segoe UI"/>
                <w:color w:val="222A35"/>
                <w:kern w:val="24"/>
                <w:lang w:eastAsia="en-AU"/>
              </w:rPr>
              <w:t xml:space="preserve"> efforts the Department is already progressing, investigate if/where the information available through international collaboration</w:t>
            </w:r>
            <w:r w:rsidR="00306661">
              <w:rPr>
                <w:rFonts w:eastAsia="Times New Roman" w:cs="Segoe UI"/>
                <w:color w:val="222A35"/>
                <w:kern w:val="24"/>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lang w:eastAsia="en-AU"/>
              </w:rPr>
              <w:fldChar w:fldCharType="end"/>
            </w:r>
            <w:r w:rsidRPr="006732A5">
              <w:rPr>
                <w:rFonts w:eastAsia="Times New Roman" w:cs="Segoe UI"/>
                <w:color w:val="222A35"/>
                <w:kern w:val="24"/>
                <w:lang w:eastAsia="en-AU"/>
              </w:rPr>
              <w:t xml:space="preserve"> on horizon scanning</w:t>
            </w:r>
            <w:r w:rsidRPr="006732A5">
              <w:rPr>
                <w:rFonts w:eastAsia="Times New Roman" w:cs="Segoe UI"/>
                <w:color w:val="222A35"/>
                <w:kern w:val="24"/>
                <w:lang w:eastAsia="en-AU"/>
              </w:rPr>
              <w:fldChar w:fldCharType="begin"/>
            </w:r>
            <w:r w:rsidRPr="003C4D70">
              <w:instrText xml:space="preserve"> XE "</w:instrText>
            </w:r>
            <w:r w:rsidRPr="006732A5">
              <w:rPr>
                <w:rFonts w:eastAsia="Times New Roman" w:cs="Segoe UI"/>
                <w:lang w:eastAsia="en-AU"/>
              </w:rPr>
              <w:instrText>horizon scanning</w:instrText>
            </w:r>
            <w:r w:rsidRPr="003C4D70">
              <w:instrText xml:space="preserve">" \b </w:instrText>
            </w:r>
            <w:r w:rsidRPr="006732A5">
              <w:rPr>
                <w:rFonts w:eastAsia="Times New Roman" w:cs="Segoe UI"/>
                <w:color w:val="222A35"/>
                <w:kern w:val="24"/>
                <w:lang w:eastAsia="en-AU"/>
              </w:rPr>
              <w:fldChar w:fldCharType="end"/>
            </w:r>
            <w:r w:rsidRPr="006732A5">
              <w:rPr>
                <w:rFonts w:eastAsia="Times New Roman" w:cs="Segoe UI"/>
                <w:color w:val="222A35"/>
                <w:kern w:val="24"/>
                <w:lang w:eastAsia="en-AU"/>
              </w:rPr>
              <w:t xml:space="preserve"> would meet the informational needs (or part there-of) for the purposes of the above.</w:t>
            </w:r>
          </w:p>
        </w:tc>
      </w:tr>
    </w:tbl>
    <w:p w14:paraId="36E94755" w14:textId="77777777" w:rsidR="00127366" w:rsidRDefault="00127366" w:rsidP="002D029D">
      <w:pPr>
        <w:spacing w:after="0"/>
        <w:rPr>
          <w:rFonts w:cs="Segoe UI"/>
        </w:rPr>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93ABF" w14:paraId="5288DC13" w14:textId="77777777" w:rsidTr="000D16BB">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0E6BF763" w14:textId="47E76911" w:rsidR="00A93ABF" w:rsidRDefault="00A93ABF" w:rsidP="008C10BB">
            <w:pPr>
              <w:spacing w:after="120" w:line="259" w:lineRule="auto"/>
              <w:rPr>
                <w:rFonts w:eastAsia="Times New Roman" w:cs="Segoe UI"/>
                <w:b/>
                <w:bCs/>
                <w:lang w:eastAsia="en-AU"/>
              </w:rPr>
            </w:pPr>
            <w:r w:rsidRPr="00A93ABF">
              <w:rPr>
                <w:rFonts w:eastAsia="Times New Roman" w:cs="Segoe UI"/>
                <w:b/>
                <w:bCs/>
                <w:lang w:eastAsia="en-AU"/>
              </w:rPr>
              <w:t>Horizon Scanning to meet priority areas (including addressing equity and HUCN</w:t>
            </w:r>
            <w:r w:rsidR="00D027D9">
              <w:rPr>
                <w:rFonts w:eastAsia="Times New Roman" w:cs="Segoe UI"/>
                <w:b/>
                <w:bCs/>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b/>
                <w:bCs/>
                <w:lang w:eastAsia="en-AU"/>
              </w:rPr>
              <w:fldChar w:fldCharType="end"/>
            </w:r>
            <w:r w:rsidRPr="00A93ABF">
              <w:rPr>
                <w:rFonts w:eastAsia="Times New Roman" w:cs="Segoe UI"/>
                <w:b/>
                <w:bCs/>
                <w:lang w:eastAsia="en-AU"/>
              </w:rPr>
              <w:t>)</w:t>
            </w:r>
          </w:p>
          <w:p w14:paraId="540BC772" w14:textId="77777777" w:rsidR="00A93ABF" w:rsidRPr="006732A5" w:rsidRDefault="00A93ABF" w:rsidP="008505D7">
            <w:pPr>
              <w:pStyle w:val="ListParagraph"/>
              <w:numPr>
                <w:ilvl w:val="0"/>
                <w:numId w:val="121"/>
              </w:numPr>
              <w:spacing w:line="259" w:lineRule="auto"/>
              <w:rPr>
                <w:rFonts w:eastAsia="Times New Roman" w:cs="Segoe UI"/>
                <w:lang w:eastAsia="en-AU"/>
              </w:rPr>
            </w:pPr>
            <w:r w:rsidRPr="006732A5">
              <w:rPr>
                <w:rFonts w:eastAsia="Times New Roman" w:cs="Segoe UI"/>
                <w:lang w:eastAsia="en-AU"/>
              </w:rPr>
              <w:t>Establish an active horizon scanning</w:t>
            </w:r>
            <w:r w:rsidRPr="006732A5">
              <w:rPr>
                <w:rFonts w:eastAsia="Times New Roman" w:cs="Segoe UI"/>
                <w:lang w:eastAsia="en-AU"/>
              </w:rPr>
              <w:fldChar w:fldCharType="begin"/>
            </w:r>
            <w:r w:rsidRPr="006732A5">
              <w:rPr>
                <w:rFonts w:eastAsia="Times New Roman" w:cs="Segoe UI"/>
                <w:lang w:eastAsia="en-AU"/>
              </w:rPr>
              <w:instrText xml:space="preserve"> XE "horizon scanning" \b </w:instrText>
            </w:r>
            <w:r w:rsidRPr="006732A5">
              <w:rPr>
                <w:rFonts w:eastAsia="Times New Roman" w:cs="Segoe UI"/>
                <w:lang w:eastAsia="en-AU"/>
              </w:rPr>
              <w:fldChar w:fldCharType="end"/>
            </w:r>
            <w:r w:rsidRPr="006732A5">
              <w:rPr>
                <w:rFonts w:eastAsia="Times New Roman" w:cs="Segoe UI"/>
                <w:lang w:eastAsia="en-AU"/>
              </w:rPr>
              <w:t xml:space="preserve"> process that to identify therapies with promising added therapeutic value, in a priority area (patient indication); This should include new therapies or new patient indications for the ‘repurposing’ of existing therapies.</w:t>
            </w:r>
          </w:p>
          <w:p w14:paraId="62EF36BB" w14:textId="77777777" w:rsidR="00A93ABF" w:rsidRPr="006732A5" w:rsidRDefault="00A93ABF" w:rsidP="008505D7">
            <w:pPr>
              <w:pStyle w:val="ListParagraph"/>
              <w:numPr>
                <w:ilvl w:val="0"/>
                <w:numId w:val="121"/>
              </w:numPr>
              <w:spacing w:line="259" w:lineRule="auto"/>
              <w:rPr>
                <w:rFonts w:eastAsia="Times New Roman" w:cs="Segoe UI"/>
                <w:lang w:eastAsia="en-AU"/>
              </w:rPr>
            </w:pPr>
            <w:r w:rsidRPr="006732A5">
              <w:rPr>
                <w:rFonts w:eastAsia="Times New Roman" w:cs="Segoe UI"/>
                <w:lang w:eastAsia="en-AU"/>
              </w:rPr>
              <w:t xml:space="preserve">This process should be open to the leverage off patient and clinician communities, to help identify possible therapies / expanded indications, and involve them in the later parts of the process to ensure they can be informed about potential future health technologies. </w:t>
            </w:r>
          </w:p>
          <w:p w14:paraId="0E13875E" w14:textId="364BAC88" w:rsidR="00A93ABF" w:rsidRPr="006732A5" w:rsidRDefault="00A93ABF" w:rsidP="008505D7">
            <w:pPr>
              <w:pStyle w:val="ListParagraph"/>
              <w:numPr>
                <w:ilvl w:val="0"/>
                <w:numId w:val="121"/>
              </w:numPr>
              <w:spacing w:line="259" w:lineRule="auto"/>
              <w:rPr>
                <w:rFonts w:eastAsia="Times New Roman" w:cs="Segoe UI"/>
                <w:lang w:eastAsia="en-AU"/>
              </w:rPr>
            </w:pPr>
            <w:r w:rsidRPr="006732A5">
              <w:rPr>
                <w:rFonts w:eastAsia="Times New Roman" w:cs="Segoe UI"/>
                <w:lang w:eastAsia="en-AU"/>
              </w:rPr>
              <w:t xml:space="preserve">In line with the priority reforms under the </w:t>
            </w:r>
            <w:hyperlink r:id="rId195" w:history="1">
              <w:r w:rsidRPr="00B04D60">
                <w:rPr>
                  <w:rStyle w:val="Hyperlink"/>
                  <w:rFonts w:eastAsia="Times New Roman" w:cs="Segoe UI"/>
                  <w:lang w:eastAsia="en-AU"/>
                </w:rPr>
                <w:t>National Closing the Gap Agreement 2020 between all Governments and the Coalition of Peaks</w:t>
              </w:r>
            </w:hyperlink>
            <w:r w:rsidRPr="006732A5">
              <w:rPr>
                <w:rFonts w:eastAsia="Times New Roman" w:cs="Segoe UI"/>
                <w:lang w:eastAsia="en-AU"/>
              </w:rPr>
              <w:t>, this process should also include collaboration</w:t>
            </w:r>
            <w:r w:rsidR="00306661">
              <w:rPr>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lang w:eastAsia="en-AU"/>
              </w:rPr>
              <w:fldChar w:fldCharType="end"/>
            </w:r>
            <w:r w:rsidRPr="006732A5">
              <w:rPr>
                <w:rFonts w:eastAsia="Times New Roman" w:cs="Segoe UI"/>
                <w:lang w:eastAsia="en-AU"/>
              </w:rPr>
              <w:t xml:space="preserve"> with ACCHS to help identify therapies for addressing areas of unmet clinical need</w:t>
            </w:r>
            <w:r w:rsidRPr="006732A5">
              <w:rPr>
                <w:rFonts w:eastAsia="Times New Roman" w:cs="Segoe UI"/>
                <w:lang w:eastAsia="en-AU"/>
              </w:rPr>
              <w:fldChar w:fldCharType="begin"/>
            </w:r>
            <w:r w:rsidRPr="006732A5">
              <w:rPr>
                <w:rFonts w:eastAsia="Times New Roman" w:cs="Segoe UI"/>
                <w:lang w:eastAsia="en-AU"/>
              </w:rPr>
              <w:instrText xml:space="preserve"> XE "unmet clinical need" \b </w:instrText>
            </w:r>
            <w:r w:rsidRPr="006732A5">
              <w:rPr>
                <w:rFonts w:eastAsia="Times New Roman" w:cs="Segoe UI"/>
                <w:lang w:eastAsia="en-AU"/>
              </w:rPr>
              <w:fldChar w:fldCharType="end"/>
            </w:r>
            <w:r w:rsidRPr="006732A5">
              <w:rPr>
                <w:rFonts w:eastAsia="Times New Roman" w:cs="Segoe UI"/>
                <w:lang w:eastAsia="en-AU"/>
              </w:rPr>
              <w:t xml:space="preserve"> for First Nations </w:t>
            </w:r>
            <w:r w:rsidR="008505D7">
              <w:rPr>
                <w:rFonts w:eastAsia="Times New Roman" w:cs="Segoe UI"/>
                <w:lang w:eastAsia="en-AU"/>
              </w:rPr>
              <w:t>p</w:t>
            </w:r>
            <w:r w:rsidRPr="006732A5">
              <w:rPr>
                <w:rFonts w:eastAsia="Times New Roman" w:cs="Segoe UI"/>
                <w:lang w:eastAsia="en-AU"/>
              </w:rPr>
              <w:t>eoples</w:t>
            </w:r>
            <w:r w:rsidR="009950D4">
              <w:rPr>
                <w:rFonts w:eastAsia="Times New Roman" w:cs="Segoe UI"/>
                <w:lang w:eastAsia="en-AU"/>
              </w:rPr>
              <w:fldChar w:fldCharType="begin"/>
            </w:r>
            <w:r w:rsidR="009950D4">
              <w:instrText xml:space="preserve"> XE "</w:instrText>
            </w:r>
            <w:r w:rsidR="009950D4" w:rsidRPr="0032056E">
              <w:instrText xml:space="preserve">Aboriginal and Torres Strait </w:instrText>
            </w:r>
            <w:proofErr w:type="spellStart"/>
            <w:r w:rsidR="009950D4" w:rsidRPr="0032056E">
              <w:instrText>Islander:First</w:instrText>
            </w:r>
            <w:proofErr w:type="spellEnd"/>
            <w:r w:rsidR="009950D4" w:rsidRPr="0032056E">
              <w:instrText xml:space="preserve"> Nations peoples</w:instrText>
            </w:r>
            <w:r w:rsidR="009950D4">
              <w:instrText xml:space="preserve">" </w:instrText>
            </w:r>
            <w:r w:rsidR="009950D4">
              <w:rPr>
                <w:rFonts w:eastAsia="Times New Roman" w:cs="Segoe UI"/>
                <w:lang w:eastAsia="en-AU"/>
              </w:rPr>
              <w:fldChar w:fldCharType="end"/>
            </w:r>
            <w:r w:rsidRPr="006732A5">
              <w:rPr>
                <w:rFonts w:eastAsia="Times New Roman" w:cs="Segoe UI"/>
                <w:lang w:eastAsia="en-AU"/>
              </w:rPr>
              <w:t>.</w:t>
            </w:r>
          </w:p>
          <w:p w14:paraId="1E3CD60D" w14:textId="77777777" w:rsidR="00A93ABF" w:rsidRPr="006732A5" w:rsidRDefault="00A93ABF" w:rsidP="008505D7">
            <w:pPr>
              <w:pStyle w:val="ListParagraph"/>
              <w:numPr>
                <w:ilvl w:val="0"/>
                <w:numId w:val="121"/>
              </w:numPr>
              <w:spacing w:after="160" w:line="259" w:lineRule="auto"/>
              <w:ind w:left="357" w:hanging="357"/>
              <w:rPr>
                <w:rFonts w:eastAsia="Times New Roman" w:cs="Segoe UI"/>
                <w:lang w:eastAsia="en-AU"/>
              </w:rPr>
            </w:pPr>
            <w:r w:rsidRPr="006732A5">
              <w:rPr>
                <w:rFonts w:eastAsia="Times New Roman" w:cs="Segoe UI"/>
                <w:lang w:eastAsia="en-AU"/>
              </w:rPr>
              <w:t xml:space="preserve">Develop a framework that includes an assessment of prioritisation of therapies after they have been identified through the scanning process to assist in informing the decision / action related to the identified therapy. </w:t>
            </w:r>
          </w:p>
          <w:p w14:paraId="6240299A" w14:textId="1EEC6D58" w:rsidR="00A93ABF" w:rsidRPr="00837CDF" w:rsidRDefault="00A93ABF" w:rsidP="001F5A5B">
            <w:pPr>
              <w:spacing w:line="259" w:lineRule="auto"/>
              <w:rPr>
                <w:rFonts w:eastAsia="Times New Roman" w:cs="Segoe UI"/>
                <w:lang w:eastAsia="en-AU"/>
              </w:rPr>
            </w:pPr>
            <w:r w:rsidRPr="006732A5">
              <w:rPr>
                <w:rFonts w:eastAsia="Times New Roman" w:cs="Segoe UI"/>
                <w:i/>
                <w:color w:val="222A35"/>
                <w:kern w:val="24"/>
                <w:lang w:eastAsia="en-AU"/>
              </w:rPr>
              <w:t>(</w:t>
            </w:r>
            <w:proofErr w:type="gramStart"/>
            <w:r w:rsidRPr="006732A5">
              <w:rPr>
                <w:rFonts w:eastAsia="Times New Roman" w:cs="Segoe UI"/>
                <w:i/>
                <w:color w:val="222A35"/>
                <w:kern w:val="24"/>
                <w:lang w:eastAsia="en-AU"/>
              </w:rPr>
              <w:t>note</w:t>
            </w:r>
            <w:proofErr w:type="gramEnd"/>
            <w:r w:rsidRPr="006732A5">
              <w:rPr>
                <w:rFonts w:eastAsia="Times New Roman" w:cs="Segoe UI"/>
                <w:i/>
                <w:color w:val="222A35"/>
                <w:kern w:val="24"/>
                <w:lang w:eastAsia="en-AU"/>
              </w:rPr>
              <w:t>: areas of action from this proposed horizon scanning</w:t>
            </w:r>
            <w:r w:rsidRPr="006732A5">
              <w:rPr>
                <w:rFonts w:eastAsia="Times New Roman" w:cs="Segoe UI"/>
                <w:i/>
                <w:color w:val="222A35"/>
                <w:kern w:val="24"/>
                <w:lang w:eastAsia="en-AU"/>
              </w:rPr>
              <w:fldChar w:fldCharType="begin"/>
            </w:r>
            <w:r w:rsidRPr="00A93ABF">
              <w:instrText xml:space="preserve"> XE "</w:instrText>
            </w:r>
            <w:r w:rsidRPr="006732A5">
              <w:rPr>
                <w:rFonts w:eastAsia="Times New Roman" w:cs="Segoe UI"/>
                <w:lang w:eastAsia="en-AU"/>
              </w:rPr>
              <w:instrText>horizon scanning</w:instrText>
            </w:r>
            <w:r w:rsidRPr="00A93ABF">
              <w:instrText xml:space="preserve">" \b </w:instrText>
            </w:r>
            <w:r w:rsidRPr="006732A5">
              <w:rPr>
                <w:rFonts w:eastAsia="Times New Roman" w:cs="Segoe UI"/>
                <w:i/>
                <w:color w:val="222A35"/>
                <w:kern w:val="24"/>
                <w:lang w:eastAsia="en-AU"/>
              </w:rPr>
              <w:fldChar w:fldCharType="end"/>
            </w:r>
            <w:r w:rsidRPr="006732A5">
              <w:rPr>
                <w:rFonts w:eastAsia="Times New Roman" w:cs="Segoe UI"/>
                <w:i/>
                <w:color w:val="222A35"/>
                <w:kern w:val="24"/>
                <w:lang w:eastAsia="en-AU"/>
              </w:rPr>
              <w:t xml:space="preserve"> program are discussed under the section on “proactively addressing gaps </w:t>
            </w:r>
            <w:r w:rsidRPr="006732A5">
              <w:rPr>
                <w:rFonts w:eastAsia="Times New Roman" w:cs="Segoe UI"/>
                <w:color w:val="222A35"/>
                <w:kern w:val="24"/>
                <w:lang w:eastAsia="en-AU"/>
              </w:rPr>
              <w:t>in</w:t>
            </w:r>
            <w:r w:rsidRPr="006732A5">
              <w:rPr>
                <w:rFonts w:eastAsia="Times New Roman" w:cs="Segoe UI"/>
                <w:i/>
                <w:color w:val="222A35"/>
                <w:kern w:val="24"/>
                <w:lang w:eastAsia="en-AU"/>
              </w:rPr>
              <w:t xml:space="preserve"> the PBS” and broader pathways sections)</w:t>
            </w:r>
          </w:p>
        </w:tc>
      </w:tr>
    </w:tbl>
    <w:p w14:paraId="14EC79D1" w14:textId="77777777" w:rsidR="00A93ABF" w:rsidRDefault="00A93ABF" w:rsidP="00117D66">
      <w:pPr>
        <w:spacing w:after="0"/>
        <w:rPr>
          <w:rFonts w:cs="Segoe UI"/>
          <w:b/>
          <w:bCs/>
        </w:rPr>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93ABF" w14:paraId="4FBC8923" w14:textId="77777777" w:rsidTr="000D16BB">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6B8F045" w14:textId="58C06BE7" w:rsidR="00A93ABF" w:rsidRDefault="00A93ABF" w:rsidP="008C10BB">
            <w:pPr>
              <w:spacing w:after="120" w:line="259" w:lineRule="auto"/>
              <w:rPr>
                <w:rFonts w:eastAsia="Times New Roman" w:cs="Segoe UI"/>
                <w:b/>
                <w:bCs/>
                <w:lang w:eastAsia="en-AU"/>
              </w:rPr>
            </w:pPr>
            <w:r w:rsidRPr="00A93ABF">
              <w:rPr>
                <w:rFonts w:eastAsia="Times New Roman" w:cs="Segoe UI"/>
                <w:b/>
                <w:bCs/>
                <w:lang w:eastAsia="en-AU"/>
              </w:rPr>
              <w:lastRenderedPageBreak/>
              <w:t xml:space="preserve">Horizon Scanning to help operational and capacity planning for HTA and health </w:t>
            </w:r>
            <w:proofErr w:type="gramStart"/>
            <w:r w:rsidRPr="00A93ABF">
              <w:rPr>
                <w:rFonts w:eastAsia="Times New Roman" w:cs="Segoe UI"/>
                <w:b/>
                <w:bCs/>
                <w:lang w:eastAsia="en-AU"/>
              </w:rPr>
              <w:t>systems</w:t>
            </w:r>
            <w:proofErr w:type="gramEnd"/>
            <w:r w:rsidRPr="00A93ABF">
              <w:rPr>
                <w:rFonts w:eastAsia="Times New Roman" w:cs="Segoe UI"/>
                <w:b/>
                <w:bCs/>
                <w:lang w:eastAsia="en-AU"/>
              </w:rPr>
              <w:t xml:space="preserve"> </w:t>
            </w:r>
          </w:p>
          <w:p w14:paraId="404031C4" w14:textId="71827892" w:rsidR="00A93ABF" w:rsidRPr="00A93ABF" w:rsidRDefault="00A93ABF" w:rsidP="008505D7">
            <w:pPr>
              <w:pStyle w:val="ListParagraph"/>
              <w:numPr>
                <w:ilvl w:val="0"/>
                <w:numId w:val="124"/>
              </w:numPr>
              <w:spacing w:line="259" w:lineRule="auto"/>
              <w:rPr>
                <w:rFonts w:eastAsia="Times New Roman" w:cs="Segoe UI"/>
                <w:lang w:eastAsia="en-AU"/>
              </w:rPr>
            </w:pPr>
            <w:r w:rsidRPr="00A93ABF">
              <w:rPr>
                <w:rFonts w:eastAsia="Times New Roman" w:cs="Segoe UI"/>
                <w:lang w:eastAsia="en-AU"/>
              </w:rPr>
              <w:t>Develop a method to measure and evaluate the success of the horizon scanning</w:t>
            </w:r>
            <w:r w:rsidRPr="00A93ABF">
              <w:rPr>
                <w:rFonts w:eastAsia="Times New Roman" w:cs="Segoe UI"/>
                <w:lang w:eastAsia="en-AU"/>
              </w:rPr>
              <w:fldChar w:fldCharType="begin"/>
            </w:r>
            <w:r w:rsidRPr="00A93ABF">
              <w:rPr>
                <w:rFonts w:eastAsia="Times New Roman" w:cs="Segoe UI"/>
                <w:lang w:eastAsia="en-AU"/>
              </w:rPr>
              <w:instrText xml:space="preserve"> XE "horizon scanning" \b </w:instrText>
            </w:r>
            <w:r w:rsidRPr="00A93ABF">
              <w:rPr>
                <w:rFonts w:eastAsia="Times New Roman" w:cs="Segoe UI"/>
                <w:lang w:eastAsia="en-AU"/>
              </w:rPr>
              <w:fldChar w:fldCharType="end"/>
            </w:r>
            <w:r w:rsidRPr="00A93ABF">
              <w:rPr>
                <w:rFonts w:eastAsia="Times New Roman" w:cs="Segoe UI"/>
                <w:lang w:eastAsia="en-AU"/>
              </w:rPr>
              <w:t xml:space="preserve"> mechanism outlined in section 6 of the Strategic Agreement in meeting </w:t>
            </w:r>
            <w:r w:rsidR="00E55B2A" w:rsidRPr="00A93ABF">
              <w:rPr>
                <w:rFonts w:eastAsia="Times New Roman" w:cs="Segoe UI"/>
                <w:lang w:eastAsia="en-AU"/>
              </w:rPr>
              <w:t>its</w:t>
            </w:r>
            <w:r w:rsidRPr="00A93ABF">
              <w:rPr>
                <w:rFonts w:eastAsia="Times New Roman" w:cs="Segoe UI"/>
                <w:lang w:eastAsia="en-AU"/>
              </w:rPr>
              <w:t xml:space="preserve"> objectives as agreed in the Strategic Agreement: </w:t>
            </w:r>
          </w:p>
          <w:p w14:paraId="79C20CA2" w14:textId="77777777" w:rsidR="00A93ABF" w:rsidRPr="00A93ABF" w:rsidRDefault="00A93ABF" w:rsidP="008505D7">
            <w:pPr>
              <w:pStyle w:val="ListParagraph"/>
              <w:numPr>
                <w:ilvl w:val="0"/>
                <w:numId w:val="125"/>
              </w:numPr>
              <w:spacing w:line="259" w:lineRule="auto"/>
              <w:ind w:left="782" w:hanging="425"/>
              <w:rPr>
                <w:rFonts w:eastAsia="Times New Roman" w:cs="Segoe UI"/>
                <w:lang w:eastAsia="en-AU"/>
              </w:rPr>
            </w:pPr>
            <w:r w:rsidRPr="00A93ABF">
              <w:rPr>
                <w:rFonts w:eastAsia="Times New Roman" w:cs="Segoe UI"/>
                <w:lang w:eastAsia="en-AU"/>
              </w:rPr>
              <w:t>identify major therapeutic advances which may enter the regulatory or reimbursement systems (or both) over the following 18-24 months and other trends and which may represent a significant disruption in the treatment paradigm and/or require innovation in health care system planning; and</w:t>
            </w:r>
          </w:p>
          <w:p w14:paraId="246B9A4A" w14:textId="77777777" w:rsidR="00A93ABF" w:rsidRPr="00A93ABF" w:rsidRDefault="00A93ABF" w:rsidP="008505D7">
            <w:pPr>
              <w:pStyle w:val="ListParagraph"/>
              <w:numPr>
                <w:ilvl w:val="0"/>
                <w:numId w:val="125"/>
              </w:numPr>
              <w:spacing w:line="259" w:lineRule="auto"/>
              <w:ind w:left="782" w:hanging="425"/>
              <w:rPr>
                <w:rFonts w:eastAsia="Times New Roman" w:cs="Segoe UI"/>
                <w:lang w:eastAsia="en-AU"/>
              </w:rPr>
            </w:pPr>
            <w:r w:rsidRPr="00A93ABF">
              <w:rPr>
                <w:rFonts w:eastAsia="Times New Roman" w:cs="Segoe UI"/>
                <w:lang w:eastAsia="en-AU"/>
              </w:rPr>
              <w:t xml:space="preserve">understand the potential implications for the Commonwealth from the introduction of these advances in terms of resources, </w:t>
            </w:r>
            <w:proofErr w:type="gramStart"/>
            <w:r w:rsidRPr="00A93ABF">
              <w:rPr>
                <w:rFonts w:eastAsia="Times New Roman" w:cs="Segoe UI"/>
                <w:lang w:eastAsia="en-AU"/>
              </w:rPr>
              <w:t>systems</w:t>
            </w:r>
            <w:proofErr w:type="gramEnd"/>
            <w:r w:rsidRPr="00A93ABF">
              <w:rPr>
                <w:rFonts w:eastAsia="Times New Roman" w:cs="Segoe UI"/>
                <w:lang w:eastAsia="en-AU"/>
              </w:rPr>
              <w:t xml:space="preserve"> and processes. </w:t>
            </w:r>
          </w:p>
          <w:p w14:paraId="0761D888" w14:textId="533D0040" w:rsidR="00A93ABF" w:rsidRPr="00837CDF" w:rsidRDefault="00A93ABF" w:rsidP="008505D7">
            <w:pPr>
              <w:pStyle w:val="ListParagraph"/>
              <w:numPr>
                <w:ilvl w:val="0"/>
                <w:numId w:val="124"/>
              </w:numPr>
              <w:spacing w:line="259" w:lineRule="auto"/>
              <w:rPr>
                <w:rFonts w:eastAsia="Times New Roman" w:cs="Segoe UI"/>
                <w:lang w:eastAsia="en-AU"/>
              </w:rPr>
            </w:pPr>
            <w:r w:rsidRPr="00A93ABF">
              <w:rPr>
                <w:rFonts w:eastAsia="Times New Roman" w:cs="Segoe UI"/>
                <w:lang w:eastAsia="en-AU"/>
              </w:rPr>
              <w:t xml:space="preserve">If this mechanism is not meeting </w:t>
            </w:r>
            <w:r w:rsidR="00E55B2A" w:rsidRPr="00A93ABF">
              <w:rPr>
                <w:rFonts w:eastAsia="Times New Roman" w:cs="Segoe UI"/>
                <w:lang w:eastAsia="en-AU"/>
              </w:rPr>
              <w:t>its</w:t>
            </w:r>
            <w:r w:rsidRPr="00A93ABF">
              <w:rPr>
                <w:rFonts w:eastAsia="Times New Roman" w:cs="Segoe UI"/>
                <w:lang w:eastAsia="en-AU"/>
              </w:rPr>
              <w:t xml:space="preserve"> objectives, investigate alternative mechanisms to achieve these objectives in collaboration</w:t>
            </w:r>
            <w:r w:rsidR="00306661">
              <w:rPr>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lang w:eastAsia="en-AU"/>
              </w:rPr>
              <w:fldChar w:fldCharType="end"/>
            </w:r>
            <w:r w:rsidRPr="00A93ABF">
              <w:rPr>
                <w:rFonts w:eastAsia="Times New Roman" w:cs="Segoe UI"/>
                <w:lang w:eastAsia="en-AU"/>
              </w:rPr>
              <w:t xml:space="preserve"> with industry (including other mechanisms </w:t>
            </w:r>
            <w:r w:rsidR="0020078A">
              <w:rPr>
                <w:rFonts w:eastAsia="Times New Roman" w:cs="Segoe UI"/>
                <w:lang w:eastAsia="en-AU"/>
              </w:rPr>
              <w:t>(e.g. i</w:t>
            </w:r>
            <w:r w:rsidRPr="00A93ABF">
              <w:rPr>
                <w:rFonts w:eastAsia="Times New Roman" w:cs="Segoe UI"/>
                <w:lang w:eastAsia="en-AU"/>
              </w:rPr>
              <w:t xml:space="preserve">ndustry could provide advanced notice to the </w:t>
            </w:r>
            <w:r w:rsidR="006459AA">
              <w:rPr>
                <w:rFonts w:eastAsia="Times New Roman" w:cs="Segoe UI"/>
                <w:lang w:eastAsia="en-AU"/>
              </w:rPr>
              <w:t>D</w:t>
            </w:r>
            <w:r w:rsidRPr="00A93ABF">
              <w:rPr>
                <w:rFonts w:eastAsia="Times New Roman" w:cs="Segoe UI"/>
                <w:lang w:eastAsia="en-AU"/>
              </w:rPr>
              <w:t>epartment and relevant stakeholders and how that information will be tied to action, or if it would be more effective to participate in an international collaboration</w:t>
            </w:r>
            <w:r w:rsidRPr="00A93ABF">
              <w:rPr>
                <w:rFonts w:eastAsia="Times New Roman" w:cs="Segoe UI"/>
                <w:lang w:eastAsia="en-AU"/>
              </w:rPr>
              <w:fldChar w:fldCharType="begin"/>
            </w:r>
            <w:r w:rsidRPr="00A93ABF">
              <w:rPr>
                <w:rFonts w:eastAsia="Times New Roman" w:cs="Segoe UI"/>
                <w:lang w:eastAsia="en-AU"/>
              </w:rPr>
              <w:instrText xml:space="preserve"> XE "international collaboration" \b </w:instrText>
            </w:r>
            <w:r w:rsidRPr="00A93ABF">
              <w:rPr>
                <w:rFonts w:eastAsia="Times New Roman" w:cs="Segoe UI"/>
                <w:lang w:eastAsia="en-AU"/>
              </w:rPr>
              <w:fldChar w:fldCharType="end"/>
            </w:r>
            <w:r w:rsidRPr="00A93ABF">
              <w:rPr>
                <w:rFonts w:eastAsia="Times New Roman" w:cs="Segoe UI"/>
                <w:lang w:eastAsia="en-AU"/>
              </w:rPr>
              <w:t xml:space="preserve"> for horizon scanning</w:t>
            </w:r>
            <w:r w:rsidRPr="00A93ABF">
              <w:rPr>
                <w:rFonts w:eastAsia="Times New Roman" w:cs="Segoe UI"/>
                <w:lang w:eastAsia="en-AU"/>
              </w:rPr>
              <w:fldChar w:fldCharType="begin"/>
            </w:r>
            <w:r w:rsidRPr="00A93ABF">
              <w:rPr>
                <w:rFonts w:eastAsia="Times New Roman" w:cs="Segoe UI"/>
                <w:lang w:eastAsia="en-AU"/>
              </w:rPr>
              <w:instrText xml:space="preserve"> XE "horizon scanning" \b </w:instrText>
            </w:r>
            <w:r w:rsidRPr="00A93ABF">
              <w:rPr>
                <w:rFonts w:eastAsia="Times New Roman" w:cs="Segoe UI"/>
                <w:lang w:eastAsia="en-AU"/>
              </w:rPr>
              <w:fldChar w:fldCharType="end"/>
            </w:r>
            <w:r w:rsidRPr="00A93ABF">
              <w:rPr>
                <w:rFonts w:eastAsia="Times New Roman" w:cs="Segoe UI"/>
                <w:lang w:eastAsia="en-AU"/>
              </w:rPr>
              <w:t xml:space="preserve"> such as </w:t>
            </w:r>
            <w:proofErr w:type="spellStart"/>
            <w:r w:rsidRPr="00A93ABF">
              <w:rPr>
                <w:rFonts w:eastAsia="Times New Roman" w:cs="Segoe UI"/>
                <w:lang w:eastAsia="en-AU"/>
              </w:rPr>
              <w:t>PharmScan</w:t>
            </w:r>
            <w:proofErr w:type="spellEnd"/>
            <w:r w:rsidRPr="00A93ABF">
              <w:rPr>
                <w:rFonts w:eastAsia="Times New Roman" w:cs="Segoe UI"/>
                <w:lang w:eastAsia="en-AU"/>
              </w:rPr>
              <w:t xml:space="preserve"> used by NICE and how this may be cost recovered).</w:t>
            </w:r>
          </w:p>
        </w:tc>
      </w:tr>
    </w:tbl>
    <w:p w14:paraId="2B21ED3A" w14:textId="0233D16D" w:rsidR="00CD050D" w:rsidRPr="00CD050D" w:rsidRDefault="00CD050D" w:rsidP="008C10BB">
      <w:pPr>
        <w:pStyle w:val="Heading2"/>
        <w:spacing w:line="259" w:lineRule="auto"/>
      </w:pPr>
      <w:bookmarkStart w:id="238" w:name="_Toc157029126"/>
      <w:bookmarkStart w:id="239" w:name="_Toc157029502"/>
      <w:bookmarkStart w:id="240" w:name="_Toc157030194"/>
      <w:r w:rsidRPr="00CD050D">
        <w:t>Environmental considerations in HTA</w:t>
      </w:r>
      <w:bookmarkEnd w:id="238"/>
      <w:bookmarkEnd w:id="239"/>
      <w:bookmarkEnd w:id="240"/>
      <w:r w:rsidRPr="00CD050D">
        <w:t xml:space="preserve"> </w:t>
      </w:r>
    </w:p>
    <w:p w14:paraId="1D0D9CB9" w14:textId="77777777" w:rsidR="009139D9" w:rsidRDefault="009139D9" w:rsidP="00F05F8B">
      <w:pPr>
        <w:pStyle w:val="Heading3"/>
      </w:pPr>
      <w:bookmarkStart w:id="241" w:name="_Toc157029127"/>
      <w:r w:rsidRPr="00E9368B">
        <w:t>Introduction</w:t>
      </w:r>
      <w:r w:rsidR="00CD050D" w:rsidRPr="00CD050D">
        <w:t xml:space="preserve"> and </w:t>
      </w:r>
      <w:r w:rsidRPr="00E9368B">
        <w:t>current state</w:t>
      </w:r>
      <w:bookmarkEnd w:id="241"/>
    </w:p>
    <w:p w14:paraId="4A780441" w14:textId="021198E8" w:rsidR="00F311AA" w:rsidRPr="00F311AA" w:rsidRDefault="008910C3" w:rsidP="00F311AA">
      <w:r w:rsidRPr="008910C3">
        <w:t>Globally, healthcare currently contributes 5% of all greenhouse gas emissions and decarbonisation is urgently needed. In Australia and other high-income countries, manufacturers of health technology products are making commitments to decarbonise their production processes as part of national efforts to achieve net zero emissions. Cochlear Ltd and Sonic Healthcare have both committed to achieving net zero direct and indirect emissions by 2050, while</w:t>
      </w:r>
      <w:r w:rsidR="00CD050D" w:rsidRPr="00CD050D">
        <w:t xml:space="preserve"> in </w:t>
      </w:r>
      <w:r w:rsidRPr="008910C3">
        <w:t>relation to Scope 1</w:t>
      </w:r>
      <w:r w:rsidR="00524183" w:rsidRPr="00524183">
        <w:rPr>
          <w:rFonts w:ascii="Calibri" w:eastAsia="Calibri" w:hAnsi="Calibri" w:cs="Calibri"/>
          <w:sz w:val="22"/>
          <w:szCs w:val="22"/>
          <w:vertAlign w:val="superscript"/>
          <w:lang w:val="en-GB"/>
        </w:rPr>
        <w:footnoteReference w:id="14"/>
      </w:r>
      <w:r w:rsidRPr="00524183">
        <w:rPr>
          <w:rFonts w:ascii="Calibri" w:eastAsia="Calibri" w:hAnsi="Calibri" w:cs="Calibri"/>
          <w:sz w:val="22"/>
          <w:szCs w:val="22"/>
          <w:lang w:val="en-GB"/>
        </w:rPr>
        <w:t xml:space="preserve"> </w:t>
      </w:r>
      <w:r w:rsidRPr="008910C3">
        <w:t>and 2</w:t>
      </w:r>
      <w:r w:rsidR="00EC4DB3" w:rsidRPr="00EC4DB3">
        <w:rPr>
          <w:rFonts w:ascii="Calibri" w:eastAsia="Calibri" w:hAnsi="Calibri" w:cs="Calibri"/>
          <w:sz w:val="22"/>
          <w:szCs w:val="22"/>
          <w:vertAlign w:val="superscript"/>
          <w:lang w:val="en-GB"/>
        </w:rPr>
        <w:footnoteReference w:id="15"/>
      </w:r>
      <w:r>
        <w:rPr>
          <w:rFonts w:ascii="Calibri" w:eastAsia="Calibri" w:hAnsi="Calibri" w:cs="Calibri"/>
          <w:sz w:val="22"/>
          <w:szCs w:val="22"/>
          <w:lang w:val="en-GB"/>
        </w:rPr>
        <w:t xml:space="preserve"> </w:t>
      </w:r>
      <w:r w:rsidRPr="008910C3">
        <w:t xml:space="preserve"> emissions</w:t>
      </w:r>
      <w:r w:rsidR="00EC4DB3">
        <w:t>,</w:t>
      </w:r>
      <w:r w:rsidRPr="008910C3">
        <w:t xml:space="preserve"> Cochlear has committed to net zero by 2030 and Sonic Healthcare has committed to a 43% reduction against 2005 levels by 2030. These commitments reflect </w:t>
      </w:r>
      <w:r w:rsidR="00CD050D" w:rsidRPr="00CD050D">
        <w:t xml:space="preserve">the </w:t>
      </w:r>
      <w:r w:rsidRPr="008910C3">
        <w:t xml:space="preserve">expectations of shareholders and capital markets that health technology manufacturers contribute responsibly to global efforts to mitigate the threats to people and </w:t>
      </w:r>
      <w:r w:rsidR="00823B11">
        <w:t xml:space="preserve">the </w:t>
      </w:r>
      <w:r w:rsidRPr="008910C3">
        <w:t>planet posed by climate change. As part of these efforts to decarbonise health technology manufacturing, efforts are under</w:t>
      </w:r>
      <w:r w:rsidR="00BE1186">
        <w:t xml:space="preserve"> </w:t>
      </w:r>
      <w:r w:rsidRPr="008910C3">
        <w:t xml:space="preserve">way to not only </w:t>
      </w:r>
      <w:r w:rsidRPr="008910C3">
        <w:lastRenderedPageBreak/>
        <w:t>measure greenhouse gas emissions at a company level, but to also measure the emissions associated with individual health technology products. This is best done via ‘process-based life cycle assessment’, which maps environmental impacts</w:t>
      </w:r>
      <w:r w:rsidR="007F4B9A">
        <w:fldChar w:fldCharType="begin"/>
      </w:r>
      <w:r w:rsidR="007F4B9A">
        <w:instrText xml:space="preserve"> XE "</w:instrText>
      </w:r>
      <w:r w:rsidR="007F4B9A" w:rsidRPr="00F02CA7">
        <w:instrText>environmental impacts</w:instrText>
      </w:r>
      <w:r w:rsidR="007F4B9A">
        <w:instrText xml:space="preserve">" \b </w:instrText>
      </w:r>
      <w:r w:rsidR="007F4B9A">
        <w:fldChar w:fldCharType="end"/>
      </w:r>
      <w:r w:rsidRPr="008910C3">
        <w:t xml:space="preserve"> associated with each stage of the product’s life cycle, </w:t>
      </w:r>
      <w:r w:rsidR="007A0782">
        <w:t>including</w:t>
      </w:r>
      <w:r w:rsidRPr="008910C3">
        <w:t xml:space="preserve"> raw material extraction, </w:t>
      </w:r>
      <w:proofErr w:type="gramStart"/>
      <w:r w:rsidRPr="008910C3">
        <w:t>manufacturing</w:t>
      </w:r>
      <w:proofErr w:type="gramEnd"/>
      <w:r w:rsidRPr="008910C3">
        <w:t xml:space="preserve"> and assembly</w:t>
      </w:r>
      <w:r w:rsidR="007A0782">
        <w:t xml:space="preserve"> as well as</w:t>
      </w:r>
      <w:r w:rsidRPr="008910C3">
        <w:t xml:space="preserve"> use and end of life (‘cradle to grave’). Environmentally Extended Input Output analysis</w:t>
      </w:r>
      <w:r w:rsidR="001D1E1D">
        <w:t xml:space="preserve">, </w:t>
      </w:r>
      <w:r w:rsidR="004F6BD5">
        <w:t>an alternative method</w:t>
      </w:r>
      <w:r w:rsidRPr="008910C3">
        <w:t xml:space="preserve"> which uses only financial data to estimate footprints, is not appropriate for this purpose. </w:t>
      </w:r>
    </w:p>
    <w:p w14:paraId="2E422D5D" w14:textId="55851CCA" w:rsidR="009139D9" w:rsidRDefault="00F05F8B" w:rsidP="00F05F8B">
      <w:pPr>
        <w:pStyle w:val="Heading3"/>
      </w:pPr>
      <w:bookmarkStart w:id="242" w:name="_Toc157029128"/>
      <w:r>
        <w:t>I</w:t>
      </w:r>
      <w:r w:rsidR="009139D9" w:rsidRPr="00E9368B">
        <w:t>ssue</w:t>
      </w:r>
      <w:r>
        <w:t>s</w:t>
      </w:r>
      <w:bookmarkEnd w:id="242"/>
      <w:r w:rsidR="009139D9" w:rsidRPr="00E9368B">
        <w:t xml:space="preserve"> </w:t>
      </w:r>
    </w:p>
    <w:p w14:paraId="2477652B" w14:textId="0951973A" w:rsidR="00F13126" w:rsidRPr="003C5AA8" w:rsidRDefault="00F13126" w:rsidP="00F13126">
      <w:pPr>
        <w:rPr>
          <w:b/>
          <w:bCs/>
        </w:rPr>
      </w:pPr>
      <w:r>
        <w:rPr>
          <w:b/>
          <w:bCs/>
        </w:rPr>
        <w:t>Benefits</w:t>
      </w:r>
      <w:r w:rsidR="00CA0013">
        <w:rPr>
          <w:b/>
          <w:bCs/>
        </w:rPr>
        <w:t xml:space="preserve"> of </w:t>
      </w:r>
      <w:r w:rsidR="00055C15">
        <w:rPr>
          <w:b/>
          <w:bCs/>
        </w:rPr>
        <w:t xml:space="preserve">reporting greenhouse gas emissions </w:t>
      </w:r>
      <w:r w:rsidR="00AE0302">
        <w:rPr>
          <w:b/>
          <w:bCs/>
        </w:rPr>
        <w:t xml:space="preserve">associated with health technology </w:t>
      </w:r>
      <w:proofErr w:type="gramStart"/>
      <w:r w:rsidR="00AE0302">
        <w:rPr>
          <w:b/>
          <w:bCs/>
        </w:rPr>
        <w:t>products</w:t>
      </w:r>
      <w:proofErr w:type="gramEnd"/>
      <w:r w:rsidR="00AE0302">
        <w:rPr>
          <w:b/>
          <w:bCs/>
        </w:rPr>
        <w:t xml:space="preserve"> </w:t>
      </w:r>
    </w:p>
    <w:p w14:paraId="1370E709" w14:textId="77777777" w:rsidR="00F13126" w:rsidRDefault="00F13126" w:rsidP="00F13126">
      <w:r>
        <w:t xml:space="preserve">There are two key benefits associated with measuring and publicly reporting the greenhouse gas emissions associated with health technology products. </w:t>
      </w:r>
    </w:p>
    <w:p w14:paraId="7B4D96CA" w14:textId="5112A98F" w:rsidR="00F13126" w:rsidRDefault="00F13126" w:rsidP="00F13126">
      <w:r>
        <w:t xml:space="preserve">The first benefit is that reporting emissions embodied in health technology products can support low carbon choices in clinical decision-making. While clinicians should always prescribe the most clinically beneficial option, in many scenarios there are a range of competing products that are recognised to be broadly clinically equivalent for most patients. In such cases, knowledge of embodied emissions could enable clinicians to prescribe (and patients to ask for) the most environmentally friendly option. An example includes the choice of respiratory </w:t>
      </w:r>
      <w:r w:rsidRPr="0088105B">
        <w:t xml:space="preserve">inhaler </w:t>
      </w:r>
      <w:r>
        <w:t>to treat asthma and other respiratory conditions (see Table</w:t>
      </w:r>
      <w:r w:rsidR="00A21933">
        <w:t xml:space="preserve"> </w:t>
      </w:r>
      <w:r w:rsidR="0010308D">
        <w:t>from an example study below</w:t>
      </w:r>
      <w:r>
        <w:t>).</w:t>
      </w:r>
      <w:r>
        <w:rPr>
          <w:rStyle w:val="FootnoteReference"/>
        </w:rPr>
        <w:footnoteReference w:id="16"/>
      </w:r>
    </w:p>
    <w:p w14:paraId="67382972" w14:textId="2705C024" w:rsidR="00F13126" w:rsidRDefault="00F13126" w:rsidP="00F13126">
      <w:r>
        <w:t>The second benefit is that this information can be used to inform health technology assessment approval and reimbursement decisions. In cases where a new technology has largely equivalent health benefits and costs to existing technologies, but a significantly larger emissions footprint, this could create a case for declining a reimbursement application. In cases where a new technology has equivalent health benefits and higher costs than existing treatments but a much lower emissions footprint, this could create a case for approval when such a decision might not otherwise have been warranted. A paper by McAlister et al.</w:t>
      </w:r>
      <w:r>
        <w:rPr>
          <w:rStyle w:val="FootnoteReference"/>
        </w:rPr>
        <w:footnoteReference w:id="17"/>
      </w:r>
      <w:r>
        <w:t xml:space="preserve"> considers how environmental impacts</w:t>
      </w:r>
      <w:r w:rsidR="007F4B9A">
        <w:fldChar w:fldCharType="begin"/>
      </w:r>
      <w:r w:rsidR="007F4B9A">
        <w:instrText xml:space="preserve"> XE "</w:instrText>
      </w:r>
      <w:r w:rsidR="007F4B9A" w:rsidRPr="00F02CA7">
        <w:instrText>environmental impacts</w:instrText>
      </w:r>
      <w:r w:rsidR="007F4B9A">
        <w:instrText xml:space="preserve">" \b </w:instrText>
      </w:r>
      <w:r w:rsidR="007F4B9A">
        <w:fldChar w:fldCharType="end"/>
      </w:r>
      <w:r>
        <w:t xml:space="preserve"> might be considered in these ways. While their ideas are only indicative, they highlight the potential value in considering incremental emissions alongside incremental health benefits and costs to support reimbursement of cost-effective, low-carbon, technologies.</w:t>
      </w:r>
    </w:p>
    <w:p w14:paraId="00AD9DB1" w14:textId="77777777" w:rsidR="00F13126" w:rsidRDefault="00F13126" w:rsidP="00F13126">
      <w:r w:rsidRPr="0088105B">
        <w:rPr>
          <w:noProof/>
        </w:rPr>
        <w:lastRenderedPageBreak/>
        <w:drawing>
          <wp:inline distT="0" distB="0" distL="0" distR="0" wp14:anchorId="76A9DEDF" wp14:editId="6DD818DB">
            <wp:extent cx="5731510" cy="2693670"/>
            <wp:effectExtent l="0" t="0" r="254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5"/>
                    <pic:cNvPicPr/>
                  </pic:nvPicPr>
                  <pic:blipFill>
                    <a:blip r:embed="rId196"/>
                    <a:stretch/>
                  </pic:blipFill>
                  <pic:spPr>
                    <a:xfrm>
                      <a:off x="0" y="0"/>
                      <a:ext cx="5731510" cy="2693670"/>
                    </a:xfrm>
                    <a:prstGeom prst="rect">
                      <a:avLst/>
                    </a:prstGeom>
                    <a:ln>
                      <a:noFill/>
                    </a:ln>
                  </pic:spPr>
                </pic:pic>
              </a:graphicData>
            </a:graphic>
          </wp:inline>
        </w:drawing>
      </w:r>
    </w:p>
    <w:p w14:paraId="23645A9B" w14:textId="77777777" w:rsidR="00F13126" w:rsidRDefault="00F13126" w:rsidP="00F13126">
      <w:pPr>
        <w:rPr>
          <w:b/>
          <w:bCs/>
        </w:rPr>
      </w:pPr>
      <w:r>
        <w:rPr>
          <w:b/>
          <w:bCs/>
        </w:rPr>
        <w:t>Importance of international alignment</w:t>
      </w:r>
    </w:p>
    <w:p w14:paraId="5BF4B2C7" w14:textId="2190FF38" w:rsidR="00F13126" w:rsidRDefault="00F13126" w:rsidP="00F13126">
      <w:r>
        <w:t xml:space="preserve">Efforts to measure greenhouse gas emissions associated with individual health technology products are aligned with emissions reduction commitments by health technology manufacturers in Australia and internationally. However, it is crucial that these efforts are undertaken in a robust manner that also minimises regulatory burden. To achieve this, international standards for carbon </w:t>
      </w:r>
      <w:r w:rsidR="00874688">
        <w:t>foot printing</w:t>
      </w:r>
      <w:r>
        <w:t xml:space="preserve"> of health technology products are needed so that manufacturers can undertake a life cycle assessment once for each product using an agreed methodology, which is recognised as valid by health technology assessment bodies around the world.</w:t>
      </w:r>
      <w:r w:rsidRPr="008E7CC7">
        <w:t xml:space="preserve"> </w:t>
      </w:r>
      <w:r>
        <w:t>Existing standards for LCA studies are not specific to healthcare (</w:t>
      </w:r>
      <w:r w:rsidRPr="008E7CC7">
        <w:t>ISO 14040</w:t>
      </w:r>
      <w:r>
        <w:t>,</w:t>
      </w:r>
      <w:r w:rsidRPr="008E7CC7">
        <w:t xml:space="preserve"> ISO 14044, and ISO 14067</w:t>
      </w:r>
      <w:r>
        <w:t>)</w:t>
      </w:r>
      <w:r w:rsidR="006B7A26">
        <w:t>.</w:t>
      </w:r>
    </w:p>
    <w:p w14:paraId="798E41EF" w14:textId="3175F44A" w:rsidR="00F13126" w:rsidRPr="00EA5120" w:rsidRDefault="00F13126" w:rsidP="00F13126">
      <w:r>
        <w:t xml:space="preserve">In </w:t>
      </w:r>
      <w:r w:rsidR="00B5410E">
        <w:t>the UK,</w:t>
      </w:r>
      <w:r>
        <w:t xml:space="preserve"> </w:t>
      </w:r>
      <w:r w:rsidR="00F32928">
        <w:t>NICE</w:t>
      </w:r>
      <w:r w:rsidR="00230050">
        <w:t xml:space="preserve"> </w:t>
      </w:r>
      <w:r>
        <w:t xml:space="preserve">is working with the British Standards Institution and industry to develop new international standards for carbon </w:t>
      </w:r>
      <w:r w:rsidR="00874688">
        <w:t>foot printing</w:t>
      </w:r>
      <w:r>
        <w:t xml:space="preserve"> of pharmaceuticals, and has committed to developing an approach for considering environmental impacts</w:t>
      </w:r>
      <w:r w:rsidR="007F4B9A">
        <w:fldChar w:fldCharType="begin"/>
      </w:r>
      <w:r w:rsidR="007F4B9A">
        <w:instrText xml:space="preserve"> XE "</w:instrText>
      </w:r>
      <w:r w:rsidR="007F4B9A" w:rsidRPr="00F02CA7">
        <w:instrText>environmental impacts</w:instrText>
      </w:r>
      <w:r w:rsidR="007F4B9A">
        <w:instrText xml:space="preserve">" \b </w:instrText>
      </w:r>
      <w:r w:rsidR="007F4B9A">
        <w:fldChar w:fldCharType="end"/>
      </w:r>
      <w:r>
        <w:t xml:space="preserve"> as part of approval decisions by 2023</w:t>
      </w:r>
      <w:r w:rsidR="00FB3AD5">
        <w:t>–</w:t>
      </w:r>
      <w:r>
        <w:t>24.</w:t>
      </w:r>
      <w:r>
        <w:rPr>
          <w:rStyle w:val="FootnoteReference"/>
        </w:rPr>
        <w:footnoteReference w:id="18"/>
      </w:r>
      <w:r>
        <w:t xml:space="preserve"> Canada’s Drug and Health Technology Agency has </w:t>
      </w:r>
      <w:r w:rsidRPr="003229BF">
        <w:t xml:space="preserve">committed to adapt methodologies and analyses to assess </w:t>
      </w:r>
      <w:r>
        <w:t>the environmental footprint of technologies as part of its 2022</w:t>
      </w:r>
      <w:r w:rsidR="004227AD">
        <w:t>–</w:t>
      </w:r>
      <w:r>
        <w:t>2025 strategic plan.</w:t>
      </w:r>
      <w:r>
        <w:rPr>
          <w:rStyle w:val="FootnoteReference"/>
        </w:rPr>
        <w:footnoteReference w:id="19"/>
      </w:r>
    </w:p>
    <w:p w14:paraId="2E16AFF8" w14:textId="3E41F228" w:rsidR="00F13126" w:rsidRDefault="00F13126" w:rsidP="00F13126">
      <w:r>
        <w:t xml:space="preserve">Australia has an opportunity – including through the International </w:t>
      </w:r>
      <w:r w:rsidR="00CD050D" w:rsidRPr="00CD050D">
        <w:t xml:space="preserve">HTA </w:t>
      </w:r>
      <w:r>
        <w:t>Collaboration – to shape the international regulatory environment by contributing to these efforts, and in so doing to ensure that environmental impacts</w:t>
      </w:r>
      <w:r w:rsidR="007F4B9A">
        <w:fldChar w:fldCharType="begin"/>
      </w:r>
      <w:r w:rsidR="007F4B9A">
        <w:instrText xml:space="preserve"> XE "</w:instrText>
      </w:r>
      <w:r w:rsidR="007F4B9A" w:rsidRPr="00F02CA7">
        <w:instrText>environmental impacts</w:instrText>
      </w:r>
      <w:r w:rsidR="007F4B9A">
        <w:instrText xml:space="preserve">" \b </w:instrText>
      </w:r>
      <w:r w:rsidR="007F4B9A">
        <w:fldChar w:fldCharType="end"/>
      </w:r>
      <w:r>
        <w:t xml:space="preserve"> are incorporated into health technology assessment processes in an efficient and burden-minimising way. Failure to seize this opportunity creates a risk that Australia </w:t>
      </w:r>
      <w:r>
        <w:lastRenderedPageBreak/>
        <w:t>will have international standards imposed on us that we have not had a part in creating.</w:t>
      </w:r>
    </w:p>
    <w:p w14:paraId="63F9383C" w14:textId="1FAAA9F5" w:rsidR="00F13126" w:rsidRDefault="00F13126" w:rsidP="00F13126">
      <w:r>
        <w:t xml:space="preserve">The </w:t>
      </w:r>
      <w:r w:rsidR="0010308D">
        <w:t>Reference Committee</w:t>
      </w:r>
      <w:r>
        <w:t xml:space="preserve"> therefore </w:t>
      </w:r>
      <w:r w:rsidR="0010308D">
        <w:t>considers</w:t>
      </w:r>
      <w:r>
        <w:t xml:space="preserve"> that: Australia</w:t>
      </w:r>
      <w:r w:rsidR="001A5D9B">
        <w:t xml:space="preserve"> should</w:t>
      </w:r>
      <w:r>
        <w:t xml:space="preserve"> actively involve itself in efforts to establish new international standards for assessing the environmental impacts</w:t>
      </w:r>
      <w:r w:rsidR="007F4B9A">
        <w:fldChar w:fldCharType="begin"/>
      </w:r>
      <w:r w:rsidR="007F4B9A">
        <w:instrText xml:space="preserve"> XE "</w:instrText>
      </w:r>
      <w:r w:rsidR="007F4B9A" w:rsidRPr="00F02CA7">
        <w:instrText>environmental impacts</w:instrText>
      </w:r>
      <w:r w:rsidR="007F4B9A">
        <w:instrText xml:space="preserve">" \b </w:instrText>
      </w:r>
      <w:r w:rsidR="007F4B9A">
        <w:fldChar w:fldCharType="end"/>
      </w:r>
      <w:r>
        <w:t xml:space="preserve"> of health technology products, that it consider requiring manufacturers to measure and publicly report emissions of products, and that this information is incorporated into approval and reimbursement decisions in alignment with international best practice and developments in comparable </w:t>
      </w:r>
      <w:r w:rsidR="00134C0D">
        <w:t>countries</w:t>
      </w:r>
      <w:r>
        <w:t>.</w:t>
      </w:r>
    </w:p>
    <w:p w14:paraId="65C0E99B" w14:textId="56BFC7E7" w:rsidR="001C3710" w:rsidRPr="00E9368B" w:rsidRDefault="009139D9" w:rsidP="00F05F8B">
      <w:pPr>
        <w:pStyle w:val="Heading3"/>
      </w:pPr>
      <w:bookmarkStart w:id="243" w:name="_Toc157029129"/>
      <w:r w:rsidRPr="00E9368B">
        <w:t>Options</w:t>
      </w:r>
      <w:bookmarkEnd w:id="243"/>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2926C5" w14:paraId="5508FB3D" w14:textId="77777777" w:rsidTr="00F31EBB">
        <w:trPr>
          <w:trHeight w:val="551"/>
        </w:trPr>
        <w:tc>
          <w:tcPr>
            <w:tcW w:w="9367" w:type="dxa"/>
            <w:tcBorders>
              <w:top w:val="single" w:sz="18" w:space="0" w:color="ACC02A" w:themeColor="accent5"/>
              <w:left w:val="nil"/>
              <w:bottom w:val="nil"/>
              <w:right w:val="nil"/>
            </w:tcBorders>
            <w:shd w:val="clear" w:color="auto" w:fill="F2F2F2" w:themeFill="background1" w:themeFillShade="F2"/>
          </w:tcPr>
          <w:p w14:paraId="5A2FC6FD" w14:textId="26BD123A" w:rsidR="002926C5" w:rsidRDefault="002926C5" w:rsidP="008C10BB">
            <w:pPr>
              <w:spacing w:after="120" w:line="259" w:lineRule="auto"/>
              <w:rPr>
                <w:rFonts w:eastAsia="Times New Roman" w:cs="Segoe UI"/>
                <w:b/>
                <w:bCs/>
                <w:lang w:eastAsia="en-AU"/>
              </w:rPr>
            </w:pPr>
            <w:r w:rsidRPr="002926C5">
              <w:rPr>
                <w:rFonts w:eastAsia="Times New Roman" w:cs="Segoe UI"/>
                <w:b/>
                <w:bCs/>
                <w:lang w:eastAsia="en-AU"/>
              </w:rPr>
              <w:t>Environmental impact reporting</w:t>
            </w:r>
          </w:p>
          <w:p w14:paraId="74A8C3D2" w14:textId="2FA7245C" w:rsidR="002926C5" w:rsidRPr="00F876B2" w:rsidRDefault="002926C5" w:rsidP="008C10BB">
            <w:pPr>
              <w:spacing w:after="120" w:line="259" w:lineRule="auto"/>
              <w:rPr>
                <w:rFonts w:eastAsia="Times New Roman" w:cs="Segoe UI"/>
                <w:kern w:val="24"/>
                <w:lang w:eastAsia="en-AU"/>
              </w:rPr>
            </w:pPr>
            <w:r w:rsidRPr="00F876B2">
              <w:rPr>
                <w:rFonts w:eastAsia="Times New Roman" w:cs="Segoe UI"/>
                <w:kern w:val="24"/>
                <w:lang w:eastAsia="en-AU"/>
              </w:rPr>
              <w:t>Investigate of the following options in consultation with industry</w:t>
            </w:r>
            <w:r w:rsidR="007327FE">
              <w:rPr>
                <w:rFonts w:eastAsia="Times New Roman" w:cs="Segoe UI"/>
                <w:kern w:val="24"/>
                <w:lang w:eastAsia="en-AU"/>
              </w:rPr>
              <w:t xml:space="preserve"> and other stakeholders</w:t>
            </w:r>
            <w:r w:rsidRPr="00F876B2">
              <w:rPr>
                <w:rFonts w:eastAsia="Times New Roman" w:cs="Segoe UI"/>
                <w:kern w:val="24"/>
                <w:lang w:eastAsia="en-AU"/>
              </w:rPr>
              <w:t>:</w:t>
            </w:r>
          </w:p>
          <w:p w14:paraId="096D3C17" w14:textId="77777777" w:rsidR="002926C5" w:rsidRPr="00F876B2" w:rsidRDefault="002926C5" w:rsidP="008505D7">
            <w:pPr>
              <w:pStyle w:val="ListParagraph"/>
              <w:numPr>
                <w:ilvl w:val="0"/>
                <w:numId w:val="127"/>
              </w:numPr>
              <w:spacing w:after="160" w:line="259" w:lineRule="auto"/>
              <w:rPr>
                <w:rFonts w:eastAsia="Times New Roman" w:cs="Segoe UI"/>
                <w:lang w:eastAsia="en-AU"/>
              </w:rPr>
            </w:pPr>
            <w:r w:rsidRPr="00F876B2">
              <w:rPr>
                <w:rFonts w:eastAsia="Times New Roman" w:cs="Segoe UI"/>
                <w:lang w:eastAsia="en-AU"/>
              </w:rPr>
              <w:t>Reporting of environmental impacts</w:t>
            </w:r>
            <w:r w:rsidRPr="00F876B2">
              <w:rPr>
                <w:rFonts w:eastAsia="Times New Roman" w:cs="Segoe UI"/>
                <w:lang w:eastAsia="en-AU"/>
              </w:rPr>
              <w:fldChar w:fldCharType="begin"/>
            </w:r>
            <w:r w:rsidRPr="00F876B2">
              <w:rPr>
                <w:rFonts w:eastAsia="Times New Roman" w:cs="Segoe UI"/>
                <w:lang w:eastAsia="en-AU"/>
              </w:rPr>
              <w:instrText xml:space="preserve"> XE "environmental impacts" \b </w:instrText>
            </w:r>
            <w:r w:rsidRPr="00F876B2">
              <w:rPr>
                <w:rFonts w:eastAsia="Times New Roman" w:cs="Segoe UI"/>
                <w:lang w:eastAsia="en-AU"/>
              </w:rPr>
              <w:fldChar w:fldCharType="end"/>
            </w:r>
            <w:r w:rsidRPr="00F876B2">
              <w:rPr>
                <w:rFonts w:eastAsia="Times New Roman" w:cs="Segoe UI"/>
                <w:lang w:eastAsia="en-AU"/>
              </w:rPr>
              <w:t>, starting with embodied greenhouse gas emissions, in the assessment of cost-effectiveness by Australian HTA bodies.</w:t>
            </w:r>
          </w:p>
          <w:p w14:paraId="3EA6E7F1" w14:textId="77777777" w:rsidR="002926C5" w:rsidRPr="00F876B2" w:rsidRDefault="002926C5" w:rsidP="008505D7">
            <w:pPr>
              <w:pStyle w:val="ListParagraph"/>
              <w:numPr>
                <w:ilvl w:val="0"/>
                <w:numId w:val="127"/>
              </w:numPr>
              <w:spacing w:after="160" w:line="259" w:lineRule="auto"/>
              <w:rPr>
                <w:rFonts w:eastAsia="Times New Roman" w:cs="Segoe UI"/>
                <w:lang w:eastAsia="en-AU"/>
              </w:rPr>
            </w:pPr>
            <w:r w:rsidRPr="00F876B2">
              <w:rPr>
                <w:rFonts w:eastAsia="Times New Roman" w:cs="Segoe UI"/>
                <w:lang w:eastAsia="en-AU"/>
              </w:rPr>
              <w:t>Potential for use of these data in approval and reimbursement decisions.</w:t>
            </w:r>
          </w:p>
          <w:p w14:paraId="241CDB20" w14:textId="77777777" w:rsidR="002926C5" w:rsidRPr="00F876B2" w:rsidRDefault="002926C5" w:rsidP="008505D7">
            <w:pPr>
              <w:pStyle w:val="ListParagraph"/>
              <w:numPr>
                <w:ilvl w:val="0"/>
                <w:numId w:val="127"/>
              </w:numPr>
              <w:spacing w:after="160" w:line="259" w:lineRule="auto"/>
              <w:rPr>
                <w:rFonts w:eastAsia="Times New Roman" w:cs="Segoe UI"/>
                <w:lang w:eastAsia="en-AU"/>
              </w:rPr>
            </w:pPr>
            <w:r w:rsidRPr="00F876B2">
              <w:rPr>
                <w:rFonts w:eastAsia="Times New Roman" w:cs="Segoe UI"/>
                <w:lang w:eastAsia="en-AU"/>
              </w:rPr>
              <w:t>Potential for public reporting of these data, to inform clinical decision-making.</w:t>
            </w:r>
          </w:p>
          <w:p w14:paraId="020F148C" w14:textId="3C1901BB" w:rsidR="002926C5" w:rsidRPr="00F876B2" w:rsidRDefault="002926C5" w:rsidP="008505D7">
            <w:pPr>
              <w:pStyle w:val="ListParagraph"/>
              <w:numPr>
                <w:ilvl w:val="0"/>
                <w:numId w:val="127"/>
              </w:numPr>
              <w:spacing w:after="160" w:line="259" w:lineRule="auto"/>
              <w:rPr>
                <w:rFonts w:eastAsia="Times New Roman" w:cs="Segoe UI"/>
                <w:lang w:eastAsia="en-AU"/>
              </w:rPr>
            </w:pPr>
            <w:r w:rsidRPr="00F876B2">
              <w:rPr>
                <w:rFonts w:eastAsia="Times New Roman" w:cs="Segoe UI"/>
                <w:lang w:eastAsia="en-AU"/>
              </w:rPr>
              <w:t>Development of guidance documents and examples to facilitate environmental impacts</w:t>
            </w:r>
            <w:r w:rsidRPr="00F876B2">
              <w:rPr>
                <w:rFonts w:eastAsia="Times New Roman" w:cs="Segoe UI"/>
                <w:lang w:eastAsia="en-AU"/>
              </w:rPr>
              <w:fldChar w:fldCharType="begin"/>
            </w:r>
            <w:r w:rsidRPr="00F876B2">
              <w:rPr>
                <w:rFonts w:eastAsia="Times New Roman" w:cs="Segoe UI"/>
                <w:lang w:eastAsia="en-AU"/>
              </w:rPr>
              <w:instrText xml:space="preserve"> XE "environmental impacts" \b </w:instrText>
            </w:r>
            <w:r w:rsidRPr="00F876B2">
              <w:rPr>
                <w:rFonts w:eastAsia="Times New Roman" w:cs="Segoe UI"/>
                <w:lang w:eastAsia="en-AU"/>
              </w:rPr>
              <w:fldChar w:fldCharType="end"/>
            </w:r>
            <w:r w:rsidRPr="00F876B2">
              <w:rPr>
                <w:rFonts w:eastAsia="Times New Roman" w:cs="Segoe UI"/>
                <w:lang w:eastAsia="en-AU"/>
              </w:rPr>
              <w:t xml:space="preserve"> reporting</w:t>
            </w:r>
            <w:r w:rsidR="007C624F" w:rsidRPr="00F876B2">
              <w:rPr>
                <w:rFonts w:eastAsia="Times New Roman" w:cs="Segoe UI"/>
                <w:lang w:eastAsia="en-AU"/>
              </w:rPr>
              <w:t>.</w:t>
            </w:r>
          </w:p>
          <w:p w14:paraId="179401FF" w14:textId="77777777" w:rsidR="002926C5" w:rsidRPr="00F876B2" w:rsidRDefault="002926C5" w:rsidP="008505D7">
            <w:pPr>
              <w:pStyle w:val="ListParagraph"/>
              <w:numPr>
                <w:ilvl w:val="0"/>
                <w:numId w:val="127"/>
              </w:numPr>
              <w:spacing w:after="160" w:line="259" w:lineRule="auto"/>
              <w:rPr>
                <w:rFonts w:eastAsia="Times New Roman" w:cs="Segoe UI"/>
                <w:lang w:eastAsia="en-AU"/>
              </w:rPr>
            </w:pPr>
            <w:r w:rsidRPr="00F876B2">
              <w:rPr>
                <w:rFonts w:eastAsia="Times New Roman" w:cs="Segoe UI"/>
                <w:lang w:eastAsia="en-AU"/>
              </w:rPr>
              <w:t>Alignment with international best practice in comparable jurisdictions.</w:t>
            </w:r>
          </w:p>
          <w:p w14:paraId="0F1F4C8E" w14:textId="256F32BE" w:rsidR="002926C5" w:rsidRDefault="002926C5" w:rsidP="008505D7">
            <w:pPr>
              <w:pStyle w:val="ListParagraph"/>
              <w:numPr>
                <w:ilvl w:val="0"/>
                <w:numId w:val="127"/>
              </w:numPr>
              <w:spacing w:line="259" w:lineRule="auto"/>
              <w:rPr>
                <w:rFonts w:eastAsia="Times New Roman" w:cs="Segoe UI"/>
                <w:lang w:eastAsia="en-AU"/>
              </w:rPr>
            </w:pPr>
            <w:r w:rsidRPr="00F876B2">
              <w:rPr>
                <w:rFonts w:eastAsia="Times New Roman" w:cs="Segoe UI"/>
                <w:lang w:eastAsia="en-AU"/>
              </w:rPr>
              <w:t xml:space="preserve">The role of international standards for carbon </w:t>
            </w:r>
            <w:r w:rsidR="00874688" w:rsidRPr="00F876B2">
              <w:rPr>
                <w:rFonts w:eastAsia="Times New Roman" w:cs="Segoe UI"/>
                <w:lang w:eastAsia="en-AU"/>
              </w:rPr>
              <w:t>foot printing</w:t>
            </w:r>
            <w:r w:rsidRPr="00F876B2">
              <w:rPr>
                <w:rFonts w:eastAsia="Times New Roman" w:cs="Segoe UI"/>
                <w:lang w:eastAsia="en-AU"/>
              </w:rPr>
              <w:t xml:space="preserve"> of health technology products.</w:t>
            </w:r>
          </w:p>
          <w:p w14:paraId="75F1B711" w14:textId="367300AC" w:rsidR="002926C5" w:rsidRPr="00837CDF" w:rsidRDefault="00465C05" w:rsidP="008C10BB">
            <w:pPr>
              <w:spacing w:before="120" w:line="259" w:lineRule="auto"/>
              <w:rPr>
                <w:rFonts w:eastAsia="Times New Roman" w:cs="Segoe UI"/>
                <w:lang w:eastAsia="en-AU"/>
              </w:rPr>
            </w:pPr>
            <w:r>
              <w:rPr>
                <w:rFonts w:eastAsia="Times New Roman" w:cs="Segoe UI"/>
                <w:lang w:eastAsia="en-AU"/>
              </w:rPr>
              <w:t xml:space="preserve">Note: this is in line with the </w:t>
            </w:r>
            <w:hyperlink r:id="rId197" w:history="1">
              <w:r w:rsidR="008A7A0B" w:rsidRPr="008A7A0B">
                <w:rPr>
                  <w:rStyle w:val="Hyperlink"/>
                </w:rPr>
                <w:t xml:space="preserve"> </w:t>
              </w:r>
              <w:r w:rsidR="008A7A0B" w:rsidRPr="008A7A0B">
                <w:rPr>
                  <w:rStyle w:val="Hyperlink"/>
                  <w:rFonts w:eastAsia="Times New Roman" w:cs="Segoe UI"/>
                  <w:lang w:eastAsia="en-AU"/>
                </w:rPr>
                <w:t>National Health and Climate Strategy 2023</w:t>
              </w:r>
            </w:hyperlink>
          </w:p>
        </w:tc>
      </w:tr>
    </w:tbl>
    <w:p w14:paraId="6FF90C45" w14:textId="5B5CB870" w:rsidR="00CD050D" w:rsidRDefault="00B673DD" w:rsidP="003F3C0D">
      <w:pPr>
        <w:pStyle w:val="Heading2"/>
        <w:keepLines/>
        <w:spacing w:line="259" w:lineRule="auto"/>
      </w:pPr>
      <w:bookmarkStart w:id="244" w:name="_Toc157029130"/>
      <w:bookmarkStart w:id="245" w:name="_Toc157029503"/>
      <w:bookmarkStart w:id="246" w:name="_Toc157030195"/>
      <w:r w:rsidRPr="00F05F8B">
        <w:t>Mechanisms for continuous review and improvement</w:t>
      </w:r>
      <w:bookmarkEnd w:id="244"/>
      <w:bookmarkEnd w:id="245"/>
      <w:bookmarkEnd w:id="246"/>
    </w:p>
    <w:p w14:paraId="12A30EFF" w14:textId="77777777" w:rsidR="00F05F8B" w:rsidRPr="00E9368B" w:rsidRDefault="00F05F8B" w:rsidP="003F3C0D">
      <w:pPr>
        <w:pStyle w:val="Heading3"/>
        <w:keepNext/>
        <w:keepLines/>
      </w:pPr>
      <w:bookmarkStart w:id="247" w:name="_Toc157029131"/>
      <w:r w:rsidRPr="00E9368B">
        <w:t>Introduction and current state</w:t>
      </w:r>
      <w:bookmarkEnd w:id="247"/>
    </w:p>
    <w:p w14:paraId="40A48A32" w14:textId="6BD40B89" w:rsidR="00B04FE4" w:rsidRDefault="00A54800" w:rsidP="00694909">
      <w:r>
        <w:t xml:space="preserve">Australia’s HTA </w:t>
      </w:r>
      <w:r w:rsidR="00302872">
        <w:t>pro</w:t>
      </w:r>
      <w:r w:rsidR="003239AF">
        <w:t xml:space="preserve">cesses and methodology have been </w:t>
      </w:r>
      <w:r w:rsidR="002F515A">
        <w:t xml:space="preserve">frequently </w:t>
      </w:r>
      <w:r w:rsidR="00B4222D">
        <w:t>updated</w:t>
      </w:r>
      <w:r w:rsidR="00DE46C2">
        <w:t xml:space="preserve"> since </w:t>
      </w:r>
      <w:r w:rsidR="00827F84">
        <w:t>the PBS was introduced in 1993</w:t>
      </w:r>
      <w:r w:rsidR="00E42C35">
        <w:t>,</w:t>
      </w:r>
      <w:r w:rsidR="009366D4">
        <w:t xml:space="preserve"> </w:t>
      </w:r>
      <w:r w:rsidR="00F4476F">
        <w:t>including major reforms</w:t>
      </w:r>
      <w:r w:rsidR="009366D4">
        <w:t xml:space="preserve"> </w:t>
      </w:r>
      <w:r w:rsidR="00D23F31">
        <w:t>(</w:t>
      </w:r>
      <w:r w:rsidR="005F6C80" w:rsidRPr="004C55E7">
        <w:t>see</w:t>
      </w:r>
      <w:r w:rsidR="004B7822">
        <w:rPr>
          <w:i/>
        </w:rPr>
        <w:t xml:space="preserve"> </w:t>
      </w:r>
      <w:hyperlink w:anchor="_History_of_HTA" w:history="1">
        <w:r w:rsidR="00884C52" w:rsidRPr="00884C52">
          <w:rPr>
            <w:rStyle w:val="Hyperlink"/>
          </w:rPr>
          <w:t>History of HTA reform processes in Australia</w:t>
        </w:r>
      </w:hyperlink>
      <w:r w:rsidR="00824867">
        <w:t>)</w:t>
      </w:r>
      <w:r w:rsidR="00F4476F">
        <w:t xml:space="preserve">, as well as </w:t>
      </w:r>
      <w:r w:rsidR="009B0AD7">
        <w:t xml:space="preserve">continuous </w:t>
      </w:r>
      <w:r w:rsidR="00863781">
        <w:t xml:space="preserve">monitoring and </w:t>
      </w:r>
      <w:r w:rsidR="00A864B4">
        <w:t>updates to</w:t>
      </w:r>
      <w:r w:rsidR="00E80270">
        <w:t xml:space="preserve"> policies, </w:t>
      </w:r>
      <w:proofErr w:type="gramStart"/>
      <w:r w:rsidR="00C13C29">
        <w:t>systems</w:t>
      </w:r>
      <w:proofErr w:type="gramEnd"/>
      <w:r w:rsidR="00C13C29">
        <w:t xml:space="preserve"> and </w:t>
      </w:r>
      <w:r w:rsidR="00E80270">
        <w:t>processes</w:t>
      </w:r>
      <w:r w:rsidR="00824867">
        <w:t xml:space="preserve">. </w:t>
      </w:r>
    </w:p>
    <w:p w14:paraId="3CFBD7E3" w14:textId="4BDA7C45" w:rsidR="00D057A2" w:rsidRDefault="00D057A2" w:rsidP="00694909">
      <w:r>
        <w:t xml:space="preserve">These processes have </w:t>
      </w:r>
      <w:r w:rsidR="00DA4ED8">
        <w:t xml:space="preserve">led to multiple periodic updates </w:t>
      </w:r>
      <w:r w:rsidR="00C87AE7">
        <w:t xml:space="preserve">to </w:t>
      </w:r>
      <w:r w:rsidR="00A4452D">
        <w:t>g</w:t>
      </w:r>
      <w:r w:rsidR="00C87AE7">
        <w:t xml:space="preserve">uidelines. While there </w:t>
      </w:r>
      <w:r w:rsidR="00F90FD9">
        <w:t>have been many of these processes since 1993</w:t>
      </w:r>
      <w:r w:rsidR="00A4452D">
        <w:t>, t</w:t>
      </w:r>
      <w:r w:rsidR="00F90FD9">
        <w:t xml:space="preserve">here is no formal or systematic </w:t>
      </w:r>
      <w:r w:rsidR="00F90FD9">
        <w:lastRenderedPageBreak/>
        <w:t xml:space="preserve">approach to </w:t>
      </w:r>
      <w:r w:rsidR="008928E9">
        <w:t xml:space="preserve">reviewing HTA committee guidelines. Major reviews of HTA committee guidelines have occurred at intervals of every 6 to 10 years. </w:t>
      </w:r>
    </w:p>
    <w:p w14:paraId="5F4DB7E6" w14:textId="77777777" w:rsidR="00E30892" w:rsidRDefault="00E30892" w:rsidP="00E30892">
      <w:r>
        <w:t xml:space="preserve">The PBAC Executive currently informally oversees and reviews PBAC policies and processes and has suggested </w:t>
      </w:r>
      <w:proofErr w:type="gramStart"/>
      <w:r>
        <w:t>a number of</w:t>
      </w:r>
      <w:proofErr w:type="gramEnd"/>
      <w:r>
        <w:t xml:space="preserve"> policy and process improvements for optimising HTA processes and decision-making. </w:t>
      </w:r>
    </w:p>
    <w:p w14:paraId="4394EBF0" w14:textId="367EBA6E" w:rsidR="00E30892" w:rsidRDefault="00E30892" w:rsidP="00E30892">
      <w:r>
        <w:t>The</w:t>
      </w:r>
      <w:r w:rsidRPr="00E70C6D">
        <w:rPr>
          <w:iCs/>
        </w:rPr>
        <w:t xml:space="preserve"> </w:t>
      </w:r>
      <w:hyperlink r:id="rId198" w:history="1">
        <w:r w:rsidR="00256478" w:rsidRPr="00E70C6D">
          <w:rPr>
            <w:rStyle w:val="Hyperlink"/>
            <w:iCs/>
          </w:rPr>
          <w:t>New Frontier Report</w:t>
        </w:r>
      </w:hyperlink>
      <w:r>
        <w:t xml:space="preserve"> recommended (recommendation 29) </w:t>
      </w:r>
      <w:r w:rsidRPr="00F82015">
        <w:t>that</w:t>
      </w:r>
      <w:r>
        <w:t>:</w:t>
      </w:r>
    </w:p>
    <w:p w14:paraId="432C39EB" w14:textId="77777777" w:rsidR="00E30892" w:rsidRPr="000C6A32" w:rsidRDefault="00E30892" w:rsidP="00E30892">
      <w:pPr>
        <w:ind w:left="720"/>
      </w:pPr>
      <w:r w:rsidRPr="00436246">
        <w:rPr>
          <w:i/>
          <w:iCs/>
        </w:rPr>
        <w:t>“</w:t>
      </w:r>
      <w:r>
        <w:rPr>
          <w:i/>
        </w:rPr>
        <w:t>T</w:t>
      </w:r>
      <w:r w:rsidRPr="00436246">
        <w:rPr>
          <w:i/>
        </w:rPr>
        <w:t>he Australian Government amend the National Health Act 1953 (</w:t>
      </w:r>
      <w:proofErr w:type="spellStart"/>
      <w:r w:rsidRPr="00436246">
        <w:rPr>
          <w:i/>
        </w:rPr>
        <w:t>Cth</w:t>
      </w:r>
      <w:proofErr w:type="spellEnd"/>
      <w:r w:rsidRPr="00436246">
        <w:rPr>
          <w:i/>
        </w:rPr>
        <w:t xml:space="preserve">) to formalise the role and powers of the </w:t>
      </w:r>
      <w:r w:rsidRPr="00436246">
        <w:rPr>
          <w:i/>
          <w:iCs/>
        </w:rPr>
        <w:t>PBAC Executive.</w:t>
      </w:r>
      <w:r w:rsidRPr="00436246">
        <w:rPr>
          <w:i/>
        </w:rPr>
        <w:t xml:space="preserve"> The scope of the Executive’s role and powers should be determined by agreement between the Executive and the Department of Health</w:t>
      </w:r>
      <w:r w:rsidRPr="00436246">
        <w:rPr>
          <w:i/>
          <w:iCs/>
        </w:rPr>
        <w:t>.”</w:t>
      </w:r>
    </w:p>
    <w:p w14:paraId="55A06B00" w14:textId="50BE68F3" w:rsidR="006A1264" w:rsidRDefault="0077289C" w:rsidP="006534C1">
      <w:pPr>
        <w:pStyle w:val="Heading4"/>
      </w:pPr>
      <w:r>
        <w:t xml:space="preserve">Strategic Agreement </w:t>
      </w:r>
    </w:p>
    <w:p w14:paraId="2251228B" w14:textId="4A7719A8" w:rsidR="003C09B3" w:rsidRPr="00BA2FC3" w:rsidRDefault="003C09B3" w:rsidP="003C09B3">
      <w:r>
        <w:t>Section</w:t>
      </w:r>
      <w:r w:rsidR="00783A60">
        <w:t xml:space="preserve"> 6.1 </w:t>
      </w:r>
      <w:r w:rsidR="00C63383">
        <w:t>(Continuous</w:t>
      </w:r>
      <w:r w:rsidR="00C63383" w:rsidRPr="00BA2FC3">
        <w:t xml:space="preserve"> process improvement</w:t>
      </w:r>
      <w:r w:rsidR="00C63383">
        <w:t xml:space="preserve">) </w:t>
      </w:r>
      <w:r w:rsidR="00783A60">
        <w:t>of the</w:t>
      </w:r>
      <w:r>
        <w:t xml:space="preserve"> </w:t>
      </w:r>
      <w:bookmarkStart w:id="248" w:name="_Toc69856674"/>
      <w:bookmarkStart w:id="249" w:name="_Toc78984631"/>
      <w:r w:rsidR="00C63383">
        <w:fldChar w:fldCharType="begin"/>
      </w:r>
      <w:r w:rsidR="00C63383">
        <w:instrText xml:space="preserve"> HYPERLINK "https://www.pbs.gov.au/info/general/medicines-industry-strategic-agreement" </w:instrText>
      </w:r>
      <w:r w:rsidR="00C63383">
        <w:fldChar w:fldCharType="separate"/>
      </w:r>
      <w:r w:rsidR="00CE62B4" w:rsidRPr="00C63383">
        <w:rPr>
          <w:rStyle w:val="Hyperlink"/>
        </w:rPr>
        <w:t>2022–2027 Strategic Agreement between the Commonwealth and Medicines Australia</w:t>
      </w:r>
      <w:r w:rsidR="00C63383">
        <w:fldChar w:fldCharType="end"/>
      </w:r>
      <w:r w:rsidR="00C63383">
        <w:t xml:space="preserve"> </w:t>
      </w:r>
      <w:bookmarkEnd w:id="248"/>
      <w:bookmarkEnd w:id="249"/>
      <w:r w:rsidR="00C63383">
        <w:t>provides that</w:t>
      </w:r>
      <w:r w:rsidR="00F52908">
        <w:t>:</w:t>
      </w:r>
      <w:r w:rsidR="00C63383">
        <w:t xml:space="preserve"> </w:t>
      </w:r>
    </w:p>
    <w:p w14:paraId="1DA6F95A" w14:textId="26959E7A" w:rsidR="003C09B3" w:rsidRPr="00F52908" w:rsidRDefault="00F52908" w:rsidP="00F52908">
      <w:pPr>
        <w:ind w:left="1440" w:hanging="720"/>
        <w:rPr>
          <w:i/>
          <w:iCs/>
        </w:rPr>
      </w:pPr>
      <w:bookmarkStart w:id="250" w:name="_Ref70879017"/>
      <w:r>
        <w:rPr>
          <w:i/>
          <w:iCs/>
        </w:rPr>
        <w:t>“</w:t>
      </w:r>
      <w:r w:rsidRPr="00F52908">
        <w:rPr>
          <w:i/>
          <w:iCs/>
        </w:rPr>
        <w:t>6.1.1</w:t>
      </w:r>
      <w:r w:rsidRPr="00F52908">
        <w:rPr>
          <w:i/>
          <w:iCs/>
        </w:rPr>
        <w:tab/>
      </w:r>
      <w:r w:rsidR="003C09B3" w:rsidRPr="00F52908">
        <w:rPr>
          <w:i/>
          <w:iCs/>
        </w:rPr>
        <w:t xml:space="preserve">The parties agree that improvement to </w:t>
      </w:r>
      <w:r w:rsidR="003C09B3" w:rsidRPr="00F52908">
        <w:rPr>
          <w:bCs/>
          <w:i/>
          <w:iCs/>
        </w:rPr>
        <w:t>HTA</w:t>
      </w:r>
      <w:r w:rsidR="003C09B3" w:rsidRPr="00F52908">
        <w:rPr>
          <w:i/>
          <w:iCs/>
        </w:rPr>
        <w:t xml:space="preserve"> processes to facilitate earlier patient access to medicines will continue during the Term, informed by:</w:t>
      </w:r>
      <w:bookmarkEnd w:id="250"/>
    </w:p>
    <w:p w14:paraId="29B8B6C8" w14:textId="3713A0CA" w:rsidR="003C09B3" w:rsidRPr="00F52908" w:rsidRDefault="003C09B3" w:rsidP="00630E36">
      <w:pPr>
        <w:pStyle w:val="ListParagraph"/>
        <w:numPr>
          <w:ilvl w:val="0"/>
          <w:numId w:val="28"/>
        </w:numPr>
        <w:rPr>
          <w:i/>
          <w:iCs/>
        </w:rPr>
      </w:pPr>
      <w:r w:rsidRPr="00F52908">
        <w:rPr>
          <w:i/>
          <w:iCs/>
        </w:rPr>
        <w:t>the assessment of the Stage 2 PBS Process Improvements</w:t>
      </w:r>
    </w:p>
    <w:p w14:paraId="2E48DC44" w14:textId="070C3D6D" w:rsidR="003C09B3" w:rsidRPr="00F52908" w:rsidRDefault="003C09B3" w:rsidP="00630E36">
      <w:pPr>
        <w:pStyle w:val="ListParagraph"/>
        <w:numPr>
          <w:ilvl w:val="0"/>
          <w:numId w:val="28"/>
        </w:numPr>
        <w:rPr>
          <w:i/>
          <w:iCs/>
        </w:rPr>
      </w:pPr>
      <w:r w:rsidRPr="00F52908">
        <w:rPr>
          <w:i/>
          <w:iCs/>
        </w:rPr>
        <w:t xml:space="preserve">the outcomes of the HTA policy and methods review and process improvements under this </w:t>
      </w:r>
      <w:proofErr w:type="gramStart"/>
      <w:r w:rsidRPr="00F52908">
        <w:rPr>
          <w:i/>
          <w:iCs/>
        </w:rPr>
        <w:t>Agreement</w:t>
      </w:r>
      <w:proofErr w:type="gramEnd"/>
    </w:p>
    <w:p w14:paraId="3C36ECBA" w14:textId="7B9D427B" w:rsidR="003C09B3" w:rsidRPr="00F52908" w:rsidRDefault="003C09B3" w:rsidP="00630E36">
      <w:pPr>
        <w:pStyle w:val="ListParagraph"/>
        <w:numPr>
          <w:ilvl w:val="0"/>
          <w:numId w:val="28"/>
        </w:numPr>
        <w:rPr>
          <w:i/>
          <w:iCs/>
        </w:rPr>
      </w:pPr>
      <w:r w:rsidRPr="00F52908">
        <w:rPr>
          <w:i/>
          <w:iCs/>
        </w:rPr>
        <w:t xml:space="preserve">the submissions and evidence given to and the findings and recommendations of the inquiry into approval processes for new drugs and novel medical technologies in Australia being conducted by House of Representatives Standing Committee on Health, Aged Care and Sport (which is ongoing at the time of entry into this Agreement) </w:t>
      </w:r>
    </w:p>
    <w:p w14:paraId="2224751D" w14:textId="03A27AED" w:rsidR="003C09B3" w:rsidRPr="00F52908" w:rsidRDefault="003C09B3" w:rsidP="00630E36">
      <w:pPr>
        <w:pStyle w:val="ListParagraph"/>
        <w:numPr>
          <w:ilvl w:val="0"/>
          <w:numId w:val="28"/>
        </w:numPr>
        <w:rPr>
          <w:i/>
          <w:iCs/>
        </w:rPr>
      </w:pPr>
      <w:r w:rsidRPr="00F52908">
        <w:rPr>
          <w:i/>
          <w:iCs/>
        </w:rPr>
        <w:t>the review of the National Medicines Policy (which is intended to commence in August 2021)</w:t>
      </w:r>
      <w:r w:rsidR="00E17DBB">
        <w:rPr>
          <w:i/>
          <w:iCs/>
        </w:rPr>
        <w:t>,</w:t>
      </w:r>
      <w:r w:rsidRPr="00F52908">
        <w:rPr>
          <w:i/>
          <w:iCs/>
        </w:rPr>
        <w:t xml:space="preserve"> and</w:t>
      </w:r>
    </w:p>
    <w:p w14:paraId="6BAD8F55" w14:textId="7EAA7EBB" w:rsidR="003C09B3" w:rsidRPr="00F52908" w:rsidRDefault="003C09B3" w:rsidP="00630E36">
      <w:pPr>
        <w:pStyle w:val="ListParagraph"/>
        <w:numPr>
          <w:ilvl w:val="0"/>
          <w:numId w:val="28"/>
        </w:numPr>
        <w:rPr>
          <w:i/>
          <w:iCs/>
        </w:rPr>
      </w:pPr>
      <w:r w:rsidRPr="00F52908">
        <w:rPr>
          <w:i/>
          <w:iCs/>
        </w:rPr>
        <w:t>key metrics which will be co-designed and jointly agreed by the parties.</w:t>
      </w:r>
      <w:r w:rsidR="00F52908">
        <w:rPr>
          <w:i/>
          <w:iCs/>
        </w:rPr>
        <w:t>”</w:t>
      </w:r>
    </w:p>
    <w:p w14:paraId="323E2434" w14:textId="0F6394AB" w:rsidR="002F4E06" w:rsidRDefault="008855D1" w:rsidP="002F4E06">
      <w:pPr>
        <w:pStyle w:val="Heading4"/>
      </w:pPr>
      <w:r>
        <w:t xml:space="preserve">Australian Government </w:t>
      </w:r>
      <w:r w:rsidR="002F4E06" w:rsidRPr="00BA2FC3">
        <w:t>process improvement</w:t>
      </w:r>
      <w:r w:rsidR="002F4E06">
        <w:t xml:space="preserve">s activities </w:t>
      </w:r>
    </w:p>
    <w:p w14:paraId="3A80ED5A" w14:textId="1EF46B7C" w:rsidR="00210F03" w:rsidRDefault="00210F03" w:rsidP="00136412">
      <w:r>
        <w:t xml:space="preserve">The </w:t>
      </w:r>
      <w:r w:rsidR="008855D1">
        <w:t>Australian Government’s</w:t>
      </w:r>
      <w:r>
        <w:t xml:space="preserve"> HTA improvement activities aim to develop and implement ongoing enhancements to HTA systems/processes to facilitate earlier patient access to medicines, consistent with </w:t>
      </w:r>
      <w:r w:rsidR="00A8225A">
        <w:t>s</w:t>
      </w:r>
      <w:r>
        <w:t xml:space="preserve">trategic </w:t>
      </w:r>
      <w:r w:rsidR="00A8225A">
        <w:t>a</w:t>
      </w:r>
      <w:r>
        <w:t xml:space="preserve">greements with the medicines industry. Key activities include the ongoing collection, monitoring and review of PBS Process Improvement metrics, for example ‘time to listing’ and ‘reasons for non-recommendation’ metrics. Process improvement metrics agreed jointly with the medicines industry are published on the </w:t>
      </w:r>
      <w:hyperlink r:id="rId199" w:history="1">
        <w:r w:rsidRPr="00880C88">
          <w:rPr>
            <w:rStyle w:val="Hyperlink"/>
          </w:rPr>
          <w:t>PBS website</w:t>
        </w:r>
      </w:hyperlink>
      <w:r w:rsidR="00880C88">
        <w:t>.</w:t>
      </w:r>
      <w:r>
        <w:t xml:space="preserve"> </w:t>
      </w:r>
      <w:r>
        <w:br/>
        <w:t xml:space="preserve">An independent Portfolio Charging Review was undertaken in 2022 and recommendations included updating the activity-based charging model for PBAC. </w:t>
      </w:r>
      <w:r>
        <w:lastRenderedPageBreak/>
        <w:t xml:space="preserve">The </w:t>
      </w:r>
      <w:r w:rsidR="006459AA">
        <w:t>D</w:t>
      </w:r>
      <w:r>
        <w:t>epartment is conducting a ‘time and motion study’ for PBS listing activities, which is expected to be completed mid-2024 and outcomes reflected in PBS cost</w:t>
      </w:r>
      <w:r w:rsidR="007708C5">
        <w:t>-</w:t>
      </w:r>
      <w:r>
        <w:t>recovery fees from 1 July 2025. Other improvement activities under</w:t>
      </w:r>
      <w:r w:rsidR="001B3A12">
        <w:t xml:space="preserve"> </w:t>
      </w:r>
      <w:r>
        <w:t>way include implementing standardised redaction policy for MSAC public summary documents to support improved consistency across the HTA committees and align</w:t>
      </w:r>
      <w:r w:rsidR="00301D99">
        <w:t xml:space="preserve"> them</w:t>
      </w:r>
      <w:r>
        <w:t xml:space="preserve"> with current PBAC processes where possible. </w:t>
      </w:r>
    </w:p>
    <w:p w14:paraId="1A89D859" w14:textId="77777777" w:rsidR="00492E17" w:rsidRDefault="00492E17" w:rsidP="00492E17">
      <w:pPr>
        <w:pStyle w:val="Heading4"/>
      </w:pPr>
      <w:r>
        <w:t xml:space="preserve">PBS Metrics </w:t>
      </w:r>
    </w:p>
    <w:p w14:paraId="353D8C4C" w14:textId="6246D6CA" w:rsidR="00492E17" w:rsidRPr="000C23C2" w:rsidRDefault="00492E17" w:rsidP="00492E17">
      <w:r w:rsidRPr="000C23C2">
        <w:t xml:space="preserve">The Department currently publishes </w:t>
      </w:r>
      <w:hyperlink r:id="rId200" w:history="1">
        <w:r w:rsidRPr="00393DFB">
          <w:rPr>
            <w:rStyle w:val="Hyperlink"/>
          </w:rPr>
          <w:t>PBS process improvement</w:t>
        </w:r>
      </w:hyperlink>
      <w:r w:rsidRPr="000C23C2">
        <w:t xml:space="preserve"> metrics on the PBS website annually. The first metrics report for Stage 1 PBS process improvements implemented on 1 July 2019 was published in August 2020. This includes metrics on Pre-Submission meetings, the Intent to Apply step, Notice of Intent for Pricing process and Pricing Pathways. Following implementation of Stage 2 PBS process improvements on 1 January 2021, a metric report on Stage 2 </w:t>
      </w:r>
      <w:r w:rsidR="00CF720B">
        <w:t xml:space="preserve">has </w:t>
      </w:r>
      <w:r w:rsidRPr="000C23C2">
        <w:t xml:space="preserve">also </w:t>
      </w:r>
      <w:r w:rsidR="00CF720B">
        <w:t>been</w:t>
      </w:r>
      <w:r w:rsidRPr="000C23C2">
        <w:t xml:space="preserve"> available, which reports on metrics in relation to the introduction of initial submission categories and resubmission pathways. Further, the </w:t>
      </w:r>
      <w:hyperlink r:id="rId201" w:history="1">
        <w:r w:rsidRPr="005B3C1F">
          <w:rPr>
            <w:rStyle w:val="Hyperlink"/>
          </w:rPr>
          <w:t>Medicine Status Website</w:t>
        </w:r>
      </w:hyperlink>
      <w:r w:rsidRPr="000C23C2">
        <w:t xml:space="preserve"> became available in July 2019 to enable consumers to search for and monitor the status of medicines as they progress through the PBS listing process.</w:t>
      </w:r>
    </w:p>
    <w:p w14:paraId="153C21C5" w14:textId="2C6E32FD" w:rsidR="00492E17" w:rsidRPr="000C23C2" w:rsidRDefault="00492E17" w:rsidP="00492E17">
      <w:r w:rsidRPr="000C23C2">
        <w:t>The Australian Government has committed to working with Medicines Australia to determine and make publicly available a range of key performance indicators on the time it takes for new medicines to be listed on the PBS</w:t>
      </w:r>
      <w:r w:rsidR="00031601">
        <w:t>,</w:t>
      </w:r>
      <w:r w:rsidRPr="000C23C2">
        <w:t xml:space="preserve"> including measures contro</w:t>
      </w:r>
      <w:r w:rsidR="00B873B0">
        <w:t>lled by</w:t>
      </w:r>
      <w:r w:rsidRPr="000C23C2">
        <w:t xml:space="preserve"> the medicines industry (such as the time taken to make applications for regulation and reimbursement in Australia and in </w:t>
      </w:r>
      <w:r w:rsidR="00BA4F9C">
        <w:t>other countries</w:t>
      </w:r>
      <w:r w:rsidRPr="000C23C2">
        <w:t>) and measures control</w:t>
      </w:r>
      <w:r w:rsidR="00B873B0">
        <w:t xml:space="preserve">led by </w:t>
      </w:r>
      <w:r w:rsidR="00683E66">
        <w:t xml:space="preserve">the </w:t>
      </w:r>
      <w:r w:rsidRPr="000C23C2">
        <w:t>Commonwealth (such as the time taken to assess applications</w:t>
      </w:r>
      <w:r w:rsidR="00E464A1">
        <w:t xml:space="preserve"> and resubmission churn</w:t>
      </w:r>
      <w:r w:rsidRPr="000C23C2">
        <w:t xml:space="preserve">). </w:t>
      </w:r>
    </w:p>
    <w:p w14:paraId="3EE83418" w14:textId="0A5E1574" w:rsidR="00492E17" w:rsidRPr="000C23C2" w:rsidRDefault="00492E17" w:rsidP="00492E17">
      <w:r w:rsidRPr="000C23C2">
        <w:t>The Department is continuing to streamline and digitise the processes to support the public funding of health technologies through progressive implementation of</w:t>
      </w:r>
      <w:r w:rsidR="00432F27">
        <w:t>,</w:t>
      </w:r>
      <w:r w:rsidRPr="000C23C2">
        <w:t xml:space="preserve"> and improvements to</w:t>
      </w:r>
      <w:r w:rsidR="00432F27">
        <w:t>,</w:t>
      </w:r>
      <w:r w:rsidRPr="000C23C2">
        <w:t xml:space="preserve"> the </w:t>
      </w:r>
      <w:hyperlink r:id="rId202" w:history="1">
        <w:r w:rsidRPr="002C004E">
          <w:rPr>
            <w:rStyle w:val="Hyperlink"/>
          </w:rPr>
          <w:t>Health Products Portal</w:t>
        </w:r>
      </w:hyperlink>
      <w:r w:rsidRPr="000C23C2">
        <w:t xml:space="preserve">. Alongside this work, the </w:t>
      </w:r>
      <w:r w:rsidR="006459AA">
        <w:t>D</w:t>
      </w:r>
      <w:r w:rsidR="00300F2D">
        <w:t xml:space="preserve">epartment </w:t>
      </w:r>
      <w:r w:rsidRPr="000C23C2">
        <w:t>is developing a metrics framework to measure and report on PBAC assessments.</w:t>
      </w:r>
    </w:p>
    <w:p w14:paraId="25493D12" w14:textId="48D3DF70" w:rsidR="00A31353" w:rsidRDefault="006534C1" w:rsidP="006534C1">
      <w:pPr>
        <w:pStyle w:val="Heading4"/>
      </w:pPr>
      <w:r>
        <w:t>Post-Market Review Program</w:t>
      </w:r>
    </w:p>
    <w:p w14:paraId="229A0CA3" w14:textId="0D557A75" w:rsidR="006E1BDC" w:rsidRPr="006E1BDC" w:rsidRDefault="006E1BDC" w:rsidP="001F5A5B">
      <w:pPr>
        <w:rPr>
          <w:rFonts w:cs="Segoe UI"/>
        </w:rPr>
      </w:pPr>
      <w:r w:rsidRPr="006E1BDC">
        <w:t>In 2015, the</w:t>
      </w:r>
      <w:r w:rsidRPr="006E1BDC">
        <w:rPr>
          <w:rFonts w:cs="Segoe UI"/>
        </w:rPr>
        <w:t xml:space="preserve"> Government introduced a systematic post-market approach to monitoring medicines in use to inform decision</w:t>
      </w:r>
      <w:r w:rsidR="00C44F98">
        <w:rPr>
          <w:rFonts w:cs="Segoe UI"/>
        </w:rPr>
        <w:t>-</w:t>
      </w:r>
      <w:r w:rsidRPr="006E1BDC">
        <w:rPr>
          <w:rFonts w:cs="Segoe UI"/>
        </w:rPr>
        <w:t>making at all levels throughout the medicine cycle (from the registration of a medicine right through to its use by consumers).</w:t>
      </w:r>
      <w:r w:rsidR="00D24533" w:rsidRPr="001413A2">
        <w:rPr>
          <w:rFonts w:cs="Segoe UI"/>
        </w:rPr>
        <w:t xml:space="preserve"> </w:t>
      </w:r>
      <w:r w:rsidR="0045553F" w:rsidRPr="006E1BDC">
        <w:rPr>
          <w:rFonts w:cs="Segoe UI"/>
        </w:rPr>
        <w:t>Reviews of cost-effectiveness ensure that the cost of medicines to the PBS appropriately reflects the health outcomes expected and subsequently produced.</w:t>
      </w:r>
      <w:r w:rsidR="0045553F">
        <w:rPr>
          <w:rFonts w:cs="Segoe UI"/>
        </w:rPr>
        <w:t xml:space="preserve"> </w:t>
      </w:r>
      <w:r w:rsidR="00B23855" w:rsidRPr="001413A2">
        <w:rPr>
          <w:rFonts w:cs="Segoe UI"/>
        </w:rPr>
        <w:t xml:space="preserve">The </w:t>
      </w:r>
      <w:hyperlink r:id="rId203" w:history="1">
        <w:r w:rsidRPr="006E1BDC">
          <w:rPr>
            <w:rStyle w:val="Hyperlink"/>
            <w:rFonts w:cs="Segoe UI"/>
          </w:rPr>
          <w:t xml:space="preserve">Post-market </w:t>
        </w:r>
        <w:r w:rsidR="00B23855" w:rsidRPr="00B14C13">
          <w:rPr>
            <w:rStyle w:val="Hyperlink"/>
            <w:rFonts w:cs="Segoe UI"/>
          </w:rPr>
          <w:t>R</w:t>
        </w:r>
        <w:r w:rsidRPr="006E1BDC">
          <w:rPr>
            <w:rStyle w:val="Hyperlink"/>
            <w:rFonts w:cs="Segoe UI"/>
          </w:rPr>
          <w:t>eview</w:t>
        </w:r>
        <w:r w:rsidR="00C47108">
          <w:rPr>
            <w:rStyle w:val="Hyperlink"/>
            <w:rFonts w:cs="Segoe UI"/>
          </w:rPr>
          <w:t xml:space="preserve"> (PMR)</w:t>
        </w:r>
        <w:r w:rsidRPr="006E1BDC">
          <w:rPr>
            <w:rStyle w:val="Hyperlink"/>
            <w:rFonts w:cs="Segoe UI"/>
          </w:rPr>
          <w:t xml:space="preserve"> program</w:t>
        </w:r>
      </w:hyperlink>
      <w:r w:rsidRPr="006E1BDC">
        <w:rPr>
          <w:rFonts w:cs="Segoe UI"/>
        </w:rPr>
        <w:t xml:space="preserve"> contributes to:</w:t>
      </w:r>
    </w:p>
    <w:p w14:paraId="0AE392DF" w14:textId="0A8C0E74" w:rsidR="006E1BDC" w:rsidRPr="006E1BDC" w:rsidRDefault="00035FDB" w:rsidP="008505D7">
      <w:pPr>
        <w:pStyle w:val="ListParagraph"/>
        <w:numPr>
          <w:ilvl w:val="0"/>
          <w:numId w:val="163"/>
        </w:numPr>
        <w:rPr>
          <w:lang w:eastAsia="en-AU"/>
        </w:rPr>
      </w:pPr>
      <w:r>
        <w:rPr>
          <w:lang w:eastAsia="en-AU"/>
        </w:rPr>
        <w:t>i</w:t>
      </w:r>
      <w:r w:rsidR="006E1BDC" w:rsidRPr="006E1BDC">
        <w:rPr>
          <w:lang w:eastAsia="en-AU"/>
        </w:rPr>
        <w:t xml:space="preserve">mproved patient safety through a better understanding of adverse events and promoting medicine use in populations for whom they are safe and </w:t>
      </w:r>
      <w:proofErr w:type="gramStart"/>
      <w:r w:rsidR="006E1BDC" w:rsidRPr="006E1BDC">
        <w:rPr>
          <w:lang w:eastAsia="en-AU"/>
        </w:rPr>
        <w:t>effective</w:t>
      </w:r>
      <w:proofErr w:type="gramEnd"/>
    </w:p>
    <w:p w14:paraId="57863DB1" w14:textId="0F2C1F2A" w:rsidR="006E1BDC" w:rsidRPr="006E1BDC" w:rsidRDefault="00035FDB" w:rsidP="008505D7">
      <w:pPr>
        <w:pStyle w:val="ListParagraph"/>
        <w:numPr>
          <w:ilvl w:val="0"/>
          <w:numId w:val="163"/>
        </w:numPr>
        <w:rPr>
          <w:lang w:eastAsia="en-AU"/>
        </w:rPr>
      </w:pPr>
      <w:r>
        <w:rPr>
          <w:lang w:eastAsia="en-AU"/>
        </w:rPr>
        <w:t>e</w:t>
      </w:r>
      <w:r w:rsidR="006E1BDC" w:rsidRPr="006E1BDC">
        <w:rPr>
          <w:lang w:eastAsia="en-AU"/>
        </w:rPr>
        <w:t>nsuring the ongoing viability of the PBS through targeted medicines usage and avoiding preventable wastage or inappropriate prescribing</w:t>
      </w:r>
    </w:p>
    <w:p w14:paraId="53F9907B" w14:textId="03708DE2" w:rsidR="006E1BDC" w:rsidRPr="006E1BDC" w:rsidRDefault="00140AAC" w:rsidP="008505D7">
      <w:pPr>
        <w:pStyle w:val="ListParagraph"/>
        <w:numPr>
          <w:ilvl w:val="0"/>
          <w:numId w:val="163"/>
        </w:numPr>
        <w:rPr>
          <w:lang w:eastAsia="en-AU"/>
        </w:rPr>
      </w:pPr>
      <w:r>
        <w:rPr>
          <w:lang w:eastAsia="en-AU"/>
        </w:rPr>
        <w:lastRenderedPageBreak/>
        <w:t>a</w:t>
      </w:r>
      <w:r w:rsidR="006E1BDC" w:rsidRPr="006E1BDC">
        <w:rPr>
          <w:lang w:eastAsia="en-AU"/>
        </w:rPr>
        <w:t xml:space="preserve"> better understanding of medicines utilisation to review intended clinical benefit and inform medicines evaluation </w:t>
      </w:r>
      <w:proofErr w:type="gramStart"/>
      <w:r w:rsidR="006E1BDC" w:rsidRPr="006E1BDC">
        <w:rPr>
          <w:lang w:eastAsia="en-AU"/>
        </w:rPr>
        <w:t>processes</w:t>
      </w:r>
      <w:proofErr w:type="gramEnd"/>
    </w:p>
    <w:p w14:paraId="2828AF14" w14:textId="139E16C6" w:rsidR="006E1BDC" w:rsidRPr="006E1BDC" w:rsidRDefault="00DE2094" w:rsidP="008505D7">
      <w:pPr>
        <w:pStyle w:val="ListParagraph"/>
        <w:numPr>
          <w:ilvl w:val="0"/>
          <w:numId w:val="163"/>
        </w:numPr>
        <w:rPr>
          <w:lang w:eastAsia="en-AU"/>
        </w:rPr>
      </w:pPr>
      <w:r>
        <w:rPr>
          <w:lang w:eastAsia="en-AU"/>
        </w:rPr>
        <w:t>o</w:t>
      </w:r>
      <w:r w:rsidR="006E1BDC" w:rsidRPr="006E1BDC">
        <w:rPr>
          <w:lang w:eastAsia="en-AU"/>
        </w:rPr>
        <w:t>ngoing cost-effectiveness, including through better management of clinical and economic uncertainty</w:t>
      </w:r>
      <w:r w:rsidR="00E17DBB">
        <w:rPr>
          <w:lang w:eastAsia="en-AU"/>
        </w:rPr>
        <w:t>, and</w:t>
      </w:r>
    </w:p>
    <w:p w14:paraId="3BD1576D" w14:textId="389AF3FD" w:rsidR="006E1BDC" w:rsidRPr="006E1BDC" w:rsidRDefault="00DE2094" w:rsidP="008505D7">
      <w:pPr>
        <w:pStyle w:val="ListParagraph"/>
        <w:numPr>
          <w:ilvl w:val="0"/>
          <w:numId w:val="163"/>
        </w:numPr>
        <w:rPr>
          <w:lang w:eastAsia="en-AU"/>
        </w:rPr>
      </w:pPr>
      <w:r>
        <w:rPr>
          <w:lang w:eastAsia="en-AU"/>
        </w:rPr>
        <w:t>o</w:t>
      </w:r>
      <w:r w:rsidR="006E1BDC" w:rsidRPr="006E1BDC">
        <w:rPr>
          <w:lang w:eastAsia="en-AU"/>
        </w:rPr>
        <w:t>verall improvements to the quality use of medicines and education for patients and prescribers.</w:t>
      </w:r>
    </w:p>
    <w:p w14:paraId="354D3340" w14:textId="2AFC9C98" w:rsidR="006E1BDC" w:rsidRPr="006E1BDC" w:rsidRDefault="006E1BDC" w:rsidP="001F5A5B">
      <w:pPr>
        <w:rPr>
          <w:rFonts w:cs="Segoe UI"/>
        </w:rPr>
      </w:pPr>
      <w:r w:rsidRPr="006E1BDC">
        <w:t>These reviews are to ensure the quality use of PBS l</w:t>
      </w:r>
      <w:r w:rsidRPr="006E1BDC">
        <w:rPr>
          <w:rFonts w:cs="Segoe UI"/>
        </w:rPr>
        <w:t>isted medicines and the ongoing sustainability of the PBS.</w:t>
      </w:r>
      <w:r w:rsidR="001A40F1">
        <w:rPr>
          <w:rFonts w:cs="Segoe UI"/>
        </w:rPr>
        <w:t xml:space="preserve"> </w:t>
      </w:r>
      <w:r w:rsidR="00CD62F7">
        <w:rPr>
          <w:rFonts w:cs="Segoe UI"/>
        </w:rPr>
        <w:t>Reviews</w:t>
      </w:r>
      <w:r w:rsidR="00361FF5">
        <w:rPr>
          <w:rFonts w:cs="Segoe UI"/>
        </w:rPr>
        <w:t xml:space="preserve"> can </w:t>
      </w:r>
      <w:r w:rsidR="00053A01">
        <w:rPr>
          <w:rFonts w:cs="Segoe UI"/>
        </w:rPr>
        <w:t>result in changes to listings of</w:t>
      </w:r>
      <w:r w:rsidR="00361FF5">
        <w:rPr>
          <w:rFonts w:cs="Segoe UI"/>
        </w:rPr>
        <w:t xml:space="preserve"> </w:t>
      </w:r>
      <w:r w:rsidR="004E4130">
        <w:rPr>
          <w:rFonts w:cs="Segoe UI"/>
        </w:rPr>
        <w:t xml:space="preserve">individual medicines, </w:t>
      </w:r>
      <w:r w:rsidR="00FB54E8">
        <w:rPr>
          <w:rFonts w:cs="Segoe UI"/>
        </w:rPr>
        <w:t xml:space="preserve">groups of medicines, or </w:t>
      </w:r>
      <w:r w:rsidR="00F17629">
        <w:rPr>
          <w:rFonts w:cs="Segoe UI"/>
        </w:rPr>
        <w:t>policy</w:t>
      </w:r>
      <w:r w:rsidR="00835E1B">
        <w:rPr>
          <w:rFonts w:cs="Segoe UI"/>
        </w:rPr>
        <w:t xml:space="preserve"> aspects </w:t>
      </w:r>
      <w:r w:rsidR="00053A01">
        <w:rPr>
          <w:rFonts w:cs="Segoe UI"/>
        </w:rPr>
        <w:t>relating</w:t>
      </w:r>
      <w:r w:rsidR="00684950">
        <w:rPr>
          <w:rFonts w:cs="Segoe UI"/>
        </w:rPr>
        <w:t xml:space="preserve"> to </w:t>
      </w:r>
      <w:r w:rsidR="00154575">
        <w:rPr>
          <w:rFonts w:cs="Segoe UI"/>
        </w:rPr>
        <w:t xml:space="preserve">their </w:t>
      </w:r>
      <w:r w:rsidR="00F17629">
        <w:rPr>
          <w:rFonts w:cs="Segoe UI"/>
        </w:rPr>
        <w:t xml:space="preserve">evaluation or </w:t>
      </w:r>
      <w:r w:rsidR="00154575">
        <w:rPr>
          <w:rFonts w:cs="Segoe UI"/>
        </w:rPr>
        <w:t>supply</w:t>
      </w:r>
      <w:r w:rsidR="00F17629">
        <w:rPr>
          <w:rFonts w:cs="Segoe UI"/>
        </w:rPr>
        <w:t xml:space="preserve">. </w:t>
      </w:r>
      <w:r w:rsidR="00090C50">
        <w:rPr>
          <w:rFonts w:cs="Segoe UI"/>
        </w:rPr>
        <w:t xml:space="preserve">Information on reviews undertaken to date can be accessed on the </w:t>
      </w:r>
      <w:hyperlink r:id="rId204" w:history="1">
        <w:r w:rsidR="00090C50" w:rsidRPr="0056063B">
          <w:rPr>
            <w:rStyle w:val="Hyperlink"/>
            <w:rFonts w:cs="Segoe UI"/>
          </w:rPr>
          <w:t>PBS website</w:t>
        </w:r>
      </w:hyperlink>
      <w:r w:rsidR="00090C50">
        <w:rPr>
          <w:rFonts w:cs="Segoe UI"/>
        </w:rPr>
        <w:t xml:space="preserve">. </w:t>
      </w:r>
    </w:p>
    <w:p w14:paraId="1483189E" w14:textId="4E79C793" w:rsidR="00F05F8B" w:rsidRDefault="00F05F8B" w:rsidP="007703F6">
      <w:pPr>
        <w:pStyle w:val="Heading3"/>
      </w:pPr>
      <w:bookmarkStart w:id="251" w:name="_Toc157029132"/>
      <w:r w:rsidRPr="00E9368B">
        <w:t>What we heard from stakeholders</w:t>
      </w:r>
      <w:bookmarkEnd w:id="251"/>
    </w:p>
    <w:p w14:paraId="75E29F21" w14:textId="2B8F0C79" w:rsidR="00791159" w:rsidRPr="00791159" w:rsidRDefault="0082764A" w:rsidP="009D14F6">
      <w:r>
        <w:t xml:space="preserve">We have heard that stakeholders believe that the current speed of evolution of health technologies and the evidence base </w:t>
      </w:r>
      <w:r w:rsidR="00EB737F">
        <w:t xml:space="preserve">and methods for assessment </w:t>
      </w:r>
      <w:r>
        <w:t>that support their use</w:t>
      </w:r>
      <w:r w:rsidR="002E12C0">
        <w:t xml:space="preserve"> necessitates more frequent </w:t>
      </w:r>
      <w:r w:rsidR="002778CB">
        <w:t xml:space="preserve">review of guidelines. </w:t>
      </w:r>
    </w:p>
    <w:p w14:paraId="04541FEC" w14:textId="77777777" w:rsidR="00F05F8B" w:rsidRPr="00E9368B" w:rsidRDefault="00F05F8B" w:rsidP="007703F6">
      <w:pPr>
        <w:pStyle w:val="Heading3"/>
        <w:rPr>
          <w:i/>
        </w:rPr>
      </w:pPr>
      <w:bookmarkStart w:id="252" w:name="_Toc157029133"/>
      <w:r>
        <w:t>I</w:t>
      </w:r>
      <w:r w:rsidRPr="00E9368B">
        <w:t>ssue</w:t>
      </w:r>
      <w:r>
        <w:t>s</w:t>
      </w:r>
      <w:bookmarkEnd w:id="252"/>
      <w:r w:rsidRPr="00E9368B">
        <w:t xml:space="preserve"> </w:t>
      </w:r>
    </w:p>
    <w:p w14:paraId="348F9429" w14:textId="2B80E863" w:rsidR="003331F8" w:rsidRDefault="003331F8" w:rsidP="00B20B3C">
      <w:r>
        <w:t xml:space="preserve">The Reference committee agrees there needs to be </w:t>
      </w:r>
      <w:r w:rsidR="006D538E">
        <w:t xml:space="preserve">a continuous approach to updating guidelines. </w:t>
      </w:r>
      <w:r w:rsidR="00AC2C3C">
        <w:t>We consider that the</w:t>
      </w:r>
      <w:r w:rsidR="00906F82">
        <w:t xml:space="preserve">se should be overseen by the executive of advisory committees. </w:t>
      </w:r>
    </w:p>
    <w:p w14:paraId="2A594EE4" w14:textId="058D16CF" w:rsidR="00F05F8B" w:rsidRPr="00E9368B" w:rsidRDefault="00F05F8B" w:rsidP="00476657">
      <w:pPr>
        <w:pStyle w:val="Heading3"/>
        <w:keepNext/>
        <w:keepLines/>
      </w:pPr>
      <w:bookmarkStart w:id="253" w:name="_Toc157029134"/>
      <w:r w:rsidRPr="00E9368B">
        <w:t>Options</w:t>
      </w:r>
      <w:bookmarkEnd w:id="253"/>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2926C5" w14:paraId="085F9094" w14:textId="77777777" w:rsidTr="000D16BB">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6B2AD137" w14:textId="742908C7" w:rsidR="002926C5" w:rsidRDefault="002926C5" w:rsidP="008C10BB">
            <w:pPr>
              <w:spacing w:after="120" w:line="259" w:lineRule="auto"/>
              <w:rPr>
                <w:rFonts w:eastAsia="Times New Roman" w:cs="Segoe UI"/>
                <w:b/>
                <w:bCs/>
                <w:lang w:eastAsia="en-AU"/>
              </w:rPr>
            </w:pPr>
            <w:r w:rsidRPr="002926C5">
              <w:rPr>
                <w:rFonts w:eastAsia="Times New Roman" w:cs="Segoe UI"/>
                <w:b/>
                <w:bCs/>
                <w:lang w:eastAsia="en-AU"/>
              </w:rPr>
              <w:t>A program of continuous review and improvement for current HTA policies and methods</w:t>
            </w:r>
          </w:p>
          <w:p w14:paraId="425CD545" w14:textId="77777777" w:rsidR="002926C5" w:rsidRPr="00F876B2" w:rsidRDefault="002926C5" w:rsidP="008C10BB">
            <w:pPr>
              <w:spacing w:after="120" w:line="259" w:lineRule="auto"/>
              <w:rPr>
                <w:rFonts w:eastAsia="Times New Roman" w:cs="Segoe UI"/>
                <w:color w:val="222A35"/>
                <w:kern w:val="24"/>
                <w:lang w:eastAsia="en-AU"/>
              </w:rPr>
            </w:pPr>
            <w:r w:rsidRPr="00F876B2">
              <w:rPr>
                <w:rFonts w:eastAsia="Times New Roman" w:cs="Segoe UI"/>
                <w:color w:val="222A35"/>
                <w:kern w:val="24"/>
                <w:lang w:eastAsia="en-AU"/>
              </w:rPr>
              <w:t xml:space="preserve">This program should: </w:t>
            </w:r>
          </w:p>
          <w:p w14:paraId="7AD0A2D6" w14:textId="342985A1" w:rsidR="009C2E4E" w:rsidRDefault="002926C5" w:rsidP="008505D7">
            <w:pPr>
              <w:pStyle w:val="ListParagraph"/>
              <w:numPr>
                <w:ilvl w:val="0"/>
                <w:numId w:val="129"/>
              </w:numPr>
              <w:spacing w:after="160" w:line="259" w:lineRule="auto"/>
              <w:rPr>
                <w:rFonts w:eastAsia="Times New Roman" w:cs="Segoe UI"/>
                <w:lang w:eastAsia="en-AU"/>
              </w:rPr>
            </w:pPr>
            <w:r w:rsidRPr="00F876B2">
              <w:rPr>
                <w:rFonts w:eastAsia="Times New Roman" w:cs="Segoe UI"/>
                <w:lang w:eastAsia="en-AU"/>
              </w:rPr>
              <w:t>Be informed by consultation of internal and external stakeholders as well as research of international and interjurisdictional best practise to pick topics for review</w:t>
            </w:r>
            <w:r w:rsidR="009C2E4E">
              <w:rPr>
                <w:rFonts w:eastAsia="Times New Roman" w:cs="Segoe UI"/>
                <w:lang w:eastAsia="en-AU"/>
              </w:rPr>
              <w:t>.</w:t>
            </w:r>
            <w:r w:rsidRPr="00F876B2">
              <w:rPr>
                <w:rFonts w:eastAsia="Times New Roman" w:cs="Segoe UI"/>
                <w:lang w:eastAsia="en-AU"/>
              </w:rPr>
              <w:t xml:space="preserve"> </w:t>
            </w:r>
          </w:p>
          <w:p w14:paraId="7E6E9C78" w14:textId="37F848DB" w:rsidR="002926C5" w:rsidRDefault="009C2E4E" w:rsidP="008505D7">
            <w:pPr>
              <w:pStyle w:val="ListParagraph"/>
              <w:numPr>
                <w:ilvl w:val="0"/>
                <w:numId w:val="129"/>
              </w:numPr>
              <w:spacing w:after="160" w:line="259" w:lineRule="auto"/>
              <w:rPr>
                <w:rFonts w:eastAsia="Times New Roman" w:cs="Segoe UI"/>
                <w:lang w:eastAsia="en-AU"/>
              </w:rPr>
            </w:pPr>
            <w:r>
              <w:rPr>
                <w:rFonts w:eastAsia="Times New Roman" w:cs="Segoe UI"/>
                <w:lang w:eastAsia="en-AU"/>
              </w:rPr>
              <w:t xml:space="preserve">Have a </w:t>
            </w:r>
            <w:r w:rsidR="002926C5" w:rsidRPr="00F876B2">
              <w:rPr>
                <w:rFonts w:eastAsia="Times New Roman" w:cs="Segoe UI"/>
                <w:lang w:eastAsia="en-AU"/>
              </w:rPr>
              <w:t>transparent forward schedule</w:t>
            </w:r>
            <w:r>
              <w:rPr>
                <w:rFonts w:eastAsia="Times New Roman" w:cs="Segoe UI"/>
                <w:lang w:eastAsia="en-AU"/>
              </w:rPr>
              <w:t xml:space="preserve"> of </w:t>
            </w:r>
            <w:r w:rsidR="00170294">
              <w:rPr>
                <w:rFonts w:eastAsia="Times New Roman" w:cs="Segoe UI"/>
                <w:lang w:eastAsia="en-AU"/>
              </w:rPr>
              <w:t>the</w:t>
            </w:r>
            <w:r w:rsidR="0080317E">
              <w:rPr>
                <w:rFonts w:eastAsia="Times New Roman" w:cs="Segoe UI"/>
                <w:lang w:eastAsia="en-AU"/>
              </w:rPr>
              <w:t xml:space="preserve"> consultation</w:t>
            </w:r>
            <w:r w:rsidR="00395D3F">
              <w:rPr>
                <w:rFonts w:eastAsia="Times New Roman" w:cs="Segoe UI"/>
                <w:lang w:eastAsia="en-AU"/>
              </w:rPr>
              <w:t xml:space="preserve"> and </w:t>
            </w:r>
            <w:r w:rsidR="00FB5F5A">
              <w:rPr>
                <w:rFonts w:eastAsia="Times New Roman" w:cs="Segoe UI"/>
                <w:lang w:eastAsia="en-AU"/>
              </w:rPr>
              <w:t>planned</w:t>
            </w:r>
            <w:r w:rsidR="00170294">
              <w:rPr>
                <w:rFonts w:eastAsia="Times New Roman" w:cs="Segoe UI"/>
                <w:lang w:eastAsia="en-AU"/>
              </w:rPr>
              <w:t xml:space="preserve"> elements and features </w:t>
            </w:r>
            <w:r w:rsidR="00FB5F5A">
              <w:rPr>
                <w:rFonts w:eastAsia="Times New Roman" w:cs="Segoe UI"/>
                <w:lang w:eastAsia="en-AU"/>
              </w:rPr>
              <w:t>for review</w:t>
            </w:r>
            <w:r w:rsidR="00187A88">
              <w:rPr>
                <w:rFonts w:eastAsia="Times New Roman" w:cs="Segoe UI"/>
                <w:lang w:eastAsia="en-AU"/>
              </w:rPr>
              <w:t>.</w:t>
            </w:r>
          </w:p>
          <w:p w14:paraId="470ACA40" w14:textId="53F6065A" w:rsidR="008D3CA9" w:rsidRPr="001F07A3" w:rsidRDefault="00187A88" w:rsidP="008505D7">
            <w:pPr>
              <w:pStyle w:val="ListParagraph"/>
              <w:numPr>
                <w:ilvl w:val="0"/>
                <w:numId w:val="129"/>
              </w:numPr>
              <w:spacing w:after="160" w:line="259" w:lineRule="auto"/>
              <w:rPr>
                <w:rFonts w:eastAsia="Times New Roman" w:cs="Segoe UI"/>
                <w:lang w:eastAsia="en-AU"/>
              </w:rPr>
            </w:pPr>
            <w:r w:rsidRPr="001F07A3">
              <w:rPr>
                <w:rFonts w:eastAsia="Times New Roman" w:cs="Segoe UI"/>
                <w:lang w:eastAsia="en-AU"/>
              </w:rPr>
              <w:t xml:space="preserve">Have a set </w:t>
            </w:r>
            <w:r w:rsidR="00FB5F5A" w:rsidRPr="001F07A3">
              <w:rPr>
                <w:rFonts w:eastAsia="Times New Roman" w:cs="Segoe UI"/>
                <w:lang w:eastAsia="en-AU"/>
              </w:rPr>
              <w:t>time period for the reviews to be carried out (</w:t>
            </w:r>
            <w:proofErr w:type="gramStart"/>
            <w:r w:rsidR="00067177">
              <w:rPr>
                <w:rFonts w:eastAsia="Times New Roman" w:cs="Segoe UI"/>
                <w:lang w:eastAsia="en-AU"/>
              </w:rPr>
              <w:t>e.g.</w:t>
            </w:r>
            <w:proofErr w:type="gramEnd"/>
            <w:r w:rsidR="000F2FB0" w:rsidRPr="001F07A3">
              <w:rPr>
                <w:rFonts w:eastAsia="Times New Roman" w:cs="Segoe UI"/>
                <w:lang w:eastAsia="en-AU"/>
              </w:rPr>
              <w:t xml:space="preserve"> </w:t>
            </w:r>
            <w:r w:rsidR="00FF3225" w:rsidRPr="001F07A3">
              <w:rPr>
                <w:rFonts w:eastAsia="Times New Roman" w:cs="Segoe UI"/>
                <w:lang w:eastAsia="en-AU"/>
              </w:rPr>
              <w:t>12 months for the review of each topic or set of topics</w:t>
            </w:r>
            <w:r w:rsidR="001F07A3" w:rsidRPr="001F07A3">
              <w:rPr>
                <w:rFonts w:eastAsia="Times New Roman" w:cs="Segoe UI"/>
                <w:lang w:eastAsia="en-AU"/>
              </w:rPr>
              <w:t>)</w:t>
            </w:r>
          </w:p>
          <w:p w14:paraId="4F303B4B" w14:textId="16A74800" w:rsidR="002926C5" w:rsidRPr="0092001B" w:rsidRDefault="0092001B" w:rsidP="0092001B">
            <w:pPr>
              <w:pStyle w:val="ListParagraph"/>
              <w:numPr>
                <w:ilvl w:val="0"/>
                <w:numId w:val="129"/>
              </w:numPr>
              <w:spacing w:line="259" w:lineRule="auto"/>
              <w:rPr>
                <w:rFonts w:eastAsia="Times New Roman" w:cs="Segoe UI"/>
                <w:lang w:eastAsia="en-AU"/>
              </w:rPr>
            </w:pPr>
            <w:r w:rsidRPr="00F876B2">
              <w:rPr>
                <w:rFonts w:eastAsia="Times New Roman" w:cs="Segoe UI"/>
                <w:lang w:eastAsia="en-AU"/>
              </w:rPr>
              <w:t>Include guidance</w:t>
            </w:r>
            <w:r w:rsidRPr="0092001B">
              <w:rPr>
                <w:rFonts w:eastAsia="Times New Roman" w:cs="Segoe UI"/>
                <w:lang w:eastAsia="en-AU"/>
              </w:rPr>
              <w:t xml:space="preserve"> such as the PBAC guidelines. Consideration should be given to the development of the guidance as ‘living guidelines’, which may be continuously updated with the evolution of new technologies and methodologies.</w:t>
            </w:r>
          </w:p>
        </w:tc>
      </w:tr>
    </w:tbl>
    <w:p w14:paraId="501EE70E" w14:textId="77777777" w:rsidR="00EF73AA" w:rsidRPr="00F05F8B" w:rsidRDefault="00EF73AA" w:rsidP="008C10BB">
      <w:pPr>
        <w:pStyle w:val="Heading2"/>
        <w:spacing w:line="259" w:lineRule="auto"/>
      </w:pPr>
      <w:bookmarkStart w:id="254" w:name="_Capacity_and_capability"/>
      <w:bookmarkStart w:id="255" w:name="_Ref155963785"/>
      <w:bookmarkStart w:id="256" w:name="_Toc157029135"/>
      <w:bookmarkStart w:id="257" w:name="_Toc157029504"/>
      <w:bookmarkStart w:id="258" w:name="_Toc157030196"/>
      <w:bookmarkEnd w:id="254"/>
      <w:r w:rsidRPr="00F05F8B">
        <w:lastRenderedPageBreak/>
        <w:t>Capacity and capability in the HTA systems</w:t>
      </w:r>
      <w:bookmarkEnd w:id="255"/>
      <w:bookmarkEnd w:id="256"/>
      <w:bookmarkEnd w:id="257"/>
      <w:bookmarkEnd w:id="258"/>
    </w:p>
    <w:p w14:paraId="1EC09D4D" w14:textId="659AAEE1" w:rsidR="00F24F60" w:rsidRDefault="00F05F8B" w:rsidP="00D54018">
      <w:pPr>
        <w:pStyle w:val="Heading3"/>
      </w:pPr>
      <w:bookmarkStart w:id="259" w:name="_Ref155963790"/>
      <w:bookmarkStart w:id="260" w:name="_Toc157029136"/>
      <w:r w:rsidRPr="00E9368B">
        <w:t>Introduction and current state</w:t>
      </w:r>
      <w:bookmarkEnd w:id="259"/>
      <w:bookmarkEnd w:id="260"/>
    </w:p>
    <w:p w14:paraId="7432B903" w14:textId="2841ED60" w:rsidR="00DC1DE9" w:rsidRDefault="00642F02" w:rsidP="005862D2">
      <w:r>
        <w:t xml:space="preserve">There </w:t>
      </w:r>
      <w:r w:rsidR="00F83930">
        <w:t xml:space="preserve">are currently several emerging </w:t>
      </w:r>
      <w:r w:rsidR="00762FD4">
        <w:t>areas that are cha</w:t>
      </w:r>
      <w:r w:rsidR="00DC1DE9">
        <w:t>llenging the existing HTA workforce</w:t>
      </w:r>
      <w:r w:rsidR="007C7C88">
        <w:t xml:space="preserve"> </w:t>
      </w:r>
      <w:r w:rsidR="009F7637">
        <w:t>in the healthcare sector</w:t>
      </w:r>
      <w:r w:rsidR="00DC1DE9">
        <w:t>. These include:</w:t>
      </w:r>
    </w:p>
    <w:p w14:paraId="4002CF2B" w14:textId="51E40E49" w:rsidR="00762FD4" w:rsidRDefault="00787DB4" w:rsidP="008505D7">
      <w:pPr>
        <w:pStyle w:val="ListParagraph"/>
        <w:numPr>
          <w:ilvl w:val="0"/>
          <w:numId w:val="43"/>
        </w:numPr>
      </w:pPr>
      <w:r>
        <w:t>i</w:t>
      </w:r>
      <w:r w:rsidR="006F3F98">
        <w:t>ncreasing numbers of health technologies being marketed</w:t>
      </w:r>
      <w:r w:rsidR="0072357A">
        <w:t xml:space="preserve"> each </w:t>
      </w:r>
      <w:proofErr w:type="gramStart"/>
      <w:r w:rsidR="0072357A">
        <w:t>year</w:t>
      </w:r>
      <w:proofErr w:type="gramEnd"/>
    </w:p>
    <w:p w14:paraId="5BC171B7" w14:textId="6B7B9EDA" w:rsidR="006F3F98" w:rsidRDefault="00787DB4" w:rsidP="008505D7">
      <w:pPr>
        <w:pStyle w:val="ListParagraph"/>
        <w:numPr>
          <w:ilvl w:val="0"/>
          <w:numId w:val="43"/>
        </w:numPr>
      </w:pPr>
      <w:r>
        <w:t>g</w:t>
      </w:r>
      <w:r w:rsidR="00433318">
        <w:t xml:space="preserve">reater challenges </w:t>
      </w:r>
      <w:r w:rsidR="00106D78">
        <w:t xml:space="preserve">in assessing them arising from increased complexity and a lower quality evidence </w:t>
      </w:r>
      <w:proofErr w:type="gramStart"/>
      <w:r w:rsidR="00106D78">
        <w:t>base</w:t>
      </w:r>
      <w:proofErr w:type="gramEnd"/>
    </w:p>
    <w:p w14:paraId="490167E0" w14:textId="1336453C" w:rsidR="00106D78" w:rsidRDefault="007C7C88" w:rsidP="008505D7">
      <w:pPr>
        <w:pStyle w:val="ListParagraph"/>
        <w:numPr>
          <w:ilvl w:val="0"/>
          <w:numId w:val="43"/>
        </w:numPr>
      </w:pPr>
      <w:r>
        <w:t xml:space="preserve">greater need for evidence development after health technologies </w:t>
      </w:r>
      <w:r w:rsidR="009F7637">
        <w:t xml:space="preserve">have been </w:t>
      </w:r>
      <w:proofErr w:type="gramStart"/>
      <w:r w:rsidR="009F7637">
        <w:t>funded</w:t>
      </w:r>
      <w:proofErr w:type="gramEnd"/>
    </w:p>
    <w:p w14:paraId="5D6739F6" w14:textId="043C4768" w:rsidR="00DC1DE9" w:rsidRDefault="009F7637" w:rsidP="008505D7">
      <w:pPr>
        <w:pStyle w:val="ListParagraph"/>
        <w:numPr>
          <w:ilvl w:val="0"/>
          <w:numId w:val="43"/>
        </w:numPr>
      </w:pPr>
      <w:r>
        <w:t xml:space="preserve">increased expectation from patients, consumers, </w:t>
      </w:r>
      <w:proofErr w:type="gramStart"/>
      <w:r>
        <w:t>clinicians</w:t>
      </w:r>
      <w:proofErr w:type="gramEnd"/>
      <w:r>
        <w:t xml:space="preserve"> and other members of the community to be </w:t>
      </w:r>
      <w:r w:rsidR="001E08FC">
        <w:t>informed and involved in decision</w:t>
      </w:r>
      <w:r w:rsidR="007640E7">
        <w:t>-</w:t>
      </w:r>
      <w:r w:rsidR="001E08FC">
        <w:t xml:space="preserve">making. </w:t>
      </w:r>
    </w:p>
    <w:p w14:paraId="1DE2DA19" w14:textId="69AD728C" w:rsidR="00F24F60" w:rsidRPr="00F24F60" w:rsidRDefault="00F24F60" w:rsidP="00F24F60">
      <w:pPr>
        <w:pStyle w:val="Heading4"/>
      </w:pPr>
      <w:r>
        <w:t>International work</w:t>
      </w:r>
      <w:r w:rsidR="00B07E9D">
        <w:t>-</w:t>
      </w:r>
      <w:r>
        <w:t>sharing</w:t>
      </w:r>
      <w:r w:rsidR="00B3123C">
        <w:fldChar w:fldCharType="begin"/>
      </w:r>
      <w:r w:rsidR="00B3123C">
        <w:instrText xml:space="preserve"> XE "</w:instrText>
      </w:r>
      <w:r w:rsidR="00B3123C" w:rsidRPr="00130E1F">
        <w:instrText>work-sharing</w:instrText>
      </w:r>
      <w:r w:rsidR="00B3123C">
        <w:instrText xml:space="preserve">" \b </w:instrText>
      </w:r>
      <w:r w:rsidR="00B3123C">
        <w:fldChar w:fldCharType="end"/>
      </w:r>
    </w:p>
    <w:p w14:paraId="56B37807" w14:textId="2DBC58F0" w:rsidR="005C0EC4" w:rsidRDefault="005C0EC4" w:rsidP="00931660">
      <w:r>
        <w:t>International work</w:t>
      </w:r>
      <w:r w:rsidR="00B07E9D">
        <w:t>-</w:t>
      </w:r>
      <w:r>
        <w:t>sharing</w:t>
      </w:r>
      <w:r w:rsidR="00B3123C">
        <w:fldChar w:fldCharType="begin"/>
      </w:r>
      <w:r w:rsidR="00B3123C">
        <w:instrText xml:space="preserve"> XE "</w:instrText>
      </w:r>
      <w:r w:rsidR="00B3123C" w:rsidRPr="00130E1F">
        <w:instrText>work-sharing</w:instrText>
      </w:r>
      <w:r w:rsidR="00B3123C">
        <w:instrText xml:space="preserve">" \b </w:instrText>
      </w:r>
      <w:r w:rsidR="00B3123C">
        <w:fldChar w:fldCharType="end"/>
      </w:r>
      <w:r>
        <w:t xml:space="preserve"> is one area </w:t>
      </w:r>
      <w:r w:rsidR="00426731">
        <w:t xml:space="preserve">that can increase the capacity </w:t>
      </w:r>
      <w:r w:rsidR="002E730F">
        <w:t>and capability</w:t>
      </w:r>
      <w:r w:rsidR="00B907F0">
        <w:fldChar w:fldCharType="begin"/>
      </w:r>
      <w:r w:rsidR="00B907F0">
        <w:instrText xml:space="preserve"> XE "</w:instrText>
      </w:r>
      <w:r w:rsidR="00B907F0" w:rsidRPr="007E3BCB">
        <w:instrText>capacity and capability</w:instrText>
      </w:r>
      <w:r w:rsidR="00B907F0">
        <w:instrText xml:space="preserve">" </w:instrText>
      </w:r>
      <w:r w:rsidR="00B907F0">
        <w:fldChar w:fldCharType="end"/>
      </w:r>
      <w:r w:rsidR="002E730F">
        <w:t xml:space="preserve"> </w:t>
      </w:r>
      <w:r w:rsidR="00426731">
        <w:t xml:space="preserve">of </w:t>
      </w:r>
      <w:r w:rsidR="006F6AD5">
        <w:t xml:space="preserve">the </w:t>
      </w:r>
      <w:r w:rsidR="002E730F">
        <w:t xml:space="preserve">HTA workforce. </w:t>
      </w:r>
    </w:p>
    <w:p w14:paraId="3FBFBADB" w14:textId="30E5D931" w:rsidR="00F24F60" w:rsidRPr="007F5B51" w:rsidRDefault="00F24F60" w:rsidP="00931660">
      <w:r w:rsidRPr="007F5B51">
        <w:t xml:space="preserve">In May 2021, the Department signed a Memorandum of Understanding with the Singapore Ministry of Health in the field of health cooperation, which will facilitate deeper exchanges of information, </w:t>
      </w:r>
      <w:proofErr w:type="gramStart"/>
      <w:r w:rsidRPr="007F5B51">
        <w:t>knowledge</w:t>
      </w:r>
      <w:proofErr w:type="gramEnd"/>
      <w:r w:rsidRPr="007F5B51">
        <w:t xml:space="preserve"> and expertise in health technology assessment. </w:t>
      </w:r>
    </w:p>
    <w:p w14:paraId="39703648" w14:textId="7F1205CE" w:rsidR="00F24F60" w:rsidRPr="007F5B51" w:rsidRDefault="00F24F60" w:rsidP="00931660">
      <w:r w:rsidRPr="007F5B51">
        <w:t>Further, the Minister for Health and Aged Care</w:t>
      </w:r>
      <w:r w:rsidR="00750378">
        <w:t>, the Hon Mark Butler MP</w:t>
      </w:r>
      <w:r w:rsidR="00BE370B">
        <w:t>,</w:t>
      </w:r>
      <w:r w:rsidRPr="007F5B51">
        <w:t xml:space="preserve"> has recently approved the </w:t>
      </w:r>
      <w:r w:rsidR="006459AA">
        <w:t>D</w:t>
      </w:r>
      <w:r w:rsidRPr="007F5B51">
        <w:t xml:space="preserve">epartment, together with the PBAC and MSAC, to </w:t>
      </w:r>
      <w:proofErr w:type="gramStart"/>
      <w:r w:rsidRPr="007F5B51">
        <w:t>enter into</w:t>
      </w:r>
      <w:proofErr w:type="gramEnd"/>
      <w:r w:rsidRPr="007F5B51">
        <w:t xml:space="preserve"> a collaborati</w:t>
      </w:r>
      <w:r w:rsidR="00772BE3">
        <w:t>ve</w:t>
      </w:r>
      <w:r w:rsidRPr="007F5B51">
        <w:t xml:space="preserve"> arrangement with like-minded HTA agencies in the </w:t>
      </w:r>
      <w:r w:rsidR="00BB0981">
        <w:t>UK</w:t>
      </w:r>
      <w:r w:rsidRPr="007F5B51">
        <w:t xml:space="preserve"> and Canada</w:t>
      </w:r>
      <w:r>
        <w:t>. Additional Canadian and New Zealand HTA agencies joined the 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t xml:space="preserve"> in September 2023.</w:t>
      </w:r>
      <w:r w:rsidRPr="007F5B51">
        <w:rPr>
          <w:rStyle w:val="FootnoteReference"/>
          <w:rFonts w:ascii="Arial" w:hAnsi="Arial" w:cs="Arial"/>
        </w:rPr>
        <w:footnoteReference w:id="20"/>
      </w:r>
      <w:r w:rsidRPr="007F5B51">
        <w:t xml:space="preserve"> Th</w:t>
      </w:r>
      <w:r w:rsidR="00C56EDE">
        <w:t>is</w:t>
      </w:r>
      <w:r w:rsidRPr="007F5B51">
        <w:t xml:space="preserve"> arrangement will provide a framework for close and collaborative ways of working to support strategic objectives, which include identify</w:t>
      </w:r>
      <w:r w:rsidR="00C57F81">
        <w:t>ing</w:t>
      </w:r>
      <w:r w:rsidRPr="007F5B51">
        <w:t xml:space="preserve"> and progress</w:t>
      </w:r>
      <w:r w:rsidR="00C57F81">
        <w:t>ing</w:t>
      </w:r>
      <w:r w:rsidRPr="007F5B51">
        <w:t xml:space="preserve"> opportunities to improve HTA and regulatory collaboration. </w:t>
      </w:r>
    </w:p>
    <w:p w14:paraId="3D4A4550" w14:textId="02BA950F" w:rsidR="00DA78D9" w:rsidRPr="007F5B51" w:rsidRDefault="00F91137" w:rsidP="00931660">
      <w:r>
        <w:t xml:space="preserve">The TGA </w:t>
      </w:r>
      <w:r w:rsidR="001154A1">
        <w:t xml:space="preserve">utilises </w:t>
      </w:r>
      <w:r w:rsidR="001154A1" w:rsidRPr="001154A1">
        <w:t xml:space="preserve">overseas evaluations from </w:t>
      </w:r>
      <w:r w:rsidR="005D1D0E">
        <w:t>compar</w:t>
      </w:r>
      <w:r w:rsidR="004C38E7">
        <w:t>able jurisdictions through the following:</w:t>
      </w:r>
    </w:p>
    <w:p w14:paraId="0F582EB8" w14:textId="113A2382" w:rsidR="004C38E7" w:rsidRPr="007F5B51" w:rsidRDefault="0072714A" w:rsidP="008505D7">
      <w:pPr>
        <w:pStyle w:val="ListParagraph"/>
        <w:numPr>
          <w:ilvl w:val="0"/>
          <w:numId w:val="139"/>
        </w:numPr>
      </w:pPr>
      <w:r>
        <w:t>c</w:t>
      </w:r>
      <w:r w:rsidR="006C2032">
        <w:t>omparable overseas regulator</w:t>
      </w:r>
      <w:r w:rsidR="003D4B21">
        <w:t xml:space="preserve"> </w:t>
      </w:r>
      <w:r w:rsidR="00BD543A">
        <w:t>(COR)</w:t>
      </w:r>
      <w:r w:rsidR="003D4B21">
        <w:t xml:space="preserve"> report-based process</w:t>
      </w:r>
    </w:p>
    <w:p w14:paraId="3ADD79DB" w14:textId="479AD3B7" w:rsidR="003D4B21" w:rsidRPr="007F5B51" w:rsidRDefault="00E425BD" w:rsidP="008505D7">
      <w:pPr>
        <w:pStyle w:val="ListParagraph"/>
        <w:numPr>
          <w:ilvl w:val="0"/>
          <w:numId w:val="139"/>
        </w:numPr>
      </w:pPr>
      <w:r w:rsidRPr="00E425BD">
        <w:t>Access Consortium</w:t>
      </w:r>
      <w:r w:rsidR="00D61A53">
        <w:t>, and</w:t>
      </w:r>
    </w:p>
    <w:p w14:paraId="0840F9E7" w14:textId="52709487" w:rsidR="00F24F60" w:rsidRDefault="001C6EFD" w:rsidP="008505D7">
      <w:pPr>
        <w:pStyle w:val="ListParagraph"/>
        <w:numPr>
          <w:ilvl w:val="0"/>
          <w:numId w:val="139"/>
        </w:numPr>
      </w:pPr>
      <w:r>
        <w:t>Project Orbis</w:t>
      </w:r>
      <w:r w:rsidR="005862D2">
        <w:t>.</w:t>
      </w:r>
    </w:p>
    <w:p w14:paraId="74E6C9F8" w14:textId="1100B452" w:rsidR="000C6BAE" w:rsidRDefault="00372CC0" w:rsidP="00A4360C">
      <w:r w:rsidRPr="00372CC0">
        <w:t>The TGA makes use of assessments from comparable overseas regulators</w:t>
      </w:r>
      <w:r w:rsidR="008A73D5">
        <w:t>,</w:t>
      </w:r>
      <w:r w:rsidRPr="00372CC0">
        <w:t xml:space="preserve"> where possible, in the regulation of prescription medicines.</w:t>
      </w:r>
      <w:r w:rsidR="00695B8B" w:rsidRPr="00695B8B">
        <w:t xml:space="preserve"> </w:t>
      </w:r>
      <w:r w:rsidR="00695B8B">
        <w:t xml:space="preserve">Specific </w:t>
      </w:r>
      <w:r w:rsidR="00695B8B" w:rsidRPr="00695B8B">
        <w:t>criteria</w:t>
      </w:r>
      <w:r w:rsidR="0059153F">
        <w:t xml:space="preserve"> which apply to the</w:t>
      </w:r>
      <w:r w:rsidR="000E437C">
        <w:t xml:space="preserve"> </w:t>
      </w:r>
      <w:r w:rsidR="00BD543A">
        <w:t>COR</w:t>
      </w:r>
      <w:r w:rsidR="007B3B5C">
        <w:t xml:space="preserve"> report-based process</w:t>
      </w:r>
      <w:r w:rsidR="00695B8B">
        <w:t xml:space="preserve"> are used to</w:t>
      </w:r>
      <w:r w:rsidR="00695B8B" w:rsidRPr="00695B8B">
        <w:t xml:space="preserve"> help identify opportunities for enhanced </w:t>
      </w:r>
      <w:r w:rsidR="00695B8B" w:rsidRPr="00695B8B">
        <w:lastRenderedPageBreak/>
        <w:t>international collaboration</w:t>
      </w:r>
      <w:r w:rsidR="000732FF">
        <w:fldChar w:fldCharType="begin"/>
      </w:r>
      <w:r w:rsidR="000732FF">
        <w:instrText xml:space="preserve"> XE "</w:instrText>
      </w:r>
      <w:r w:rsidR="000732FF" w:rsidRPr="00DD1576">
        <w:rPr>
          <w:rFonts w:eastAsia="Times New Roman" w:cs="Segoe UI"/>
          <w:color w:val="222A35"/>
          <w:kern w:val="24"/>
          <w:sz w:val="20"/>
          <w:szCs w:val="20"/>
          <w:lang w:eastAsia="en-AU"/>
        </w:rPr>
        <w:instrText>international collaboration</w:instrText>
      </w:r>
      <w:r w:rsidR="000732FF">
        <w:instrText xml:space="preserve">" \b </w:instrText>
      </w:r>
      <w:r w:rsidR="000732FF">
        <w:fldChar w:fldCharType="end"/>
      </w:r>
      <w:r w:rsidR="00695B8B" w:rsidRPr="00695B8B">
        <w:t xml:space="preserve"> in the regulation of prescription medicines.</w:t>
      </w:r>
      <w:r w:rsidR="00BD543A" w:rsidRPr="00BD543A">
        <w:t xml:space="preserve"> The COR report-based process is open to prescription medicine registration applications, where the medicine has received full overseas marketing approval following a </w:t>
      </w:r>
      <w:r w:rsidR="00BD543A" w:rsidRPr="003A41C8">
        <w:rPr>
          <w:i/>
          <w:iCs/>
        </w:rPr>
        <w:t>de novo</w:t>
      </w:r>
      <w:r w:rsidR="00BD543A" w:rsidRPr="00BD543A">
        <w:t xml:space="preserve"> evaluation.</w:t>
      </w:r>
      <w:r w:rsidR="00151ED9" w:rsidRPr="00151ED9">
        <w:t xml:space="preserve"> </w:t>
      </w:r>
      <w:r w:rsidR="00151ED9">
        <w:t>The</w:t>
      </w:r>
      <w:r w:rsidR="00151ED9" w:rsidRPr="00151ED9">
        <w:t xml:space="preserve"> process can also be used for variations to </w:t>
      </w:r>
      <w:proofErr w:type="gramStart"/>
      <w:r w:rsidR="00151ED9" w:rsidRPr="00151ED9">
        <w:t>existing</w:t>
      </w:r>
      <w:proofErr w:type="gramEnd"/>
      <w:r w:rsidR="00151ED9" w:rsidRPr="00151ED9">
        <w:t xml:space="preserve"> medicines, including extension of indications or new dosage forms and changes to product information documents that would normally require evaluation of clinical data.</w:t>
      </w:r>
    </w:p>
    <w:p w14:paraId="38E485DB" w14:textId="569971A5" w:rsidR="0030444B" w:rsidRPr="00E1705F" w:rsidRDefault="00295412" w:rsidP="00117D66">
      <w:r w:rsidRPr="00E1705F">
        <w:t xml:space="preserve">The Access Consortium is a coalition of regulatory authorities </w:t>
      </w:r>
      <w:r w:rsidR="00E02C81" w:rsidRPr="00E1705F">
        <w:t xml:space="preserve">including </w:t>
      </w:r>
      <w:r w:rsidR="009E61DB" w:rsidRPr="00E1705F">
        <w:t xml:space="preserve">the TGA, Health Canada, Health Sciences Authority of Singapore, </w:t>
      </w:r>
      <w:proofErr w:type="spellStart"/>
      <w:r w:rsidR="009E61DB" w:rsidRPr="00E1705F">
        <w:t>Swissmedic</w:t>
      </w:r>
      <w:proofErr w:type="spellEnd"/>
      <w:r w:rsidR="009E61DB" w:rsidRPr="00E1705F">
        <w:t xml:space="preserve"> and the UK's Medicines and Healthcare products Regulatory Agency,</w:t>
      </w:r>
      <w:r w:rsidRPr="00E1705F">
        <w:t xml:space="preserve"> that work together to promote greater regulatory 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rsidRPr="00E1705F">
        <w:t xml:space="preserve"> and alignment of regulatory requirements</w:t>
      </w:r>
      <w:r w:rsidR="00356626">
        <w:t>.</w:t>
      </w:r>
      <w:r w:rsidR="00BE3025">
        <w:rPr>
          <w:rStyle w:val="FootnoteReference"/>
        </w:rPr>
        <w:footnoteReference w:id="21"/>
      </w:r>
      <w:r w:rsidR="0030444B" w:rsidRPr="00E1705F">
        <w:t xml:space="preserve"> </w:t>
      </w:r>
      <w:r w:rsidR="002042DC">
        <w:t>Its</w:t>
      </w:r>
      <w:r w:rsidR="0030444B" w:rsidRPr="00E1705F">
        <w:t xml:space="preserve"> goal is to maximise international cooperation, reduce duplication, and increase each agency's capacity to ensure consumers have timely access to high quality, safe and effective therapeutic products.</w:t>
      </w:r>
    </w:p>
    <w:p w14:paraId="31F0046B" w14:textId="272ED901" w:rsidR="0030444B" w:rsidRPr="0030444B" w:rsidRDefault="0030444B" w:rsidP="00117D66">
      <w:pPr>
        <w:spacing w:after="0"/>
      </w:pPr>
      <w:r w:rsidRPr="0030444B">
        <w:t xml:space="preserve">The </w:t>
      </w:r>
      <w:r w:rsidR="00F872AB">
        <w:t>c</w:t>
      </w:r>
      <w:r w:rsidRPr="0030444B">
        <w:t>onsortium explores opportunities for information and work-sharing</w:t>
      </w:r>
      <w:r w:rsidR="00B3123C">
        <w:fldChar w:fldCharType="begin"/>
      </w:r>
      <w:r w:rsidR="00B3123C">
        <w:instrText xml:space="preserve"> XE "</w:instrText>
      </w:r>
      <w:r w:rsidR="00B3123C" w:rsidRPr="00130E1F">
        <w:instrText>work-sharing</w:instrText>
      </w:r>
      <w:r w:rsidR="00B3123C">
        <w:instrText xml:space="preserve">" \b </w:instrText>
      </w:r>
      <w:r w:rsidR="00B3123C">
        <w:fldChar w:fldCharType="end"/>
      </w:r>
      <w:r w:rsidRPr="0030444B">
        <w:t xml:space="preserve"> in areas including:</w:t>
      </w:r>
    </w:p>
    <w:p w14:paraId="5FE638E3" w14:textId="15752C19" w:rsidR="0030444B" w:rsidRPr="0030444B" w:rsidRDefault="0030444B" w:rsidP="008505D7">
      <w:pPr>
        <w:pStyle w:val="ListParagraph"/>
        <w:numPr>
          <w:ilvl w:val="0"/>
          <w:numId w:val="140"/>
        </w:numPr>
        <w:shd w:val="clear" w:color="auto" w:fill="FFFFFF"/>
        <w:spacing w:before="100" w:beforeAutospacing="1" w:after="100" w:afterAutospacing="1"/>
      </w:pPr>
      <w:r w:rsidRPr="0030444B">
        <w:t>the registration of medicines containing new active substances (including COVID-19 vaccines</w:t>
      </w:r>
      <w:r w:rsidR="004D283C">
        <w:fldChar w:fldCharType="begin"/>
      </w:r>
      <w:r w:rsidR="004D283C">
        <w:instrText xml:space="preserve"> XE "</w:instrText>
      </w:r>
      <w:r w:rsidR="004D283C" w:rsidRPr="0001709C">
        <w:instrText>vaccines</w:instrText>
      </w:r>
      <w:r w:rsidR="004D283C">
        <w:instrText xml:space="preserve">" \b </w:instrText>
      </w:r>
      <w:r w:rsidR="004D283C">
        <w:fldChar w:fldCharType="end"/>
      </w:r>
      <w:r w:rsidRPr="0030444B">
        <w:t xml:space="preserve"> and therapeutics)</w:t>
      </w:r>
    </w:p>
    <w:p w14:paraId="1E214943" w14:textId="77777777" w:rsidR="0030444B" w:rsidRPr="0030444B" w:rsidRDefault="0030444B" w:rsidP="008505D7">
      <w:pPr>
        <w:pStyle w:val="ListParagraph"/>
        <w:numPr>
          <w:ilvl w:val="0"/>
          <w:numId w:val="140"/>
        </w:numPr>
        <w:shd w:val="clear" w:color="auto" w:fill="FFFFFF"/>
        <w:spacing w:before="100" w:beforeAutospacing="1" w:after="100" w:afterAutospacing="1"/>
      </w:pPr>
      <w:r w:rsidRPr="0030444B">
        <w:t>the registration of generic and biosimilar medicines</w:t>
      </w:r>
    </w:p>
    <w:p w14:paraId="7E045F49" w14:textId="77777777" w:rsidR="0030444B" w:rsidRPr="0030444B" w:rsidRDefault="0030444B" w:rsidP="008505D7">
      <w:pPr>
        <w:pStyle w:val="ListParagraph"/>
        <w:numPr>
          <w:ilvl w:val="0"/>
          <w:numId w:val="140"/>
        </w:numPr>
        <w:shd w:val="clear" w:color="auto" w:fill="FFFFFF"/>
        <w:spacing w:before="100" w:beforeAutospacing="1" w:after="100" w:afterAutospacing="1"/>
      </w:pPr>
      <w:r w:rsidRPr="0030444B">
        <w:t>post-market medicine safety information</w:t>
      </w:r>
    </w:p>
    <w:p w14:paraId="08C86C75" w14:textId="6B6914AF" w:rsidR="0030444B" w:rsidRPr="0030444B" w:rsidRDefault="0030444B" w:rsidP="008505D7">
      <w:pPr>
        <w:pStyle w:val="ListParagraph"/>
        <w:numPr>
          <w:ilvl w:val="0"/>
          <w:numId w:val="140"/>
        </w:numPr>
        <w:shd w:val="clear" w:color="auto" w:fill="FFFFFF"/>
        <w:spacing w:before="100" w:beforeAutospacing="1" w:after="100" w:afterAutospacing="1"/>
      </w:pPr>
      <w:r w:rsidRPr="0030444B">
        <w:t>development of technical guidelines for industry</w:t>
      </w:r>
      <w:r w:rsidR="002F456D">
        <w:t>, and</w:t>
      </w:r>
    </w:p>
    <w:p w14:paraId="7413A688" w14:textId="202AC9EB" w:rsidR="00295412" w:rsidRPr="00AB3E4A" w:rsidRDefault="0030444B" w:rsidP="008505D7">
      <w:pPr>
        <w:pStyle w:val="ListParagraph"/>
        <w:numPr>
          <w:ilvl w:val="0"/>
          <w:numId w:val="140"/>
        </w:numPr>
        <w:shd w:val="clear" w:color="auto" w:fill="FFFFFF"/>
        <w:spacing w:before="100" w:beforeAutospacing="1" w:after="100" w:afterAutospacing="1"/>
      </w:pPr>
      <w:r w:rsidRPr="0030444B">
        <w:t>alignment of IT systems and architecture.</w:t>
      </w:r>
    </w:p>
    <w:p w14:paraId="5FB30042" w14:textId="25DBED7F" w:rsidR="00C31F3C" w:rsidRDefault="00C31F3C" w:rsidP="00A4360C">
      <w:r>
        <w:t xml:space="preserve">The TGA has approved </w:t>
      </w:r>
      <w:proofErr w:type="gramStart"/>
      <w:r>
        <w:t>a number of</w:t>
      </w:r>
      <w:proofErr w:type="gramEnd"/>
      <w:r>
        <w:t xml:space="preserve"> new medicines </w:t>
      </w:r>
      <w:r w:rsidR="00580FC4">
        <w:t xml:space="preserve">through the Access Consortium’s </w:t>
      </w:r>
      <w:r w:rsidR="00580FC4" w:rsidRPr="00580FC4">
        <w:t>Access New Active-Substance Work-Sharing Initiative</w:t>
      </w:r>
      <w:r w:rsidR="00580FC4">
        <w:t xml:space="preserve">. </w:t>
      </w:r>
    </w:p>
    <w:p w14:paraId="271E7016" w14:textId="1042DC40" w:rsidR="00A4360C" w:rsidRDefault="00FF4A00" w:rsidP="00A4360C">
      <w:r w:rsidRPr="00FF4A00">
        <w:t>Project Orbis</w:t>
      </w:r>
      <w:r>
        <w:t>, an initiative of the</w:t>
      </w:r>
      <w:r w:rsidRPr="00FF4A00">
        <w:t xml:space="preserve"> FDA's Oncology </w:t>
      </w:r>
      <w:proofErr w:type="spellStart"/>
      <w:r w:rsidRPr="00FF4A00">
        <w:t>Center</w:t>
      </w:r>
      <w:proofErr w:type="spellEnd"/>
      <w:r w:rsidRPr="00FF4A00">
        <w:t xml:space="preserve"> of Excellence</w:t>
      </w:r>
      <w:r w:rsidR="00952E65">
        <w:t>,</w:t>
      </w:r>
      <w:r>
        <w:t xml:space="preserve"> </w:t>
      </w:r>
      <w:r w:rsidRPr="00FF4A00">
        <w:t>provides a framework for the collaborative review of promising new cancer treatments among international regulatory partners</w:t>
      </w:r>
      <w:r w:rsidR="00927491">
        <w:t xml:space="preserve"> (Project Orbis partners)</w:t>
      </w:r>
      <w:r w:rsidR="0013328D">
        <w:t>.</w:t>
      </w:r>
      <w:r w:rsidR="00286F75">
        <w:rPr>
          <w:rStyle w:val="FootnoteReference"/>
        </w:rPr>
        <w:footnoteReference w:id="22"/>
      </w:r>
      <w:r w:rsidRPr="00FF4A00">
        <w:t xml:space="preserve"> It aims to give patients faster access to promising cancer treatments across the globe.</w:t>
      </w:r>
      <w:r w:rsidR="007F7561">
        <w:t xml:space="preserve"> </w:t>
      </w:r>
      <w:r w:rsidR="007F7561" w:rsidRPr="007F7561">
        <w:t>The FDA coordinates the selection of applications for Project Orbis in collaboration</w:t>
      </w:r>
      <w:r w:rsidR="00306661">
        <w:fldChar w:fldCharType="begin"/>
      </w:r>
      <w:r w:rsidR="00306661">
        <w:instrText xml:space="preserve"> XE "</w:instrText>
      </w:r>
      <w:r w:rsidR="00306661" w:rsidRPr="004A2916">
        <w:instrText>collaboration</w:instrText>
      </w:r>
      <w:r w:rsidR="00306661">
        <w:instrText xml:space="preserve">" </w:instrText>
      </w:r>
      <w:r w:rsidR="00306661">
        <w:fldChar w:fldCharType="end"/>
      </w:r>
      <w:r w:rsidR="007F7561" w:rsidRPr="007F7561">
        <w:t xml:space="preserve"> with the US applicant.</w:t>
      </w:r>
      <w:r w:rsidR="005549A3" w:rsidRPr="005549A3">
        <w:rPr>
          <w:rFonts w:cs="Segoe UI"/>
          <w:color w:val="313131"/>
          <w:shd w:val="clear" w:color="auto" w:fill="FFFFFF"/>
        </w:rPr>
        <w:t xml:space="preserve"> </w:t>
      </w:r>
      <w:r w:rsidR="005549A3">
        <w:rPr>
          <w:rFonts w:cs="Segoe UI"/>
          <w:color w:val="313131"/>
          <w:shd w:val="clear" w:color="auto" w:fill="FFFFFF"/>
        </w:rPr>
        <w:t>Once the potential Project Orbis partners are identified, the FDA will send a proposal to the Project Orbis partners to confirm their interest and availability to participate in a collaborative review process</w:t>
      </w:r>
      <w:r w:rsidR="005656DA">
        <w:rPr>
          <w:rFonts w:cs="Segoe UI"/>
          <w:color w:val="313131"/>
          <w:shd w:val="clear" w:color="auto" w:fill="FFFFFF"/>
        </w:rPr>
        <w:t>.</w:t>
      </w:r>
    </w:p>
    <w:p w14:paraId="6A823FD6" w14:textId="5E5F4759" w:rsidR="00F05F8B" w:rsidRDefault="00F05F8B" w:rsidP="007703F6">
      <w:pPr>
        <w:pStyle w:val="Heading3"/>
      </w:pPr>
      <w:bookmarkStart w:id="263" w:name="_Toc157029137"/>
      <w:r w:rsidRPr="00E9368B">
        <w:lastRenderedPageBreak/>
        <w:t>What we heard from stakeholders</w:t>
      </w:r>
      <w:bookmarkEnd w:id="263"/>
    </w:p>
    <w:p w14:paraId="774B9E33" w14:textId="569CE045" w:rsidR="00906F82" w:rsidRPr="00906F82" w:rsidRDefault="008B46F5" w:rsidP="009D14F6">
      <w:r>
        <w:t xml:space="preserve">Stakeholders expressed a sentiment that </w:t>
      </w:r>
      <w:r w:rsidR="00783B09">
        <w:t xml:space="preserve">there should be </w:t>
      </w:r>
      <w:proofErr w:type="gramStart"/>
      <w:r w:rsidR="00783B09">
        <w:t>support</w:t>
      </w:r>
      <w:proofErr w:type="gramEnd"/>
      <w:r w:rsidR="00783B09">
        <w:t xml:space="preserve"> </w:t>
      </w:r>
      <w:r w:rsidR="00C846CA">
        <w:t>to develop the</w:t>
      </w:r>
      <w:r w:rsidR="00783B09">
        <w:t xml:space="preserve"> workfor</w:t>
      </w:r>
      <w:r w:rsidR="00825200">
        <w:t>ce needed to evaluate health technologies and implement funding</w:t>
      </w:r>
      <w:r w:rsidR="00C846CA">
        <w:t xml:space="preserve"> decisions</w:t>
      </w:r>
      <w:r w:rsidR="00825200">
        <w:t xml:space="preserve">. </w:t>
      </w:r>
    </w:p>
    <w:p w14:paraId="05C1BA51" w14:textId="77777777" w:rsidR="001B037A" w:rsidRDefault="00F05F8B" w:rsidP="007703F6">
      <w:pPr>
        <w:pStyle w:val="Heading3"/>
      </w:pPr>
      <w:bookmarkStart w:id="264" w:name="_Toc157029138"/>
      <w:r>
        <w:t>I</w:t>
      </w:r>
      <w:r w:rsidRPr="00E9368B">
        <w:t>ssue</w:t>
      </w:r>
      <w:r>
        <w:t>s</w:t>
      </w:r>
      <w:bookmarkEnd w:id="264"/>
    </w:p>
    <w:p w14:paraId="10BA550F" w14:textId="0351950F" w:rsidR="00F10C65" w:rsidRPr="00B04194" w:rsidRDefault="00A3287D" w:rsidP="009138D2">
      <w:pPr>
        <w:pStyle w:val="Heading4"/>
        <w:rPr>
          <w:lang w:eastAsia="en-AU"/>
        </w:rPr>
      </w:pPr>
      <w:r>
        <w:rPr>
          <w:lang w:eastAsia="en-AU"/>
        </w:rPr>
        <w:t>Demand for w</w:t>
      </w:r>
      <w:r w:rsidR="0086219E">
        <w:rPr>
          <w:lang w:eastAsia="en-AU"/>
        </w:rPr>
        <w:t xml:space="preserve">orkforce </w:t>
      </w:r>
    </w:p>
    <w:p w14:paraId="70679F5D" w14:textId="5813D143" w:rsidR="006D6117" w:rsidRDefault="00005274" w:rsidP="006D6117">
      <w:r>
        <w:rPr>
          <w:rFonts w:cs="Segoe UI"/>
        </w:rPr>
        <w:t xml:space="preserve">The Reference Committee appreciates that there are several pressures </w:t>
      </w:r>
      <w:r w:rsidR="00F210BF">
        <w:rPr>
          <w:rFonts w:cs="Segoe UI"/>
        </w:rPr>
        <w:t>on HTA capacity and capability</w:t>
      </w:r>
      <w:r w:rsidR="00B907F0">
        <w:rPr>
          <w:rFonts w:cs="Segoe UI"/>
        </w:rPr>
        <w:fldChar w:fldCharType="begin"/>
      </w:r>
      <w:r w:rsidR="00B907F0">
        <w:instrText xml:space="preserve"> XE "</w:instrText>
      </w:r>
      <w:r w:rsidR="00B907F0" w:rsidRPr="007E3BCB">
        <w:instrText>capacity and capability</w:instrText>
      </w:r>
      <w:r w:rsidR="00B907F0">
        <w:instrText xml:space="preserve">" </w:instrText>
      </w:r>
      <w:r w:rsidR="00B907F0">
        <w:rPr>
          <w:rFonts w:cs="Segoe UI"/>
        </w:rPr>
        <w:fldChar w:fldCharType="end"/>
      </w:r>
      <w:r w:rsidR="00F210BF">
        <w:rPr>
          <w:rFonts w:cs="Segoe UI"/>
        </w:rPr>
        <w:t>. It also acknowledges that</w:t>
      </w:r>
      <w:r w:rsidR="003E2BC8">
        <w:rPr>
          <w:rFonts w:cs="Segoe UI"/>
        </w:rPr>
        <w:t xml:space="preserve"> many of</w:t>
      </w:r>
      <w:r w:rsidR="00D90DBB">
        <w:rPr>
          <w:rFonts w:cs="Segoe UI"/>
        </w:rPr>
        <w:t xml:space="preserve"> the </w:t>
      </w:r>
      <w:r w:rsidR="003E2BC8">
        <w:rPr>
          <w:rFonts w:cs="Segoe UI"/>
        </w:rPr>
        <w:t xml:space="preserve">options proposed in this paper </w:t>
      </w:r>
      <w:r w:rsidR="00B95219">
        <w:rPr>
          <w:rFonts w:cs="Segoe UI"/>
        </w:rPr>
        <w:t xml:space="preserve">are complex and require </w:t>
      </w:r>
      <w:r w:rsidR="0079084A">
        <w:rPr>
          <w:rFonts w:cs="Segoe UI"/>
        </w:rPr>
        <w:t>careful consideration including workshopping and analysis</w:t>
      </w:r>
      <w:r w:rsidR="00E40CAA">
        <w:rPr>
          <w:rFonts w:cs="Segoe UI"/>
        </w:rPr>
        <w:t xml:space="preserve"> </w:t>
      </w:r>
      <w:r w:rsidR="00AE1FE8">
        <w:rPr>
          <w:rFonts w:cs="Segoe UI"/>
        </w:rPr>
        <w:t xml:space="preserve">prior to implementation, </w:t>
      </w:r>
      <w:r w:rsidR="00255DC8">
        <w:rPr>
          <w:rFonts w:cs="Segoe UI"/>
        </w:rPr>
        <w:t xml:space="preserve">which will require </w:t>
      </w:r>
      <w:r w:rsidR="00304230">
        <w:rPr>
          <w:rFonts w:cs="Segoe UI"/>
        </w:rPr>
        <w:t>resourcing</w:t>
      </w:r>
      <w:r w:rsidR="00AE1FE8">
        <w:rPr>
          <w:rFonts w:cs="Segoe UI"/>
        </w:rPr>
        <w:t xml:space="preserve"> </w:t>
      </w:r>
      <w:r w:rsidR="00A3287D">
        <w:rPr>
          <w:rFonts w:cs="Segoe UI"/>
        </w:rPr>
        <w:t xml:space="preserve">by all entities involved in HTA </w:t>
      </w:r>
      <w:r w:rsidR="003D1EB8">
        <w:rPr>
          <w:rFonts w:cs="Segoe UI"/>
        </w:rPr>
        <w:t xml:space="preserve">in addition to the </w:t>
      </w:r>
      <w:r w:rsidR="007B6D37">
        <w:rPr>
          <w:rFonts w:cs="Segoe UI"/>
        </w:rPr>
        <w:t xml:space="preserve">resource required for implementation </w:t>
      </w:r>
      <w:r w:rsidR="00EE4B1A">
        <w:rPr>
          <w:rFonts w:cs="Segoe UI"/>
        </w:rPr>
        <w:t>and ongoing operation</w:t>
      </w:r>
      <w:r w:rsidR="004A7942">
        <w:rPr>
          <w:rFonts w:cs="Segoe UI"/>
        </w:rPr>
        <w:t xml:space="preserve">. </w:t>
      </w:r>
    </w:p>
    <w:p w14:paraId="40D29931" w14:textId="0D68512A" w:rsidR="00F10C65" w:rsidRDefault="007D405B" w:rsidP="009138D2">
      <w:pPr>
        <w:pStyle w:val="Heading4"/>
      </w:pPr>
      <w:r>
        <w:t>Local e</w:t>
      </w:r>
      <w:r w:rsidR="00F10C65">
        <w:t>xpert</w:t>
      </w:r>
      <w:r w:rsidR="00EC1B0F">
        <w:t xml:space="preserve">ise </w:t>
      </w:r>
      <w:r>
        <w:t xml:space="preserve">and capacity </w:t>
      </w:r>
      <w:r w:rsidR="00EC1B0F">
        <w:t>in</w:t>
      </w:r>
      <w:r>
        <w:t xml:space="preserve"> health economics and HTA</w:t>
      </w:r>
    </w:p>
    <w:p w14:paraId="46DDE888" w14:textId="0CE37947" w:rsidR="003F7092" w:rsidRPr="009D14F6" w:rsidRDefault="001A0952" w:rsidP="003F7092">
      <w:pPr>
        <w:spacing w:before="120" w:after="0"/>
        <w:rPr>
          <w:rFonts w:cs="Segoe UI"/>
        </w:rPr>
      </w:pPr>
      <w:r>
        <w:t xml:space="preserve">The </w:t>
      </w:r>
      <w:hyperlink r:id="rId205" w:history="1">
        <w:r>
          <w:rPr>
            <w:rStyle w:val="Hyperlink"/>
          </w:rPr>
          <w:t>New Frontier report</w:t>
        </w:r>
      </w:hyperlink>
      <w:r w:rsidR="008439E1">
        <w:rPr>
          <w:rFonts w:cs="Segoe UI"/>
        </w:rPr>
        <w:t xml:space="preserve"> i</w:t>
      </w:r>
      <w:r w:rsidR="00D20069" w:rsidRPr="009D14F6">
        <w:rPr>
          <w:rFonts w:cs="Segoe UI"/>
        </w:rPr>
        <w:t xml:space="preserve">dentified a </w:t>
      </w:r>
      <w:r w:rsidR="003F7092" w:rsidRPr="009D14F6">
        <w:rPr>
          <w:rFonts w:cs="Segoe UI"/>
        </w:rPr>
        <w:t xml:space="preserve">significant </w:t>
      </w:r>
      <w:r w:rsidR="00D20069" w:rsidRPr="009D14F6">
        <w:rPr>
          <w:rFonts w:cs="Segoe UI"/>
        </w:rPr>
        <w:t xml:space="preserve">need for </w:t>
      </w:r>
      <w:r w:rsidR="003F7092" w:rsidRPr="009D14F6">
        <w:rPr>
          <w:rFonts w:cs="Segoe UI"/>
        </w:rPr>
        <w:t xml:space="preserve">more health economic capacity in Australia and recommended that: </w:t>
      </w:r>
    </w:p>
    <w:p w14:paraId="2B6C858A" w14:textId="75AE9D85" w:rsidR="003F7092" w:rsidRPr="009D14F6" w:rsidRDefault="003F7092" w:rsidP="003F7092">
      <w:pPr>
        <w:spacing w:before="120" w:after="0"/>
        <w:ind w:left="720"/>
        <w:rPr>
          <w:rFonts w:cs="Segoe UI"/>
          <w:i/>
        </w:rPr>
      </w:pPr>
      <w:r w:rsidRPr="009D14F6">
        <w:rPr>
          <w:rFonts w:cs="Segoe UI"/>
          <w:i/>
        </w:rPr>
        <w:t>“</w:t>
      </w:r>
      <w:proofErr w:type="gramStart"/>
      <w:r w:rsidRPr="009D14F6">
        <w:rPr>
          <w:rFonts w:cs="Segoe UI"/>
          <w:i/>
        </w:rPr>
        <w:t>the</w:t>
      </w:r>
      <w:proofErr w:type="gramEnd"/>
      <w:r w:rsidRPr="009D14F6">
        <w:rPr>
          <w:rFonts w:cs="Segoe UI"/>
          <w:i/>
        </w:rPr>
        <w:t xml:space="preserve"> Australian Government develop a labour market and skills strategy to expand the number of health economists in Australia. This could include encouraging training within Australia as well as seeking expertise from overseas”.</w:t>
      </w:r>
    </w:p>
    <w:p w14:paraId="042F9C2E" w14:textId="4B275263" w:rsidR="00685341" w:rsidRPr="009D14F6" w:rsidRDefault="00404A6F" w:rsidP="00551F18">
      <w:pPr>
        <w:rPr>
          <w:rFonts w:cs="Segoe UI"/>
        </w:rPr>
      </w:pPr>
      <w:r w:rsidRPr="009D14F6">
        <w:rPr>
          <w:rFonts w:cs="Segoe UI"/>
        </w:rPr>
        <w:t xml:space="preserve">Additionally, </w:t>
      </w:r>
      <w:r w:rsidR="00DC665A" w:rsidRPr="009D14F6">
        <w:rPr>
          <w:rFonts w:cs="Segoe UI"/>
        </w:rPr>
        <w:t xml:space="preserve">specialist expertise in HTA </w:t>
      </w:r>
      <w:r w:rsidR="001353D7" w:rsidRPr="009D14F6">
        <w:rPr>
          <w:rFonts w:cs="Segoe UI"/>
        </w:rPr>
        <w:t>methodology</w:t>
      </w:r>
      <w:r w:rsidR="00353C0F" w:rsidRPr="009D14F6">
        <w:rPr>
          <w:rFonts w:cs="Segoe UI"/>
        </w:rPr>
        <w:t xml:space="preserve">, </w:t>
      </w:r>
      <w:r w:rsidR="009C122A" w:rsidRPr="009D14F6">
        <w:rPr>
          <w:rFonts w:cs="Segoe UI"/>
        </w:rPr>
        <w:t xml:space="preserve">policy and processes is required </w:t>
      </w:r>
      <w:r w:rsidR="00551F18" w:rsidRPr="009D14F6">
        <w:rPr>
          <w:rFonts w:cs="Segoe UI"/>
        </w:rPr>
        <w:t xml:space="preserve">to </w:t>
      </w:r>
      <w:r w:rsidR="002A6F56" w:rsidRPr="009D14F6">
        <w:rPr>
          <w:rFonts w:cs="Segoe UI"/>
        </w:rPr>
        <w:t xml:space="preserve">undertake activities associated with HTA evaluations, as well as </w:t>
      </w:r>
      <w:r w:rsidR="008D49FB" w:rsidRPr="009D14F6">
        <w:rPr>
          <w:rFonts w:cs="Segoe UI"/>
        </w:rPr>
        <w:t xml:space="preserve">overall oversight and process improvements. </w:t>
      </w:r>
    </w:p>
    <w:p w14:paraId="735A5441" w14:textId="1C78E137" w:rsidR="002A63A6" w:rsidRPr="007A4D9C" w:rsidRDefault="002A63A6" w:rsidP="002A63A6">
      <w:pPr>
        <w:keepNext/>
        <w:keepLines/>
        <w:spacing w:before="40" w:after="0"/>
        <w:outlineLvl w:val="3"/>
        <w:rPr>
          <w:rFonts w:eastAsiaTheme="majorEastAsia" w:cstheme="majorBidi"/>
          <w:color w:val="008A96" w:themeColor="accent3"/>
        </w:rPr>
      </w:pPr>
      <w:r>
        <w:rPr>
          <w:rFonts w:eastAsiaTheme="majorEastAsia" w:cstheme="majorBidi"/>
          <w:iCs/>
          <w:color w:val="008A96" w:themeColor="accent3"/>
        </w:rPr>
        <w:t>Sustainable access to health technologies through collaboration</w:t>
      </w:r>
      <w:r w:rsidR="00306661">
        <w:rPr>
          <w:rFonts w:eastAsiaTheme="majorEastAsia" w:cstheme="majorBidi"/>
          <w:iCs/>
          <w:color w:val="008A96" w:themeColor="accent3"/>
        </w:rPr>
        <w:fldChar w:fldCharType="begin"/>
      </w:r>
      <w:r w:rsidR="00306661">
        <w:instrText xml:space="preserve"> XE "</w:instrText>
      </w:r>
      <w:r w:rsidR="00306661" w:rsidRPr="004A2916">
        <w:instrText>collaboration</w:instrText>
      </w:r>
      <w:r w:rsidR="00306661">
        <w:instrText xml:space="preserve">" </w:instrText>
      </w:r>
      <w:r w:rsidR="00306661">
        <w:rPr>
          <w:rFonts w:eastAsiaTheme="majorEastAsia" w:cstheme="majorBidi"/>
          <w:iCs/>
          <w:color w:val="008A96" w:themeColor="accent3"/>
        </w:rPr>
        <w:fldChar w:fldCharType="end"/>
      </w:r>
      <w:r>
        <w:rPr>
          <w:rFonts w:eastAsiaTheme="majorEastAsia" w:cstheme="majorBidi"/>
          <w:iCs/>
          <w:color w:val="008A96" w:themeColor="accent3"/>
        </w:rPr>
        <w:t xml:space="preserve"> between international jurisdictions </w:t>
      </w:r>
    </w:p>
    <w:p w14:paraId="6B5F3F1E" w14:textId="7A8059DB" w:rsidR="002A63A6" w:rsidRPr="002A63A6" w:rsidRDefault="002A63A6" w:rsidP="002A63A6">
      <w:r w:rsidRPr="002A63A6">
        <w:t xml:space="preserve">We have observed that increasing harmonisation between jurisdictions can improve the efficiency of assessment and application for the payers and </w:t>
      </w:r>
      <w:r w:rsidR="00752DE5">
        <w:t>sponsors</w:t>
      </w:r>
      <w:r w:rsidRPr="002A63A6">
        <w:t xml:space="preserve">. We have learnt that approaches to form joint-common markets – such as in the Benelux nations (Belgium, the Netherlands and Luxembourg) has worked to increase the incentive for sponsors to market certain health technologies. Given Australia is a small market in the global context, participation in a larger global market may improve its ability to negotiate in relation to purchasing of innovative health technologies. </w:t>
      </w:r>
    </w:p>
    <w:p w14:paraId="73642A86" w14:textId="7C1748CF" w:rsidR="00F05F8B" w:rsidRPr="00E9368B" w:rsidRDefault="00F05F8B" w:rsidP="005862D2">
      <w:pPr>
        <w:pStyle w:val="Heading3"/>
        <w:keepNext/>
        <w:keepLines/>
      </w:pPr>
      <w:bookmarkStart w:id="265" w:name="_Toc157029139"/>
      <w:r w:rsidRPr="00E9368B">
        <w:t>Options</w:t>
      </w:r>
      <w:bookmarkEnd w:id="265"/>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627E3" w14:paraId="589B2F0D" w14:textId="77777777" w:rsidTr="00C1649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199962F0" w14:textId="6A693214" w:rsidR="00A627E3" w:rsidRDefault="00A627E3" w:rsidP="008C10BB">
            <w:pPr>
              <w:spacing w:after="120" w:line="259" w:lineRule="auto"/>
              <w:rPr>
                <w:rFonts w:eastAsia="Times New Roman" w:cs="Segoe UI"/>
                <w:b/>
                <w:bCs/>
                <w:lang w:eastAsia="en-AU"/>
              </w:rPr>
            </w:pPr>
            <w:r w:rsidRPr="00A627E3">
              <w:rPr>
                <w:rFonts w:eastAsia="Times New Roman" w:cs="Segoe UI"/>
                <w:b/>
                <w:bCs/>
                <w:lang w:eastAsia="en-AU"/>
              </w:rPr>
              <w:t xml:space="preserve">Improve HTA capacity and workforce in </w:t>
            </w:r>
            <w:proofErr w:type="gramStart"/>
            <w:r>
              <w:rPr>
                <w:rFonts w:eastAsia="Times New Roman" w:cs="Segoe UI"/>
                <w:b/>
                <w:bCs/>
                <w:lang w:eastAsia="en-AU"/>
              </w:rPr>
              <w:t>Australia</w:t>
            </w:r>
            <w:proofErr w:type="gramEnd"/>
          </w:p>
          <w:p w14:paraId="295C64FE" w14:textId="0A6D6F24" w:rsidR="00A627E3" w:rsidRPr="00837CDF" w:rsidRDefault="00A627E3" w:rsidP="005862D2">
            <w:pPr>
              <w:spacing w:line="259" w:lineRule="auto"/>
              <w:rPr>
                <w:rFonts w:eastAsia="Times New Roman" w:cs="Segoe UI"/>
                <w:lang w:eastAsia="en-AU"/>
              </w:rPr>
            </w:pPr>
            <w:r w:rsidRPr="00A627E3">
              <w:rPr>
                <w:rFonts w:eastAsia="Times New Roman" w:cs="Segoe UI"/>
                <w:lang w:eastAsia="en-AU"/>
              </w:rPr>
              <w:t xml:space="preserve">Develop a sponsored internship program where universities offering HTA courses and with HTA Evaluation Groups identify students for formal training in coursework. </w:t>
            </w:r>
            <w:r w:rsidRPr="00A627E3">
              <w:rPr>
                <w:rFonts w:eastAsia="Times New Roman" w:cs="Segoe UI"/>
                <w:lang w:eastAsia="en-AU"/>
              </w:rPr>
              <w:lastRenderedPageBreak/>
              <w:t xml:space="preserve">Students then undertake paid internships with the Evaluation Group to conduct evaluations, with Governments (Commonwealth and/or </w:t>
            </w:r>
            <w:r w:rsidR="00F57C8A">
              <w:rPr>
                <w:rFonts w:eastAsia="Times New Roman" w:cs="Segoe UI"/>
                <w:lang w:eastAsia="en-AU"/>
              </w:rPr>
              <w:t>state</w:t>
            </w:r>
            <w:r w:rsidRPr="00A627E3">
              <w:rPr>
                <w:rFonts w:eastAsia="Times New Roman" w:cs="Segoe UI"/>
                <w:lang w:eastAsia="en-AU"/>
              </w:rPr>
              <w:t>/</w:t>
            </w:r>
            <w:r w:rsidR="00F57C8A">
              <w:rPr>
                <w:rFonts w:eastAsia="Times New Roman" w:cs="Segoe UI"/>
                <w:lang w:eastAsia="en-AU"/>
              </w:rPr>
              <w:t>territory</w:t>
            </w:r>
            <w:r w:rsidRPr="00A627E3">
              <w:rPr>
                <w:rFonts w:eastAsia="Times New Roman" w:cs="Segoe UI"/>
                <w:lang w:eastAsia="en-AU"/>
              </w:rPr>
              <w:t xml:space="preserve">) to understand technology appraisal by the HTA Committee/s and policy areas, and industry (where secondment positions available). Development would be based and tracked on the HTA competencies previously developed for </w:t>
            </w:r>
            <w:r w:rsidR="00EC7653">
              <w:rPr>
                <w:rFonts w:eastAsia="Times New Roman" w:cs="Segoe UI"/>
                <w:lang w:eastAsia="en-AU"/>
              </w:rPr>
              <w:t>G</w:t>
            </w:r>
            <w:r w:rsidRPr="00A627E3">
              <w:rPr>
                <w:rFonts w:eastAsia="Times New Roman" w:cs="Segoe UI"/>
                <w:lang w:eastAsia="en-AU"/>
              </w:rPr>
              <w:t xml:space="preserve">overnment. </w:t>
            </w:r>
          </w:p>
        </w:tc>
      </w:tr>
    </w:tbl>
    <w:p w14:paraId="240E2890" w14:textId="77777777" w:rsidR="00EF73AA" w:rsidRPr="001C3710" w:rsidRDefault="00EF73AA" w:rsidP="005862D2">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0B4702" w14:paraId="758B481A" w14:textId="77777777" w:rsidTr="00C1649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36F1E592" w14:textId="77777777" w:rsidR="0093528D" w:rsidRDefault="0093528D" w:rsidP="0093528D">
            <w:pPr>
              <w:outlineLvl w:val="6"/>
              <w:rPr>
                <w:rFonts w:eastAsia="Times New Roman" w:cs="Segoe UI"/>
                <w:lang w:eastAsia="en-AU"/>
              </w:rPr>
            </w:pPr>
            <w:r w:rsidRPr="0093528D">
              <w:rPr>
                <w:rFonts w:eastAsia="Times New Roman" w:cs="Segoe UI"/>
                <w:lang w:eastAsia="en-AU"/>
              </w:rPr>
              <w:t>A note on international Harmonisation and Work-sharing options:</w:t>
            </w:r>
          </w:p>
          <w:p w14:paraId="731EF32D" w14:textId="77777777" w:rsidR="003E578F" w:rsidRPr="0093528D" w:rsidRDefault="003E578F" w:rsidP="0093528D">
            <w:pPr>
              <w:outlineLvl w:val="6"/>
              <w:rPr>
                <w:rFonts w:eastAsia="Times New Roman" w:cs="Segoe UI"/>
                <w:lang w:eastAsia="en-AU"/>
              </w:rPr>
            </w:pPr>
          </w:p>
          <w:p w14:paraId="5C37BAA2" w14:textId="651113C3" w:rsidR="00921630" w:rsidRPr="0093528D" w:rsidRDefault="0093528D" w:rsidP="008C10BB">
            <w:pPr>
              <w:spacing w:after="120" w:line="259" w:lineRule="auto"/>
              <w:rPr>
                <w:rFonts w:eastAsia="Times New Roman" w:cs="Segoe UI"/>
                <w:lang w:eastAsia="en-AU"/>
              </w:rPr>
            </w:pPr>
            <w:r w:rsidRPr="0093528D">
              <w:rPr>
                <w:rFonts w:eastAsia="Times New Roman" w:cs="Segoe UI"/>
                <w:lang w:eastAsia="en-AU"/>
              </w:rPr>
              <w:t xml:space="preserve">The following options are designed to improve international consistency, time to listing, and HTA capacity. </w:t>
            </w:r>
            <w:proofErr w:type="gramStart"/>
            <w:r w:rsidRPr="0093528D">
              <w:rPr>
                <w:rFonts w:eastAsia="Times New Roman" w:cs="Segoe UI"/>
                <w:lang w:eastAsia="en-AU"/>
              </w:rPr>
              <w:t>However</w:t>
            </w:r>
            <w:proofErr w:type="gramEnd"/>
            <w:r w:rsidRPr="0093528D">
              <w:rPr>
                <w:rFonts w:eastAsia="Times New Roman" w:cs="Segoe UI"/>
                <w:lang w:eastAsia="en-AU"/>
              </w:rPr>
              <w:t xml:space="preserve"> it should be noted that resource will be required for the establishment of and operation of international work-sharing pathways, and in some cases the coordination requirements for joint submissions may not result in lower resourcing requirements at the local level</w:t>
            </w:r>
            <w:r w:rsidR="003E578F">
              <w:rPr>
                <w:rFonts w:eastAsia="Times New Roman" w:cs="Segoe UI"/>
                <w:lang w:eastAsia="en-AU"/>
              </w:rPr>
              <w:t xml:space="preserve">. </w:t>
            </w:r>
          </w:p>
          <w:p w14:paraId="5BE64EF3" w14:textId="460210AD" w:rsidR="000B4702" w:rsidRDefault="000B4702" w:rsidP="008C10BB">
            <w:pPr>
              <w:spacing w:after="120" w:line="259" w:lineRule="auto"/>
              <w:rPr>
                <w:rFonts w:eastAsia="Times New Roman" w:cs="Segoe UI"/>
                <w:b/>
                <w:bCs/>
                <w:lang w:eastAsia="en-AU"/>
              </w:rPr>
            </w:pPr>
            <w:r w:rsidRPr="000B4702">
              <w:rPr>
                <w:rFonts w:eastAsia="Times New Roman" w:cs="Segoe UI"/>
                <w:b/>
                <w:bCs/>
                <w:lang w:eastAsia="en-AU"/>
              </w:rPr>
              <w:t xml:space="preserve">Harmonisation of HTA evaluations </w:t>
            </w:r>
          </w:p>
          <w:p w14:paraId="7188F0B4" w14:textId="3528E93E" w:rsidR="000B4702" w:rsidRPr="00F876B2" w:rsidRDefault="000B4702" w:rsidP="008505D7">
            <w:pPr>
              <w:pStyle w:val="ListParagraph"/>
              <w:numPr>
                <w:ilvl w:val="0"/>
                <w:numId w:val="131"/>
              </w:numPr>
              <w:spacing w:line="259" w:lineRule="auto"/>
              <w:ind w:left="357" w:hanging="357"/>
              <w:rPr>
                <w:rFonts w:eastAsia="Times New Roman" w:cs="Segoe UI"/>
                <w:lang w:eastAsia="en-AU"/>
              </w:rPr>
            </w:pPr>
            <w:r w:rsidRPr="00F876B2">
              <w:rPr>
                <w:rFonts w:eastAsia="Times New Roman" w:cs="Segoe UI"/>
                <w:lang w:eastAsia="en-AU"/>
              </w:rPr>
              <w:t>Methodology - The Commonwealth progress inter-agency collaboration</w:t>
            </w:r>
            <w:r w:rsidR="00306661">
              <w:rPr>
                <w:rFonts w:eastAsia="Times New Roman" w:cs="Segoe UI"/>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lang w:eastAsia="en-AU"/>
              </w:rPr>
              <w:fldChar w:fldCharType="end"/>
            </w:r>
            <w:r w:rsidRPr="00F876B2">
              <w:rPr>
                <w:rFonts w:eastAsia="Times New Roman" w:cs="Segoe UI"/>
                <w:lang w:eastAsia="en-AU"/>
              </w:rPr>
              <w:t xml:space="preserve"> and design relating to common HTA evaluation methodology, to facilitate testing and (prospective) formal introduction of HTA evaluation work sharing pathways across participating jurisdictions. </w:t>
            </w:r>
          </w:p>
          <w:p w14:paraId="0D5E4BB6" w14:textId="5DCA6FED" w:rsidR="000B4702" w:rsidRPr="00837CDF" w:rsidRDefault="000B4702" w:rsidP="008505D7">
            <w:pPr>
              <w:pStyle w:val="ListParagraph"/>
              <w:numPr>
                <w:ilvl w:val="0"/>
                <w:numId w:val="131"/>
              </w:numPr>
              <w:spacing w:line="259" w:lineRule="auto"/>
              <w:ind w:left="357" w:hanging="357"/>
              <w:rPr>
                <w:rFonts w:eastAsia="Times New Roman" w:cs="Segoe UI"/>
                <w:lang w:eastAsia="en-AU"/>
              </w:rPr>
            </w:pPr>
            <w:r w:rsidRPr="00F876B2">
              <w:rPr>
                <w:rFonts w:eastAsia="Times New Roman" w:cs="Segoe UI"/>
                <w:lang w:eastAsia="en-AU"/>
              </w:rPr>
              <w:t xml:space="preserve">Timing of discussions - The Commonwealth </w:t>
            </w:r>
            <w:r w:rsidR="004322D8">
              <w:rPr>
                <w:rFonts w:eastAsia="Times New Roman" w:cs="Segoe UI"/>
                <w:lang w:eastAsia="en-AU"/>
              </w:rPr>
              <w:t xml:space="preserve">to </w:t>
            </w:r>
            <w:r w:rsidRPr="00F876B2">
              <w:rPr>
                <w:rFonts w:eastAsia="Times New Roman" w:cs="Segoe UI"/>
                <w:lang w:eastAsia="en-AU"/>
              </w:rPr>
              <w:t xml:space="preserve">update its parallel scientific advice/early dialogue policies to facilitate discussions with industry sponsors, health technology users (principally clinicians and patients) and HTA and regulatory entities earlier than current arrangements (both locally </w:t>
            </w:r>
            <w:proofErr w:type="gramStart"/>
            <w:r w:rsidRPr="00F876B2">
              <w:rPr>
                <w:rFonts w:eastAsia="Times New Roman" w:cs="Segoe UI"/>
                <w:lang w:eastAsia="en-AU"/>
              </w:rPr>
              <w:t>or</w:t>
            </w:r>
            <w:proofErr w:type="gramEnd"/>
            <w:r w:rsidRPr="00F876B2">
              <w:rPr>
                <w:rFonts w:eastAsia="Times New Roman" w:cs="Segoe UI"/>
                <w:lang w:eastAsia="en-AU"/>
              </w:rPr>
              <w:t xml:space="preserve"> regionally where a joint evaluation is under consideration).</w:t>
            </w:r>
          </w:p>
        </w:tc>
      </w:tr>
    </w:tbl>
    <w:p w14:paraId="23F384F6" w14:textId="77777777" w:rsidR="000B4702" w:rsidRPr="000B4702" w:rsidRDefault="000B4702" w:rsidP="005862D2">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627E3" w14:paraId="30206D83" w14:textId="77777777" w:rsidTr="00C1649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67D5EB2C" w14:textId="275A3F49" w:rsidR="00A627E3" w:rsidRDefault="00A627E3" w:rsidP="008C10BB">
            <w:pPr>
              <w:spacing w:after="120" w:line="259" w:lineRule="auto"/>
              <w:rPr>
                <w:rFonts w:eastAsia="Times New Roman" w:cs="Segoe UI"/>
                <w:b/>
                <w:bCs/>
                <w:lang w:eastAsia="en-AU"/>
              </w:rPr>
            </w:pPr>
            <w:r w:rsidRPr="00A627E3">
              <w:rPr>
                <w:rFonts w:eastAsia="Times New Roman" w:cs="Segoe UI"/>
                <w:b/>
                <w:bCs/>
                <w:lang w:eastAsia="en-AU"/>
              </w:rPr>
              <w:t xml:space="preserve">Work sharing for individual </w:t>
            </w:r>
            <w:proofErr w:type="gramStart"/>
            <w:r w:rsidRPr="00A627E3">
              <w:rPr>
                <w:rFonts w:eastAsia="Times New Roman" w:cs="Segoe UI"/>
                <w:b/>
                <w:bCs/>
                <w:lang w:eastAsia="en-AU"/>
              </w:rPr>
              <w:t>submissions</w:t>
            </w:r>
            <w:proofErr w:type="gramEnd"/>
            <w:r w:rsidRPr="00A627E3">
              <w:rPr>
                <w:rFonts w:eastAsia="Times New Roman" w:cs="Segoe UI"/>
                <w:b/>
                <w:bCs/>
                <w:lang w:eastAsia="en-AU"/>
              </w:rPr>
              <w:t xml:space="preserve"> </w:t>
            </w:r>
          </w:p>
          <w:p w14:paraId="74ABF000" w14:textId="20517CEA" w:rsidR="00A627E3" w:rsidRPr="00F876B2" w:rsidRDefault="00A627E3" w:rsidP="005862D2">
            <w:pPr>
              <w:spacing w:after="120" w:line="259" w:lineRule="auto"/>
              <w:rPr>
                <w:rFonts w:eastAsia="Times New Roman" w:cs="Segoe UI"/>
                <w:color w:val="222A35"/>
                <w:kern w:val="24"/>
                <w:lang w:eastAsia="en-AU"/>
              </w:rPr>
            </w:pPr>
            <w:r w:rsidRPr="00F876B2">
              <w:rPr>
                <w:rFonts w:eastAsia="Times New Roman" w:cs="Segoe UI"/>
                <w:color w:val="222A35"/>
                <w:kern w:val="24"/>
                <w:lang w:eastAsia="en-AU"/>
              </w:rPr>
              <w:t xml:space="preserve">The Commonwealth </w:t>
            </w:r>
            <w:r w:rsidR="00A83A8B">
              <w:rPr>
                <w:rFonts w:eastAsia="Times New Roman" w:cs="Segoe UI"/>
                <w:color w:val="222A35"/>
                <w:kern w:val="24"/>
                <w:lang w:eastAsia="en-AU"/>
              </w:rPr>
              <w:t xml:space="preserve">to </w:t>
            </w:r>
            <w:r w:rsidRPr="00F876B2">
              <w:rPr>
                <w:rFonts w:eastAsia="Times New Roman" w:cs="Segoe UI"/>
                <w:color w:val="222A35"/>
                <w:kern w:val="24"/>
                <w:lang w:eastAsia="en-AU"/>
              </w:rPr>
              <w:t xml:space="preserve">progress reforms to pilot work sharing pathways for individual (medicines and </w:t>
            </w:r>
            <w:r w:rsidR="00CE4B05">
              <w:rPr>
                <w:rFonts w:eastAsia="Times New Roman" w:cs="Segoe UI"/>
                <w:color w:val="222A35"/>
                <w:kern w:val="24"/>
                <w:lang w:eastAsia="en-AU"/>
              </w:rPr>
              <w:t>advanced therapies</w:t>
            </w:r>
            <w:r w:rsidR="00700B73">
              <w:rPr>
                <w:rFonts w:eastAsia="Times New Roman" w:cs="Segoe UI"/>
                <w:color w:val="222A35"/>
                <w:kern w:val="24"/>
                <w:lang w:eastAsia="en-AU"/>
              </w:rPr>
              <w:fldChar w:fldCharType="begin"/>
            </w:r>
            <w:r w:rsidR="00700B73">
              <w:instrText xml:space="preserve"> XE "</w:instrText>
            </w:r>
            <w:r w:rsidR="00700B73" w:rsidRPr="00D231D2">
              <w:instrText>advanced therapies</w:instrText>
            </w:r>
            <w:r w:rsidR="00700B73">
              <w:instrText xml:space="preserve">" </w:instrText>
            </w:r>
            <w:r w:rsidR="00700B73">
              <w:rPr>
                <w:rFonts w:eastAsia="Times New Roman" w:cs="Segoe UI"/>
                <w:color w:val="222A35"/>
                <w:kern w:val="24"/>
                <w:lang w:eastAsia="en-AU"/>
              </w:rPr>
              <w:fldChar w:fldCharType="end"/>
            </w:r>
            <w:r w:rsidRPr="00F876B2">
              <w:rPr>
                <w:rFonts w:eastAsia="Times New Roman" w:cs="Segoe UI"/>
                <w:color w:val="222A35"/>
                <w:kern w:val="24"/>
                <w:lang w:eastAsia="en-AU"/>
              </w:rPr>
              <w:t xml:space="preserve"> reimbursement submissions submitted across jurisdictions with comparable approaches to HTA evaluation, with a view to evaluating the merits of collaborative evaluation for reimbursement-related purposes and (if positive) embedding into the HTA framework. Available pathways should include at least one of the following options:</w:t>
            </w:r>
          </w:p>
          <w:p w14:paraId="0323391F" w14:textId="6CDA2D08" w:rsidR="00A627E3" w:rsidRPr="00F876B2" w:rsidRDefault="00A627E3" w:rsidP="008505D7">
            <w:pPr>
              <w:pStyle w:val="ListParagraph"/>
              <w:numPr>
                <w:ilvl w:val="0"/>
                <w:numId w:val="133"/>
              </w:numPr>
              <w:spacing w:line="259" w:lineRule="auto"/>
              <w:rPr>
                <w:rFonts w:eastAsia="Times New Roman" w:cs="Segoe UI"/>
                <w:color w:val="222A35"/>
                <w:kern w:val="24"/>
                <w:lang w:eastAsia="en-AU"/>
              </w:rPr>
            </w:pPr>
            <w:r w:rsidRPr="00F876B2">
              <w:rPr>
                <w:rFonts w:eastAsia="Times New Roman" w:cs="Segoe UI"/>
                <w:color w:val="222A35"/>
                <w:kern w:val="24"/>
                <w:u w:val="single"/>
                <w:lang w:eastAsia="en-AU"/>
              </w:rPr>
              <w:t>“Work Sharing Initiative” pathway</w:t>
            </w:r>
            <w:r w:rsidRPr="00F876B2">
              <w:rPr>
                <w:rFonts w:eastAsia="Times New Roman" w:cs="Segoe UI"/>
                <w:color w:val="222A35"/>
                <w:kern w:val="24"/>
                <w:lang w:eastAsia="en-AU"/>
              </w:rPr>
              <w:t xml:space="preserve">, where concurrent reimbursement submissions are lodged in multiple jurisdictions and dossier modules are work-split amongst participating </w:t>
            </w:r>
            <w:proofErr w:type="gramStart"/>
            <w:r w:rsidRPr="00F876B2">
              <w:rPr>
                <w:rFonts w:eastAsia="Times New Roman" w:cs="Segoe UI"/>
                <w:color w:val="222A35"/>
                <w:kern w:val="24"/>
                <w:lang w:eastAsia="en-AU"/>
              </w:rPr>
              <w:t>agencies</w:t>
            </w:r>
            <w:proofErr w:type="gramEnd"/>
          </w:p>
          <w:p w14:paraId="79531D52" w14:textId="2785C907" w:rsidR="00A627E3" w:rsidRPr="00F876B2" w:rsidRDefault="00A627E3" w:rsidP="008505D7">
            <w:pPr>
              <w:pStyle w:val="ListParagraph"/>
              <w:numPr>
                <w:ilvl w:val="0"/>
                <w:numId w:val="133"/>
              </w:numPr>
              <w:spacing w:line="259" w:lineRule="auto"/>
              <w:rPr>
                <w:rFonts w:eastAsia="Times New Roman" w:cs="Segoe UI"/>
                <w:color w:val="222A35"/>
                <w:kern w:val="24"/>
                <w:lang w:eastAsia="en-AU"/>
              </w:rPr>
            </w:pPr>
            <w:r w:rsidRPr="00F876B2">
              <w:rPr>
                <w:rFonts w:eastAsia="Times New Roman" w:cs="Segoe UI"/>
                <w:color w:val="222A35"/>
                <w:kern w:val="24"/>
                <w:u w:val="single"/>
                <w:lang w:eastAsia="en-AU"/>
              </w:rPr>
              <w:t>“Comparable Overseas Agency” (COA) pathway</w:t>
            </w:r>
            <w:r w:rsidRPr="00F876B2">
              <w:rPr>
                <w:rFonts w:eastAsia="Times New Roman" w:cs="Segoe UI"/>
                <w:color w:val="222A35"/>
                <w:kern w:val="24"/>
                <w:lang w:eastAsia="en-AU"/>
              </w:rPr>
              <w:t>, where finalised HTA evaluations from comparable agencies are provided for review (with redactions for localised pricing information as strictly necessary)</w:t>
            </w:r>
          </w:p>
          <w:p w14:paraId="08D4E734" w14:textId="012D99CE" w:rsidR="00A627E3" w:rsidRDefault="00A627E3" w:rsidP="008505D7">
            <w:pPr>
              <w:pStyle w:val="ListParagraph"/>
              <w:numPr>
                <w:ilvl w:val="0"/>
                <w:numId w:val="133"/>
              </w:numPr>
              <w:spacing w:line="259" w:lineRule="auto"/>
              <w:rPr>
                <w:rFonts w:eastAsia="Times New Roman" w:cs="Segoe UI"/>
                <w:color w:val="222A35"/>
                <w:kern w:val="24"/>
                <w:lang w:eastAsia="en-AU"/>
              </w:rPr>
            </w:pPr>
            <w:r w:rsidRPr="00F876B2">
              <w:rPr>
                <w:rFonts w:eastAsia="Times New Roman" w:cs="Segoe UI"/>
                <w:color w:val="222A35"/>
                <w:kern w:val="24"/>
                <w:u w:val="single"/>
                <w:lang w:eastAsia="en-AU"/>
              </w:rPr>
              <w:lastRenderedPageBreak/>
              <w:t>joint “Expression of Interest” (EOI) HTA pathway</w:t>
            </w:r>
            <w:r w:rsidRPr="00F876B2">
              <w:rPr>
                <w:rFonts w:eastAsia="Times New Roman" w:cs="Segoe UI"/>
                <w:color w:val="222A35"/>
                <w:kern w:val="24"/>
                <w:lang w:eastAsia="en-AU"/>
              </w:rPr>
              <w:t>, where sponsors are invited by HTA agencies to bring forward priority submissions for joint reimbursement evaluation (</w:t>
            </w:r>
            <w:proofErr w:type="gramStart"/>
            <w:r w:rsidRPr="00F876B2">
              <w:rPr>
                <w:rFonts w:eastAsia="Times New Roman" w:cs="Segoe UI"/>
                <w:color w:val="222A35"/>
                <w:kern w:val="24"/>
                <w:lang w:eastAsia="en-AU"/>
              </w:rPr>
              <w:t>e.g.</w:t>
            </w:r>
            <w:proofErr w:type="gramEnd"/>
            <w:r w:rsidRPr="00F876B2">
              <w:rPr>
                <w:rFonts w:eastAsia="Times New Roman" w:cs="Segoe UI"/>
                <w:color w:val="222A35"/>
                <w:kern w:val="24"/>
                <w:lang w:eastAsia="en-AU"/>
              </w:rPr>
              <w:t xml:space="preserve"> specific rare disease treatments or</w:t>
            </w:r>
            <w:r w:rsidR="00C45FA9">
              <w:rPr>
                <w:rFonts w:eastAsia="Times New Roman" w:cs="Segoe UI"/>
                <w:color w:val="222A35"/>
                <w:kern w:val="24"/>
                <w:lang w:eastAsia="en-AU"/>
              </w:rPr>
              <w:t xml:space="preserve"> treatments for</w:t>
            </w:r>
            <w:r w:rsidRPr="00F876B2">
              <w:rPr>
                <w:rFonts w:eastAsia="Times New Roman" w:cs="Segoe UI"/>
                <w:color w:val="222A35"/>
                <w:kern w:val="24"/>
                <w:lang w:eastAsia="en-AU"/>
              </w:rPr>
              <w:t xml:space="preserve"> narrow indications of relevance)</w:t>
            </w:r>
          </w:p>
          <w:p w14:paraId="233129E1" w14:textId="6293AC91" w:rsidR="00A627E3" w:rsidRPr="00F876B2" w:rsidRDefault="00A627E3" w:rsidP="008505D7">
            <w:pPr>
              <w:pStyle w:val="ListParagraph"/>
              <w:numPr>
                <w:ilvl w:val="0"/>
                <w:numId w:val="133"/>
              </w:numPr>
              <w:spacing w:line="259" w:lineRule="auto"/>
              <w:rPr>
                <w:rFonts w:eastAsia="Times New Roman" w:cs="Segoe UI"/>
                <w:color w:val="222A35"/>
                <w:kern w:val="24"/>
                <w:lang w:eastAsia="en-AU"/>
              </w:rPr>
            </w:pPr>
            <w:r w:rsidRPr="00F876B2">
              <w:rPr>
                <w:rFonts w:eastAsia="Times New Roman" w:cs="Segoe UI"/>
                <w:color w:val="222A35"/>
                <w:kern w:val="24"/>
                <w:u w:val="single"/>
                <w:lang w:eastAsia="en-AU"/>
              </w:rPr>
              <w:t>hybrid “sequential lodgement pathway”</w:t>
            </w:r>
            <w:r w:rsidRPr="00F876B2">
              <w:rPr>
                <w:rFonts w:eastAsia="Times New Roman" w:cs="Segoe UI"/>
                <w:color w:val="222A35"/>
                <w:kern w:val="24"/>
                <w:lang w:eastAsia="en-AU"/>
              </w:rPr>
              <w:t>, where dossiers may not be lodged concurrently, but access to interim evaluations from HTA agencies that are further along in HTA considerations are shared with the agreement of the sponsor to facilitate expedited local evaluation.</w:t>
            </w:r>
          </w:p>
        </w:tc>
      </w:tr>
    </w:tbl>
    <w:p w14:paraId="087B7184" w14:textId="77777777" w:rsidR="00A627E3" w:rsidRDefault="00A627E3" w:rsidP="005862D2">
      <w:pPr>
        <w:spacing w:after="0"/>
      </w:pPr>
    </w:p>
    <w:tbl>
      <w:tblPr>
        <w:tblStyle w:val="TableGrid"/>
        <w:tblpPr w:leftFromText="181" w:rightFromText="181" w:bottomFromText="142" w:vertAnchor="text" w:tblpY="1"/>
        <w:tblOverlap w:val="never"/>
        <w:tblW w:w="9367" w:type="dxa"/>
        <w:tblCellMar>
          <w:top w:w="113" w:type="dxa"/>
          <w:bottom w:w="113" w:type="dxa"/>
        </w:tblCellMar>
        <w:tblLook w:val="04A0" w:firstRow="1" w:lastRow="0" w:firstColumn="1" w:lastColumn="0" w:noHBand="0" w:noVBand="1"/>
      </w:tblPr>
      <w:tblGrid>
        <w:gridCol w:w="9367"/>
      </w:tblGrid>
      <w:tr w:rsidR="00A627E3" w14:paraId="78E05F8C" w14:textId="77777777" w:rsidTr="00C16495">
        <w:trPr>
          <w:trHeight w:val="1449"/>
        </w:trPr>
        <w:tc>
          <w:tcPr>
            <w:tcW w:w="9367" w:type="dxa"/>
            <w:tcBorders>
              <w:top w:val="single" w:sz="18" w:space="0" w:color="ACC02A" w:themeColor="accent5"/>
              <w:left w:val="nil"/>
              <w:bottom w:val="nil"/>
              <w:right w:val="nil"/>
            </w:tcBorders>
            <w:shd w:val="clear" w:color="auto" w:fill="F2F2F2" w:themeFill="background1" w:themeFillShade="F2"/>
          </w:tcPr>
          <w:p w14:paraId="7F3FF380" w14:textId="2F159C43" w:rsidR="00A627E3" w:rsidRDefault="00A627E3" w:rsidP="005862D2">
            <w:pPr>
              <w:spacing w:after="120" w:line="259" w:lineRule="auto"/>
              <w:rPr>
                <w:rFonts w:eastAsia="Times New Roman" w:cs="Segoe UI"/>
                <w:b/>
                <w:bCs/>
                <w:lang w:eastAsia="en-AU"/>
              </w:rPr>
            </w:pPr>
            <w:r w:rsidRPr="00A627E3">
              <w:rPr>
                <w:rFonts w:eastAsia="Times New Roman" w:cs="Segoe UI"/>
                <w:b/>
                <w:bCs/>
                <w:lang w:eastAsia="en-AU"/>
              </w:rPr>
              <w:t xml:space="preserve">Collaboration with international jurisdictions to deliver sustainable access to health </w:t>
            </w:r>
            <w:proofErr w:type="gramStart"/>
            <w:r w:rsidRPr="00A627E3">
              <w:rPr>
                <w:rFonts w:eastAsia="Times New Roman" w:cs="Segoe UI"/>
                <w:b/>
                <w:bCs/>
                <w:lang w:eastAsia="en-AU"/>
              </w:rPr>
              <w:t>technologies</w:t>
            </w:r>
            <w:proofErr w:type="gramEnd"/>
          </w:p>
          <w:p w14:paraId="5FBC9E50" w14:textId="77777777" w:rsidR="001A0E5B" w:rsidRDefault="001A0E5B" w:rsidP="005862D2">
            <w:pPr>
              <w:spacing w:after="120" w:line="259" w:lineRule="auto"/>
              <w:rPr>
                <w:rFonts w:eastAsia="Times New Roman" w:cs="Segoe UI"/>
                <w:b/>
                <w:bCs/>
                <w:lang w:eastAsia="en-AU"/>
              </w:rPr>
            </w:pPr>
          </w:p>
          <w:p w14:paraId="3E2DAA05" w14:textId="2BE4165E" w:rsidR="00A627E3" w:rsidRPr="00837CDF" w:rsidRDefault="00A627E3" w:rsidP="005862D2">
            <w:pPr>
              <w:spacing w:after="120" w:line="259" w:lineRule="auto"/>
              <w:rPr>
                <w:rFonts w:eastAsia="Times New Roman" w:cs="Segoe UI"/>
                <w:color w:val="222A35"/>
                <w:kern w:val="24"/>
                <w:lang w:eastAsia="en-AU"/>
              </w:rPr>
            </w:pPr>
            <w:r w:rsidRPr="00A627E3">
              <w:rPr>
                <w:rFonts w:eastAsia="Times New Roman" w:cs="Segoe UI"/>
                <w:color w:val="222A35"/>
                <w:kern w:val="24"/>
                <w:lang w:eastAsia="en-AU"/>
              </w:rPr>
              <w:t>Investigate opportunities for collaboration</w:t>
            </w:r>
            <w:r w:rsidR="00306661">
              <w:rPr>
                <w:rFonts w:eastAsia="Times New Roman" w:cs="Segoe UI"/>
                <w:color w:val="222A35"/>
                <w:kern w:val="24"/>
                <w:lang w:eastAsia="en-AU"/>
              </w:rPr>
              <w:fldChar w:fldCharType="begin"/>
            </w:r>
            <w:r w:rsidR="00306661">
              <w:instrText xml:space="preserve"> XE "</w:instrText>
            </w:r>
            <w:r w:rsidR="00306661" w:rsidRPr="004A2916">
              <w:instrText>collaboration</w:instrText>
            </w:r>
            <w:r w:rsidR="00306661">
              <w:instrText xml:space="preserve">" </w:instrText>
            </w:r>
            <w:r w:rsidR="00306661">
              <w:rPr>
                <w:rFonts w:eastAsia="Times New Roman" w:cs="Segoe UI"/>
                <w:color w:val="222A35"/>
                <w:kern w:val="24"/>
                <w:lang w:eastAsia="en-AU"/>
              </w:rPr>
              <w:fldChar w:fldCharType="end"/>
            </w:r>
            <w:r w:rsidRPr="00A627E3">
              <w:rPr>
                <w:rFonts w:eastAsia="Times New Roman" w:cs="Segoe UI"/>
                <w:color w:val="222A35"/>
                <w:kern w:val="24"/>
                <w:lang w:eastAsia="en-AU"/>
              </w:rPr>
              <w:t xml:space="preserve"> with international jurisdictions to increase market share and purchasing power for innovative health technologies which address areas of </w:t>
            </w:r>
            <w:r w:rsidR="00156D57">
              <w:rPr>
                <w:rFonts w:eastAsia="Times New Roman" w:cs="Segoe UI"/>
                <w:color w:val="222A35"/>
                <w:kern w:val="24"/>
                <w:lang w:eastAsia="en-AU"/>
              </w:rPr>
              <w:t>HUCN</w:t>
            </w:r>
            <w:r w:rsidR="00D027D9">
              <w:rPr>
                <w:rFonts w:eastAsia="Times New Roman" w:cs="Segoe UI"/>
                <w:color w:val="222A35"/>
                <w:kern w:val="24"/>
                <w:lang w:eastAsia="en-AU"/>
              </w:rPr>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rPr>
                <w:rFonts w:eastAsia="Times New Roman" w:cs="Segoe UI"/>
                <w:color w:val="222A35"/>
                <w:kern w:val="24"/>
                <w:lang w:eastAsia="en-AU"/>
              </w:rPr>
              <w:fldChar w:fldCharType="end"/>
            </w:r>
            <w:r w:rsidRPr="00A627E3">
              <w:rPr>
                <w:rFonts w:eastAsia="Times New Roman" w:cs="Segoe UI"/>
                <w:color w:val="222A35"/>
                <w:kern w:val="24"/>
                <w:lang w:eastAsia="en-AU"/>
              </w:rPr>
              <w:t>.</w:t>
            </w:r>
          </w:p>
        </w:tc>
      </w:tr>
    </w:tbl>
    <w:p w14:paraId="79EE7724" w14:textId="77777777" w:rsidR="00AA6355" w:rsidRDefault="00AA6355" w:rsidP="008C10BB">
      <w:pPr>
        <w:sectPr w:rsidR="00AA6355" w:rsidSect="00566319">
          <w:headerReference w:type="default" r:id="rId206"/>
          <w:pgSz w:w="11906" w:h="16838"/>
          <w:pgMar w:top="709" w:right="1440" w:bottom="1440" w:left="1440" w:header="284" w:footer="708" w:gutter="0"/>
          <w:cols w:space="708"/>
          <w:docGrid w:linePitch="360"/>
        </w:sectPr>
      </w:pPr>
    </w:p>
    <w:p w14:paraId="6403601F" w14:textId="77777777" w:rsidR="009D0FA0" w:rsidRDefault="009D0FA0" w:rsidP="009D0FA0">
      <w:pPr>
        <w:sectPr w:rsidR="009D0FA0" w:rsidSect="00837079">
          <w:headerReference w:type="default" r:id="rId207"/>
          <w:type w:val="continuous"/>
          <w:pgSz w:w="11906" w:h="16838"/>
          <w:pgMar w:top="709" w:right="1440" w:bottom="1440" w:left="1440" w:header="284" w:footer="708" w:gutter="0"/>
          <w:cols w:space="708"/>
          <w:docGrid w:linePitch="360"/>
        </w:sectPr>
      </w:pPr>
      <w:bookmarkStart w:id="266" w:name="_Ref156935188"/>
      <w:bookmarkStart w:id="267" w:name="_Toc157029140"/>
      <w:bookmarkStart w:id="268" w:name="_Toc157029505"/>
    </w:p>
    <w:p w14:paraId="285C0985" w14:textId="1B34D07C" w:rsidR="00C11F8A" w:rsidRDefault="007C5523" w:rsidP="008C10BB">
      <w:pPr>
        <w:pStyle w:val="Heading1"/>
        <w:numPr>
          <w:ilvl w:val="0"/>
          <w:numId w:val="0"/>
        </w:numPr>
        <w:spacing w:after="0" w:line="259" w:lineRule="auto"/>
        <w:ind w:left="709" w:hanging="720"/>
      </w:pPr>
      <w:bookmarkStart w:id="269" w:name="_Toc157030197"/>
      <w:r w:rsidRPr="00E11C0F">
        <w:rPr>
          <w:color w:val="3F4A75"/>
        </w:rPr>
        <w:lastRenderedPageBreak/>
        <w:t>Index</w:t>
      </w:r>
      <w:bookmarkEnd w:id="266"/>
      <w:bookmarkEnd w:id="267"/>
      <w:bookmarkEnd w:id="268"/>
      <w:bookmarkEnd w:id="269"/>
      <w:r w:rsidR="0051263A" w:rsidRPr="00C11F8A">
        <w:rPr>
          <w:rFonts w:eastAsiaTheme="minorHAnsi"/>
        </w:rPr>
        <w:fldChar w:fldCharType="begin"/>
      </w:r>
      <w:r w:rsidR="0051263A">
        <w:instrText xml:space="preserve"> INDEX \c "2" \z "3081" </w:instrText>
      </w:r>
      <w:r w:rsidR="0051263A" w:rsidRPr="00C11F8A">
        <w:rPr>
          <w:rFonts w:eastAsiaTheme="minorHAnsi"/>
        </w:rPr>
        <w:fldChar w:fldCharType="separate"/>
      </w:r>
    </w:p>
    <w:p w14:paraId="68F2A5E8" w14:textId="3AA11C63" w:rsidR="00711027" w:rsidRDefault="0051263A" w:rsidP="007C5523">
      <w:pPr>
        <w:rPr>
          <w:noProof/>
        </w:rPr>
        <w:sectPr w:rsidR="00711027" w:rsidSect="00711027">
          <w:pgSz w:w="11906" w:h="16838"/>
          <w:pgMar w:top="709" w:right="1440" w:bottom="1440" w:left="1440" w:header="284" w:footer="708" w:gutter="0"/>
          <w:cols w:space="708"/>
          <w:docGrid w:linePitch="360"/>
        </w:sectPr>
      </w:pPr>
      <w:r w:rsidRPr="00C11F8A">
        <w:rPr>
          <w:bCs/>
        </w:rPr>
        <w:fldChar w:fldCharType="end"/>
      </w:r>
      <w:r w:rsidR="00AF354B" w:rsidRPr="00CE38AE">
        <w:fldChar w:fldCharType="begin"/>
      </w:r>
      <w:r w:rsidR="00AF354B" w:rsidRPr="00CE38AE">
        <w:instrText xml:space="preserve"> INDEX \c "2" \z "3081" </w:instrText>
      </w:r>
      <w:r w:rsidR="00AF354B" w:rsidRPr="00CE38AE">
        <w:fldChar w:fldCharType="separate"/>
      </w:r>
    </w:p>
    <w:p w14:paraId="3FD3B57C" w14:textId="77777777" w:rsidR="00711027" w:rsidRPr="00DE618E" w:rsidRDefault="00711027">
      <w:pPr>
        <w:pStyle w:val="Index1"/>
        <w:rPr>
          <w:noProof/>
        </w:rPr>
      </w:pPr>
      <w:r w:rsidRPr="00DE618E">
        <w:rPr>
          <w:noProof/>
        </w:rPr>
        <w:t>Aboriginal and Torres Strait Islander, 20, 54, 67, 68, 69, 171</w:t>
      </w:r>
    </w:p>
    <w:p w14:paraId="37E627B8" w14:textId="77777777" w:rsidR="00711027" w:rsidRPr="00DE618E" w:rsidRDefault="00711027">
      <w:pPr>
        <w:pStyle w:val="Index2"/>
        <w:rPr>
          <w:noProof/>
        </w:rPr>
      </w:pPr>
      <w:r w:rsidRPr="00DE618E">
        <w:rPr>
          <w:noProof/>
        </w:rPr>
        <w:t>First Nations peoples, 4, 6, 8, 12, 20, 29, 35, 36, 37, 67, 68, 69, 70, 90, 101, 152, 157</w:t>
      </w:r>
    </w:p>
    <w:p w14:paraId="138E973C" w14:textId="77777777" w:rsidR="00711027" w:rsidRPr="00DE618E" w:rsidRDefault="00711027">
      <w:pPr>
        <w:pStyle w:val="Index1"/>
        <w:rPr>
          <w:noProof/>
        </w:rPr>
      </w:pPr>
      <w:r w:rsidRPr="00DE618E">
        <w:rPr>
          <w:noProof/>
        </w:rPr>
        <w:t>advanced therapies, 11, 23, 29, 36, 39, 71, 83, 94, 96, 101, 105, 129, 155, 156, 167, 171</w:t>
      </w:r>
    </w:p>
    <w:p w14:paraId="604CA705" w14:textId="77777777" w:rsidR="00711027" w:rsidRPr="00DE618E" w:rsidRDefault="00711027">
      <w:pPr>
        <w:pStyle w:val="Index1"/>
        <w:rPr>
          <w:noProof/>
        </w:rPr>
      </w:pPr>
      <w:r w:rsidRPr="00DE618E">
        <w:rPr>
          <w:noProof/>
        </w:rPr>
        <w:t>antimicrobial resistance, 16, 33, 136, 138</w:t>
      </w:r>
    </w:p>
    <w:p w14:paraId="77B05CEE" w14:textId="77777777" w:rsidR="00711027" w:rsidRPr="00DE618E" w:rsidRDefault="00711027">
      <w:pPr>
        <w:pStyle w:val="Index1"/>
        <w:rPr>
          <w:noProof/>
        </w:rPr>
      </w:pPr>
      <w:r w:rsidRPr="00DE618E">
        <w:rPr>
          <w:rFonts w:eastAsia="Times New Roman" w:cs="Segoe UI"/>
          <w:noProof/>
          <w:kern w:val="24"/>
        </w:rPr>
        <w:t>budget impact</w:t>
      </w:r>
      <w:r w:rsidRPr="00DE618E">
        <w:rPr>
          <w:noProof/>
        </w:rPr>
        <w:t>, 15, 32, 116, 131, 136, 146</w:t>
      </w:r>
    </w:p>
    <w:p w14:paraId="43EA08CD" w14:textId="77777777" w:rsidR="00711027" w:rsidRPr="00DE618E" w:rsidRDefault="00711027">
      <w:pPr>
        <w:pStyle w:val="Index1"/>
        <w:rPr>
          <w:noProof/>
        </w:rPr>
      </w:pPr>
      <w:r w:rsidRPr="00DE618E">
        <w:rPr>
          <w:noProof/>
        </w:rPr>
        <w:t>capacity and capability, 164, 166</w:t>
      </w:r>
    </w:p>
    <w:p w14:paraId="04608182" w14:textId="77777777" w:rsidR="00711027" w:rsidRPr="00DE618E" w:rsidRDefault="00711027">
      <w:pPr>
        <w:pStyle w:val="Index1"/>
        <w:rPr>
          <w:noProof/>
        </w:rPr>
      </w:pPr>
      <w:r w:rsidRPr="00DE618E">
        <w:rPr>
          <w:rFonts w:eastAsia="Arial" w:cs="Arial"/>
          <w:noProof/>
        </w:rPr>
        <w:t>cell and gene therapies</w:t>
      </w:r>
      <w:r w:rsidRPr="00DE618E">
        <w:rPr>
          <w:noProof/>
        </w:rPr>
        <w:t>, 42, 70, 75, 77, 78, 80, 171</w:t>
      </w:r>
    </w:p>
    <w:p w14:paraId="05551453" w14:textId="77777777" w:rsidR="00711027" w:rsidRPr="00DE618E" w:rsidRDefault="00711027">
      <w:pPr>
        <w:pStyle w:val="Index1"/>
        <w:rPr>
          <w:noProof/>
        </w:rPr>
      </w:pPr>
      <w:r w:rsidRPr="00DE618E">
        <w:rPr>
          <w:rFonts w:eastAsia="Arial" w:cs="Arial"/>
          <w:noProof/>
        </w:rPr>
        <w:t>codependent technologies</w:t>
      </w:r>
      <w:r w:rsidRPr="00DE618E">
        <w:rPr>
          <w:noProof/>
        </w:rPr>
        <w:t>, 14, 29, 77, 101, 102, 103, 104, 105</w:t>
      </w:r>
    </w:p>
    <w:p w14:paraId="2BF95B31" w14:textId="77777777" w:rsidR="00711027" w:rsidRPr="00DE618E" w:rsidRDefault="00711027">
      <w:pPr>
        <w:pStyle w:val="Index1"/>
        <w:rPr>
          <w:noProof/>
        </w:rPr>
      </w:pPr>
      <w:r w:rsidRPr="00DE618E">
        <w:rPr>
          <w:noProof/>
        </w:rPr>
        <w:t>collaboration, 12, 20, 21, 27, 28, 36, 37, 39, 70, 72, 73, 88, 92, 99, 100, 156, 157, 164, 165, 166, 167, 168</w:t>
      </w:r>
    </w:p>
    <w:p w14:paraId="182C32A2" w14:textId="77777777" w:rsidR="00711027" w:rsidRPr="00DE618E" w:rsidRDefault="00711027">
      <w:pPr>
        <w:pStyle w:val="Index1"/>
        <w:rPr>
          <w:noProof/>
        </w:rPr>
      </w:pPr>
      <w:r w:rsidRPr="00DE618E">
        <w:rPr>
          <w:noProof/>
        </w:rPr>
        <w:t>communication, 2, 11, 12, 18, 19, 26, 52, 56, 58, 59, 61, 67</w:t>
      </w:r>
    </w:p>
    <w:p w14:paraId="729F1D6E" w14:textId="77777777" w:rsidR="00711027" w:rsidRPr="00DE618E" w:rsidRDefault="00711027">
      <w:pPr>
        <w:pStyle w:val="Index1"/>
        <w:rPr>
          <w:noProof/>
        </w:rPr>
      </w:pPr>
      <w:r w:rsidRPr="00DE618E">
        <w:rPr>
          <w:noProof/>
        </w:rPr>
        <w:t>consumer engagement, 19, 52, 63, 66</w:t>
      </w:r>
    </w:p>
    <w:p w14:paraId="5D390816" w14:textId="77777777" w:rsidR="00711027" w:rsidRPr="00DE618E" w:rsidRDefault="00711027">
      <w:pPr>
        <w:pStyle w:val="Index1"/>
        <w:rPr>
          <w:noProof/>
        </w:rPr>
      </w:pPr>
      <w:r w:rsidRPr="00DE618E">
        <w:rPr>
          <w:noProof/>
        </w:rPr>
        <w:t>consumer evidence, 12, 19, 20, 57, 66, 67, 93</w:t>
      </w:r>
    </w:p>
    <w:p w14:paraId="6FF80908" w14:textId="77777777" w:rsidR="00711027" w:rsidRPr="00DE618E" w:rsidRDefault="00711027">
      <w:pPr>
        <w:pStyle w:val="Index1"/>
        <w:rPr>
          <w:noProof/>
        </w:rPr>
      </w:pPr>
      <w:r w:rsidRPr="00DE618E">
        <w:rPr>
          <w:noProof/>
        </w:rPr>
        <w:t>cost-effectiveness analysis, 15, 108, 171</w:t>
      </w:r>
    </w:p>
    <w:p w14:paraId="197F7E55" w14:textId="77777777" w:rsidR="00711027" w:rsidRPr="00DE618E" w:rsidRDefault="00711027">
      <w:pPr>
        <w:pStyle w:val="Index2"/>
        <w:rPr>
          <w:noProof/>
        </w:rPr>
      </w:pPr>
      <w:r w:rsidRPr="00DE618E">
        <w:rPr>
          <w:noProof/>
        </w:rPr>
        <w:t>CEA, 26, 88, 108, 109, 120, 171</w:t>
      </w:r>
    </w:p>
    <w:p w14:paraId="4B1E3142" w14:textId="77777777" w:rsidR="00711027" w:rsidRPr="00DE618E" w:rsidRDefault="00711027">
      <w:pPr>
        <w:pStyle w:val="Index1"/>
        <w:rPr>
          <w:noProof/>
        </w:rPr>
      </w:pPr>
      <w:r w:rsidRPr="00DE618E">
        <w:rPr>
          <w:noProof/>
        </w:rPr>
        <w:t>cost-minimisation, 15, 23, 31, 32, 91, 108, 111, 135, 136, 171</w:t>
      </w:r>
    </w:p>
    <w:p w14:paraId="60549B86" w14:textId="77777777" w:rsidR="00711027" w:rsidRPr="00DE618E" w:rsidRDefault="00711027">
      <w:pPr>
        <w:pStyle w:val="Index1"/>
        <w:rPr>
          <w:noProof/>
        </w:rPr>
      </w:pPr>
      <w:r w:rsidRPr="00DE618E">
        <w:rPr>
          <w:rFonts w:eastAsia="Times New Roman" w:cs="Segoe UI"/>
          <w:noProof/>
        </w:rPr>
        <w:t>cost-utility analysis</w:t>
      </w:r>
      <w:r w:rsidRPr="00DE618E">
        <w:rPr>
          <w:noProof/>
        </w:rPr>
        <w:t>, 15, 26, 88, 171</w:t>
      </w:r>
    </w:p>
    <w:p w14:paraId="28DF48C2" w14:textId="77777777" w:rsidR="00711027" w:rsidRPr="00DE618E" w:rsidRDefault="00711027">
      <w:pPr>
        <w:pStyle w:val="Index2"/>
        <w:rPr>
          <w:noProof/>
        </w:rPr>
      </w:pPr>
      <w:r w:rsidRPr="00DE618E">
        <w:rPr>
          <w:noProof/>
        </w:rPr>
        <w:t>CUA, 26, 88, 108, 109, 171</w:t>
      </w:r>
    </w:p>
    <w:p w14:paraId="18F71598" w14:textId="77777777" w:rsidR="00711027" w:rsidRPr="00DE618E" w:rsidRDefault="00711027">
      <w:pPr>
        <w:pStyle w:val="Index1"/>
        <w:rPr>
          <w:noProof/>
        </w:rPr>
      </w:pPr>
      <w:r w:rsidRPr="00DE618E">
        <w:rPr>
          <w:rFonts w:eastAsia="Times New Roman"/>
          <w:noProof/>
        </w:rPr>
        <w:t>discount rate</w:t>
      </w:r>
      <w:r w:rsidRPr="00DE618E">
        <w:rPr>
          <w:noProof/>
        </w:rPr>
        <w:t>, 15, 30, 31, 110, 115, 117, 121, 122, 125</w:t>
      </w:r>
    </w:p>
    <w:p w14:paraId="5A0416E6" w14:textId="77777777" w:rsidR="00711027" w:rsidRPr="00DE618E" w:rsidRDefault="00711027">
      <w:pPr>
        <w:pStyle w:val="Index1"/>
        <w:rPr>
          <w:noProof/>
        </w:rPr>
      </w:pPr>
      <w:r w:rsidRPr="00DE618E">
        <w:rPr>
          <w:rFonts w:eastAsia="Times New Roman" w:cs="Segoe UI"/>
          <w:noProof/>
          <w:color w:val="222A35"/>
        </w:rPr>
        <w:t>early resolution</w:t>
      </w:r>
      <w:r w:rsidRPr="00DE618E">
        <w:rPr>
          <w:noProof/>
        </w:rPr>
        <w:t>, 24, 26, 32, 86, 87, 136</w:t>
      </w:r>
    </w:p>
    <w:p w14:paraId="69EF559C" w14:textId="77777777" w:rsidR="00711027" w:rsidRPr="00DE618E" w:rsidRDefault="00711027">
      <w:pPr>
        <w:pStyle w:val="Index1"/>
        <w:rPr>
          <w:noProof/>
        </w:rPr>
      </w:pPr>
      <w:r w:rsidRPr="00DE618E">
        <w:rPr>
          <w:noProof/>
        </w:rPr>
        <w:t>environmental impacts, 38, 158, 159, 160</w:t>
      </w:r>
    </w:p>
    <w:p w14:paraId="1DB43CA2" w14:textId="77777777" w:rsidR="00711027" w:rsidRPr="00DE618E" w:rsidRDefault="00711027">
      <w:pPr>
        <w:pStyle w:val="Index1"/>
        <w:rPr>
          <w:noProof/>
        </w:rPr>
      </w:pPr>
      <w:r w:rsidRPr="00DE618E">
        <w:rPr>
          <w:rFonts w:eastAsia="Times New Roman" w:cs="Segoe UI"/>
          <w:noProof/>
          <w:color w:val="222A35"/>
          <w:kern w:val="24"/>
        </w:rPr>
        <w:t>equity</w:t>
      </w:r>
      <w:r w:rsidRPr="00DE618E">
        <w:rPr>
          <w:noProof/>
        </w:rPr>
        <w:t>, 6, 12, 14, 15, 19, 27, 29, 32, 36, 37, 57, 66, 68, 91, 95, 98, 101, 111, 112, 116, 117, 119, 122, 133, 134, 136, 152</w:t>
      </w:r>
    </w:p>
    <w:p w14:paraId="2686C91A" w14:textId="77777777" w:rsidR="00711027" w:rsidRPr="00DE618E" w:rsidRDefault="00711027">
      <w:pPr>
        <w:pStyle w:val="Index1"/>
        <w:rPr>
          <w:noProof/>
        </w:rPr>
      </w:pPr>
      <w:r w:rsidRPr="00DE618E">
        <w:rPr>
          <w:rFonts w:eastAsia="Arial"/>
          <w:noProof/>
          <w:color w:val="000000" w:themeColor="text1"/>
        </w:rPr>
        <w:t>financial impact</w:t>
      </w:r>
      <w:r w:rsidRPr="00DE618E">
        <w:rPr>
          <w:noProof/>
        </w:rPr>
        <w:t>, 14, 15, 29, 96, 98, 101, 124, 129</w:t>
      </w:r>
    </w:p>
    <w:p w14:paraId="1BDDB168" w14:textId="77777777" w:rsidR="00711027" w:rsidRPr="00DE618E" w:rsidRDefault="00711027">
      <w:pPr>
        <w:pStyle w:val="Index1"/>
        <w:rPr>
          <w:noProof/>
        </w:rPr>
      </w:pPr>
      <w:r w:rsidRPr="00DE618E">
        <w:rPr>
          <w:rFonts w:eastAsia="Times New Roman" w:cs="Segoe UI"/>
          <w:noProof/>
          <w:color w:val="222A35"/>
          <w:kern w:val="24"/>
        </w:rPr>
        <w:t>high added therapeutic value</w:t>
      </w:r>
    </w:p>
    <w:p w14:paraId="22EB96C9" w14:textId="77777777" w:rsidR="00711027" w:rsidRPr="00DE618E" w:rsidRDefault="00711027">
      <w:pPr>
        <w:pStyle w:val="Index2"/>
        <w:rPr>
          <w:noProof/>
        </w:rPr>
      </w:pPr>
      <w:r w:rsidRPr="00DE618E">
        <w:rPr>
          <w:rFonts w:eastAsia="Times New Roman" w:cs="Segoe UI"/>
          <w:noProof/>
          <w:color w:val="222A35"/>
          <w:kern w:val="24"/>
        </w:rPr>
        <w:t>HATV</w:t>
      </w:r>
      <w:r w:rsidRPr="00DE618E">
        <w:rPr>
          <w:noProof/>
        </w:rPr>
        <w:t>, 20, 24, 26, 36, 85, 152</w:t>
      </w:r>
    </w:p>
    <w:p w14:paraId="430452BE" w14:textId="77777777" w:rsidR="00711027" w:rsidRPr="00DE618E" w:rsidRDefault="00711027">
      <w:pPr>
        <w:pStyle w:val="Index1"/>
        <w:rPr>
          <w:noProof/>
        </w:rPr>
      </w:pPr>
      <w:r w:rsidRPr="00DE618E">
        <w:rPr>
          <w:noProof/>
          <w:lang w:val="en-US"/>
        </w:rPr>
        <w:t>high unmet clinical need</w:t>
      </w:r>
      <w:r w:rsidRPr="00DE618E">
        <w:rPr>
          <w:noProof/>
        </w:rPr>
        <w:t>, 15, 20</w:t>
      </w:r>
    </w:p>
    <w:p w14:paraId="17E725EE" w14:textId="77777777" w:rsidR="00711027" w:rsidRPr="00DE618E" w:rsidRDefault="00711027">
      <w:pPr>
        <w:pStyle w:val="Index2"/>
        <w:rPr>
          <w:noProof/>
        </w:rPr>
      </w:pPr>
      <w:r w:rsidRPr="00DE618E">
        <w:rPr>
          <w:noProof/>
        </w:rPr>
        <w:t>HUCN, 15, 20, 24, 27, 33, 35, 37, 39, 69, 85, 87, 92, 99, 122, 129, 131, 136, 137, 152, 156, 168, 172</w:t>
      </w:r>
    </w:p>
    <w:p w14:paraId="19A6EC50" w14:textId="77777777" w:rsidR="00711027" w:rsidRPr="00DE618E" w:rsidRDefault="00711027">
      <w:pPr>
        <w:pStyle w:val="Index1"/>
        <w:rPr>
          <w:noProof/>
        </w:rPr>
      </w:pPr>
      <w:r w:rsidRPr="00DE618E">
        <w:rPr>
          <w:noProof/>
        </w:rPr>
        <w:t>highly specialised therapies, 11, 71, 75</w:t>
      </w:r>
    </w:p>
    <w:p w14:paraId="33C46C2A" w14:textId="77777777" w:rsidR="00711027" w:rsidRPr="00DE618E" w:rsidRDefault="00711027">
      <w:pPr>
        <w:pStyle w:val="Index2"/>
        <w:rPr>
          <w:noProof/>
        </w:rPr>
      </w:pPr>
      <w:r w:rsidRPr="00DE618E">
        <w:rPr>
          <w:noProof/>
        </w:rPr>
        <w:t>HST, 21, 32, 36, 71, 72, 73, 77, 78, 83, 104, 136, 156, 171</w:t>
      </w:r>
    </w:p>
    <w:p w14:paraId="11765C74" w14:textId="77777777" w:rsidR="00711027" w:rsidRPr="00DE618E" w:rsidRDefault="00711027">
      <w:pPr>
        <w:pStyle w:val="Index1"/>
        <w:rPr>
          <w:noProof/>
        </w:rPr>
      </w:pPr>
      <w:r w:rsidRPr="00DE618E">
        <w:rPr>
          <w:rFonts w:eastAsia="Times New Roman" w:cs="Segoe UI"/>
          <w:noProof/>
        </w:rPr>
        <w:t>horizon scanning</w:t>
      </w:r>
      <w:r w:rsidRPr="00DE618E">
        <w:rPr>
          <w:noProof/>
        </w:rPr>
        <w:t>, 13, 16, 18, 20, 21, 26, 33, 36, 37, 61, 65, 70, 72, 73, 87, 137, 151, 152, 153, 154, 155, 156, 157</w:t>
      </w:r>
    </w:p>
    <w:p w14:paraId="04C595C7" w14:textId="77777777" w:rsidR="00711027" w:rsidRPr="00DE618E" w:rsidRDefault="00711027">
      <w:pPr>
        <w:pStyle w:val="Index1"/>
        <w:rPr>
          <w:noProof/>
        </w:rPr>
      </w:pPr>
      <w:r w:rsidRPr="00DE618E">
        <w:rPr>
          <w:noProof/>
        </w:rPr>
        <w:t>international collaboration, 21, 26, 37, 73, 156, 157, 165</w:t>
      </w:r>
    </w:p>
    <w:p w14:paraId="2B0F9949" w14:textId="77777777" w:rsidR="00711027" w:rsidRPr="00DE618E" w:rsidRDefault="00711027">
      <w:pPr>
        <w:pStyle w:val="Index1"/>
        <w:rPr>
          <w:noProof/>
        </w:rPr>
      </w:pPr>
      <w:r w:rsidRPr="00DE618E">
        <w:rPr>
          <w:noProof/>
        </w:rPr>
        <w:t>Life Saving Drugs Program, 11, 22</w:t>
      </w:r>
    </w:p>
    <w:p w14:paraId="10783C85" w14:textId="77777777" w:rsidR="00711027" w:rsidRPr="00DE618E" w:rsidRDefault="00711027">
      <w:pPr>
        <w:pStyle w:val="Index2"/>
        <w:rPr>
          <w:noProof/>
        </w:rPr>
      </w:pPr>
      <w:r w:rsidRPr="00DE618E">
        <w:rPr>
          <w:noProof/>
        </w:rPr>
        <w:t>LSDP, 11, 22, 47, 49, 50, 79, 81, 172</w:t>
      </w:r>
    </w:p>
    <w:p w14:paraId="6FB67A3A" w14:textId="77777777" w:rsidR="00711027" w:rsidRPr="00DE618E" w:rsidRDefault="00711027">
      <w:pPr>
        <w:pStyle w:val="Index1"/>
        <w:rPr>
          <w:noProof/>
        </w:rPr>
      </w:pPr>
      <w:r w:rsidRPr="00DE618E">
        <w:rPr>
          <w:noProof/>
        </w:rPr>
        <w:t>managing uncertainty, 15, 31, 32, 55, 122, 127</w:t>
      </w:r>
    </w:p>
    <w:p w14:paraId="467C00F3" w14:textId="77777777" w:rsidR="00711027" w:rsidRPr="00DE618E" w:rsidRDefault="00711027">
      <w:pPr>
        <w:pStyle w:val="Index1"/>
        <w:rPr>
          <w:noProof/>
        </w:rPr>
      </w:pPr>
      <w:r w:rsidRPr="00DE618E">
        <w:rPr>
          <w:rFonts w:eastAsia="Times New Roman" w:cs="Segoe UI"/>
          <w:noProof/>
          <w:color w:val="222A35"/>
          <w:kern w:val="24"/>
        </w:rPr>
        <w:t>PICO</w:t>
      </w:r>
      <w:r w:rsidRPr="00DE618E">
        <w:rPr>
          <w:noProof/>
        </w:rPr>
        <w:t>, 3, 13, 14, 19, 23, 26, 27, 34, 36, 55, 64, 65, 84, 89, 90, 91, 92, 141, 142</w:t>
      </w:r>
    </w:p>
    <w:p w14:paraId="1E3D4A1D" w14:textId="77777777" w:rsidR="00711027" w:rsidRPr="00DE618E" w:rsidRDefault="00711027">
      <w:pPr>
        <w:pStyle w:val="Index1"/>
        <w:rPr>
          <w:noProof/>
        </w:rPr>
      </w:pPr>
      <w:r w:rsidRPr="00DE618E">
        <w:rPr>
          <w:rFonts w:eastAsia="Times New Roman" w:cs="Segoe UI"/>
          <w:noProof/>
          <w:kern w:val="24"/>
        </w:rPr>
        <w:t>price negotiation</w:t>
      </w:r>
      <w:r w:rsidRPr="00DE618E">
        <w:rPr>
          <w:noProof/>
        </w:rPr>
        <w:t>, 25, 77, 79, 86, 112, 116, 122, 123, 124, 128, 129, 132, 134, 139</w:t>
      </w:r>
    </w:p>
    <w:p w14:paraId="3050FA3A" w14:textId="77777777" w:rsidR="00711027" w:rsidRPr="00DE618E" w:rsidRDefault="00711027">
      <w:pPr>
        <w:pStyle w:val="Index2"/>
        <w:rPr>
          <w:noProof/>
        </w:rPr>
      </w:pPr>
      <w:r w:rsidRPr="00DE618E">
        <w:rPr>
          <w:noProof/>
        </w:rPr>
        <w:t>pricing negotiation, 25, 32, 33, 86, 136, 137</w:t>
      </w:r>
    </w:p>
    <w:p w14:paraId="2D9C45AF" w14:textId="77777777" w:rsidR="00711027" w:rsidRPr="00DE618E" w:rsidRDefault="00711027">
      <w:pPr>
        <w:pStyle w:val="Index1"/>
        <w:rPr>
          <w:noProof/>
        </w:rPr>
      </w:pPr>
      <w:r w:rsidRPr="00DE618E">
        <w:rPr>
          <w:rFonts w:eastAsia="Times New Roman" w:cs="Segoe UI"/>
          <w:noProof/>
          <w:color w:val="222A35"/>
          <w:kern w:val="24"/>
        </w:rPr>
        <w:t>proportionate appraisal</w:t>
      </w:r>
      <w:r w:rsidRPr="00DE618E">
        <w:rPr>
          <w:noProof/>
        </w:rPr>
        <w:t>, 23, 84</w:t>
      </w:r>
    </w:p>
    <w:p w14:paraId="5F2A1068" w14:textId="77777777" w:rsidR="00711027" w:rsidRPr="00DE618E" w:rsidRDefault="00711027">
      <w:pPr>
        <w:pStyle w:val="Index2"/>
        <w:rPr>
          <w:noProof/>
        </w:rPr>
      </w:pPr>
      <w:r w:rsidRPr="00DE618E">
        <w:rPr>
          <w:noProof/>
        </w:rPr>
        <w:lastRenderedPageBreak/>
        <w:t>proportionate assessment, 31, 32, 135</w:t>
      </w:r>
    </w:p>
    <w:p w14:paraId="6BC44AB5" w14:textId="77777777" w:rsidR="00711027" w:rsidRPr="00DE618E" w:rsidRDefault="00711027">
      <w:pPr>
        <w:pStyle w:val="Index1"/>
        <w:rPr>
          <w:noProof/>
        </w:rPr>
      </w:pPr>
      <w:r w:rsidRPr="00DE618E">
        <w:rPr>
          <w:rFonts w:eastAsia="Times New Roman"/>
          <w:noProof/>
          <w:color w:val="222A35"/>
          <w:kern w:val="24"/>
        </w:rPr>
        <w:t>rare diseases</w:t>
      </w:r>
      <w:r w:rsidRPr="00DE618E">
        <w:rPr>
          <w:noProof/>
        </w:rPr>
        <w:t>, 22, 35, 79, 81, 94, 96, 120, 129, 147, 150</w:t>
      </w:r>
    </w:p>
    <w:p w14:paraId="6472F54B" w14:textId="77777777" w:rsidR="00711027" w:rsidRPr="00DE618E" w:rsidRDefault="00711027">
      <w:pPr>
        <w:pStyle w:val="Index1"/>
        <w:rPr>
          <w:noProof/>
        </w:rPr>
      </w:pPr>
      <w:r w:rsidRPr="00DE618E">
        <w:rPr>
          <w:rFonts w:eastAsia="Arial"/>
          <w:noProof/>
          <w:color w:val="000000" w:themeColor="text1"/>
        </w:rPr>
        <w:t>real-world evidence</w:t>
      </w:r>
      <w:r w:rsidRPr="00DE618E">
        <w:rPr>
          <w:noProof/>
        </w:rPr>
        <w:t>, 19, 54, 66</w:t>
      </w:r>
    </w:p>
    <w:p w14:paraId="29391BAF" w14:textId="77777777" w:rsidR="00711027" w:rsidRPr="00DE618E" w:rsidRDefault="00711027">
      <w:pPr>
        <w:pStyle w:val="Index2"/>
        <w:rPr>
          <w:noProof/>
        </w:rPr>
      </w:pPr>
      <w:r w:rsidRPr="00DE618E">
        <w:rPr>
          <w:noProof/>
        </w:rPr>
        <w:t>RWE, 14, 16, 19, 28, 34, 35, 67, 94, 95, 97, 99, 143, 144, 145, 146, 147, 148, 149</w:t>
      </w:r>
    </w:p>
    <w:p w14:paraId="0EE7CF76" w14:textId="77777777" w:rsidR="00711027" w:rsidRPr="00DE618E" w:rsidRDefault="00711027">
      <w:pPr>
        <w:pStyle w:val="Index1"/>
        <w:rPr>
          <w:noProof/>
        </w:rPr>
      </w:pPr>
      <w:r w:rsidRPr="00DE618E">
        <w:rPr>
          <w:rFonts w:eastAsia="Times New Roman" w:cs="Segoe UI"/>
          <w:noProof/>
          <w:kern w:val="24"/>
        </w:rPr>
        <w:t>re-assessment</w:t>
      </w:r>
      <w:r w:rsidRPr="00DE618E">
        <w:rPr>
          <w:noProof/>
        </w:rPr>
        <w:t>, 16, 26, 32, 33, 137</w:t>
      </w:r>
    </w:p>
    <w:p w14:paraId="6E0E8EE6" w14:textId="77777777" w:rsidR="00711027" w:rsidRPr="00DE618E" w:rsidRDefault="00711027">
      <w:pPr>
        <w:pStyle w:val="Index1"/>
        <w:rPr>
          <w:noProof/>
        </w:rPr>
      </w:pPr>
      <w:r w:rsidRPr="00DE618E">
        <w:rPr>
          <w:noProof/>
        </w:rPr>
        <w:t>registries, 35, 143, 150</w:t>
      </w:r>
    </w:p>
    <w:p w14:paraId="3F8CEDC3" w14:textId="77777777" w:rsidR="00711027" w:rsidRPr="00DE618E" w:rsidRDefault="00711027">
      <w:pPr>
        <w:pStyle w:val="Index1"/>
        <w:rPr>
          <w:noProof/>
        </w:rPr>
      </w:pPr>
      <w:r w:rsidRPr="00DE618E">
        <w:rPr>
          <w:noProof/>
        </w:rPr>
        <w:t>selection of comparator, 13, 30, 64, 89, 124</w:t>
      </w:r>
    </w:p>
    <w:p w14:paraId="1C8A345F" w14:textId="77777777" w:rsidR="00711027" w:rsidRPr="00DE618E" w:rsidRDefault="00711027">
      <w:pPr>
        <w:pStyle w:val="Index1"/>
        <w:rPr>
          <w:noProof/>
        </w:rPr>
      </w:pPr>
      <w:r w:rsidRPr="00DE618E">
        <w:rPr>
          <w:noProof/>
        </w:rPr>
        <w:t>state and territory governments, 12, 15, 21, 36, 41, 52, 54, 60, 71, 72, 73, 77, 129, 156</w:t>
      </w:r>
    </w:p>
    <w:p w14:paraId="7D07F4E1" w14:textId="77777777" w:rsidR="00711027" w:rsidRPr="00DE618E" w:rsidRDefault="00711027">
      <w:pPr>
        <w:pStyle w:val="Index1"/>
        <w:rPr>
          <w:noProof/>
        </w:rPr>
      </w:pPr>
      <w:r w:rsidRPr="00DE618E">
        <w:rPr>
          <w:rFonts w:eastAsia="Times New Roman" w:cs="Segoe UI"/>
          <w:noProof/>
          <w:color w:val="222A35"/>
          <w:kern w:val="24"/>
        </w:rPr>
        <w:t>streamlining</w:t>
      </w:r>
      <w:r w:rsidRPr="00DE618E">
        <w:rPr>
          <w:noProof/>
        </w:rPr>
        <w:t>, 13, 23, 84</w:t>
      </w:r>
    </w:p>
    <w:p w14:paraId="354A49CF" w14:textId="77777777" w:rsidR="00711027" w:rsidRPr="00DE618E" w:rsidRDefault="00711027">
      <w:pPr>
        <w:pStyle w:val="Index1"/>
        <w:rPr>
          <w:noProof/>
        </w:rPr>
      </w:pPr>
      <w:r w:rsidRPr="00DE618E">
        <w:rPr>
          <w:noProof/>
        </w:rPr>
        <w:t>transparency, 11, 12, 14, 20, 21, 27, 28, 52, 58, 59, 60, 61, 67, 73, 78, 79, 91, 92, 95, 97, 100</w:t>
      </w:r>
    </w:p>
    <w:p w14:paraId="7DFE5D97" w14:textId="77777777" w:rsidR="00711027" w:rsidRPr="00DE618E" w:rsidRDefault="00711027">
      <w:pPr>
        <w:pStyle w:val="Index1"/>
        <w:rPr>
          <w:noProof/>
        </w:rPr>
      </w:pPr>
      <w:r w:rsidRPr="00DE618E">
        <w:rPr>
          <w:rFonts w:eastAsia="Times New Roman" w:cs="Segoe UI"/>
          <w:noProof/>
        </w:rPr>
        <w:t>tumour agnostic therapies</w:t>
      </w:r>
      <w:r w:rsidRPr="00DE618E">
        <w:rPr>
          <w:noProof/>
        </w:rPr>
        <w:t>, 29, 101, 103, 104, 105</w:t>
      </w:r>
    </w:p>
    <w:p w14:paraId="2259706E" w14:textId="77777777" w:rsidR="00711027" w:rsidRPr="00DE618E" w:rsidRDefault="00711027">
      <w:pPr>
        <w:pStyle w:val="Index1"/>
        <w:rPr>
          <w:noProof/>
        </w:rPr>
      </w:pPr>
      <w:r w:rsidRPr="00DE618E">
        <w:rPr>
          <w:noProof/>
        </w:rPr>
        <w:t>unmet clinical need, 16, 20, 21, 24, 28, 35, 36, 37, 69, 70, 81, 151, 157</w:t>
      </w:r>
    </w:p>
    <w:p w14:paraId="5C3AE821" w14:textId="77777777" w:rsidR="00711027" w:rsidRPr="00DE618E" w:rsidRDefault="00711027">
      <w:pPr>
        <w:pStyle w:val="Index1"/>
        <w:rPr>
          <w:noProof/>
        </w:rPr>
      </w:pPr>
      <w:r w:rsidRPr="00DE618E">
        <w:rPr>
          <w:noProof/>
        </w:rPr>
        <w:t>vaccines, 11, 22, 23, 29, 31, 42, 57, 79, 82, 84, 101, 102, 105, 115, 116, 119, 121, 125, 165</w:t>
      </w:r>
    </w:p>
    <w:p w14:paraId="5AE80E5B" w14:textId="77777777" w:rsidR="00711027" w:rsidRPr="00DE618E" w:rsidRDefault="00711027">
      <w:pPr>
        <w:pStyle w:val="Index1"/>
        <w:rPr>
          <w:noProof/>
        </w:rPr>
      </w:pPr>
      <w:r w:rsidRPr="00DE618E">
        <w:rPr>
          <w:rFonts w:eastAsia="Arial" w:cs="Arial"/>
          <w:noProof/>
          <w:color w:val="000000" w:themeColor="text1"/>
        </w:rPr>
        <w:t>value framework</w:t>
      </w:r>
      <w:r w:rsidRPr="00DE618E">
        <w:rPr>
          <w:noProof/>
        </w:rPr>
        <w:t>, 29, 31, 34, 95, 98, 101, 126, 142</w:t>
      </w:r>
    </w:p>
    <w:p w14:paraId="137BA722" w14:textId="77777777" w:rsidR="00711027" w:rsidRDefault="00711027">
      <w:pPr>
        <w:pStyle w:val="Index1"/>
        <w:rPr>
          <w:bCs/>
          <w:noProof/>
        </w:rPr>
      </w:pPr>
      <w:r w:rsidRPr="00DE618E">
        <w:rPr>
          <w:noProof/>
        </w:rPr>
        <w:t>work-sharing, 17, 38, 164, 165</w:t>
      </w:r>
    </w:p>
    <w:p w14:paraId="759B7C0B" w14:textId="77777777" w:rsidR="00711027" w:rsidRDefault="00711027" w:rsidP="007C5523">
      <w:pPr>
        <w:rPr>
          <w:noProof/>
        </w:rPr>
        <w:sectPr w:rsidR="00711027" w:rsidSect="00711027">
          <w:type w:val="continuous"/>
          <w:pgSz w:w="11906" w:h="16838"/>
          <w:pgMar w:top="709" w:right="1440" w:bottom="1440" w:left="1440" w:header="284" w:footer="708" w:gutter="0"/>
          <w:cols w:num="2" w:space="720"/>
          <w:docGrid w:linePitch="360"/>
        </w:sectPr>
      </w:pPr>
    </w:p>
    <w:p w14:paraId="55969C85" w14:textId="0C7BA2A5" w:rsidR="00B84423" w:rsidRDefault="00AF354B" w:rsidP="007C5523">
      <w:pPr>
        <w:sectPr w:rsidR="00B84423" w:rsidSect="00711027">
          <w:type w:val="continuous"/>
          <w:pgSz w:w="11906" w:h="16838"/>
          <w:pgMar w:top="709" w:right="1440" w:bottom="1440" w:left="1440" w:header="284" w:footer="708" w:gutter="0"/>
          <w:cols w:space="708"/>
          <w:docGrid w:linePitch="360"/>
        </w:sectPr>
      </w:pPr>
      <w:r w:rsidRPr="00CE38AE">
        <w:fldChar w:fldCharType="end"/>
      </w:r>
    </w:p>
    <w:p w14:paraId="48EC3CA6" w14:textId="77777777" w:rsidR="0046443C" w:rsidRDefault="0046443C" w:rsidP="008C10BB">
      <w:pPr>
        <w:pStyle w:val="Heading1"/>
        <w:numPr>
          <w:ilvl w:val="0"/>
          <w:numId w:val="0"/>
        </w:numPr>
        <w:spacing w:line="259" w:lineRule="auto"/>
        <w:ind w:left="720" w:hanging="720"/>
      </w:pPr>
      <w:bookmarkStart w:id="270" w:name="_Toc157029141"/>
      <w:bookmarkStart w:id="271" w:name="_Toc157029506"/>
      <w:bookmarkStart w:id="272" w:name="_Toc157030198"/>
      <w:r>
        <w:lastRenderedPageBreak/>
        <w:t>List of Acronyms and Abbreviations</w:t>
      </w:r>
      <w:bookmarkEnd w:id="270"/>
      <w:bookmarkEnd w:id="271"/>
      <w:bookmarkEnd w:id="272"/>
    </w:p>
    <w:tbl>
      <w:tblPr>
        <w:tblStyle w:val="TableGrid"/>
        <w:tblW w:w="9616" w:type="dxa"/>
        <w:tblBorders>
          <w:top w:val="none" w:sz="0" w:space="0" w:color="auto"/>
          <w:left w:val="none" w:sz="0" w:space="0" w:color="auto"/>
          <w:bottom w:val="none" w:sz="0" w:space="0" w:color="auto"/>
          <w:right w:val="none" w:sz="0" w:space="0" w:color="auto"/>
          <w:insideH w:val="single" w:sz="4" w:space="0" w:color="C5D6F1" w:themeColor="accent1" w:themeTint="33"/>
          <w:insideV w:val="none" w:sz="0" w:space="0" w:color="auto"/>
        </w:tblBorders>
        <w:tblLayout w:type="fixed"/>
        <w:tblLook w:val="04A0" w:firstRow="1" w:lastRow="0" w:firstColumn="1" w:lastColumn="0" w:noHBand="0" w:noVBand="1"/>
      </w:tblPr>
      <w:tblGrid>
        <w:gridCol w:w="1506"/>
        <w:gridCol w:w="8110"/>
      </w:tblGrid>
      <w:tr w:rsidR="0046443C" w14:paraId="3FE20D9F" w14:textId="77777777" w:rsidTr="008B745F">
        <w:trPr>
          <w:trHeight w:val="13"/>
        </w:trPr>
        <w:tc>
          <w:tcPr>
            <w:tcW w:w="1506" w:type="dxa"/>
          </w:tcPr>
          <w:p w14:paraId="29DF7895" w14:textId="07559DDB" w:rsidR="0046443C" w:rsidRPr="009506EA" w:rsidRDefault="0046443C" w:rsidP="008C10BB">
            <w:pPr>
              <w:spacing w:line="259" w:lineRule="auto"/>
              <w:rPr>
                <w:b/>
                <w:bCs/>
              </w:rPr>
            </w:pPr>
            <w:r w:rsidRPr="009506EA">
              <w:rPr>
                <w:b/>
                <w:bCs/>
              </w:rPr>
              <w:t xml:space="preserve">Acronym </w:t>
            </w:r>
          </w:p>
        </w:tc>
        <w:tc>
          <w:tcPr>
            <w:tcW w:w="8110" w:type="dxa"/>
          </w:tcPr>
          <w:p w14:paraId="7D21C285" w14:textId="77777777" w:rsidR="0046443C" w:rsidRPr="009506EA" w:rsidRDefault="0046443C" w:rsidP="008C10BB">
            <w:pPr>
              <w:spacing w:line="259" w:lineRule="auto"/>
              <w:rPr>
                <w:b/>
                <w:bCs/>
              </w:rPr>
            </w:pPr>
            <w:r w:rsidRPr="009506EA">
              <w:rPr>
                <w:b/>
                <w:bCs/>
              </w:rPr>
              <w:t>Full</w:t>
            </w:r>
          </w:p>
        </w:tc>
      </w:tr>
      <w:tr w:rsidR="0046443C" w14:paraId="4F68B4B2" w14:textId="77777777" w:rsidTr="008B745F">
        <w:trPr>
          <w:trHeight w:val="27"/>
        </w:trPr>
        <w:tc>
          <w:tcPr>
            <w:tcW w:w="1506" w:type="dxa"/>
          </w:tcPr>
          <w:p w14:paraId="03174C31" w14:textId="77777777" w:rsidR="0046443C" w:rsidRPr="00FD547F" w:rsidRDefault="0046443C" w:rsidP="008C10BB">
            <w:pPr>
              <w:spacing w:line="259" w:lineRule="auto"/>
            </w:pPr>
            <w:r w:rsidRPr="00E61E42">
              <w:t>ACCHSs</w:t>
            </w:r>
          </w:p>
        </w:tc>
        <w:tc>
          <w:tcPr>
            <w:tcW w:w="8110" w:type="dxa"/>
          </w:tcPr>
          <w:p w14:paraId="2FD2B85D" w14:textId="77777777" w:rsidR="0046443C" w:rsidRPr="00FD547F" w:rsidRDefault="0046443C" w:rsidP="008C10BB">
            <w:pPr>
              <w:spacing w:line="259" w:lineRule="auto"/>
            </w:pPr>
            <w:bookmarkStart w:id="273" w:name="_Hlk156914727"/>
            <w:r w:rsidRPr="00E61E42">
              <w:t>Aboriginal and Torres Strait Islander</w:t>
            </w:r>
            <w:r w:rsidRPr="00E61E42">
              <w:fldChar w:fldCharType="begin"/>
            </w:r>
            <w:r>
              <w:instrText xml:space="preserve"> XE "</w:instrText>
            </w:r>
            <w:r w:rsidRPr="00E61E42">
              <w:instrText>Aboriginal and Torres Strait Islander</w:instrText>
            </w:r>
            <w:r>
              <w:instrText xml:space="preserve">" \b </w:instrText>
            </w:r>
            <w:r w:rsidRPr="00E61E42">
              <w:fldChar w:fldCharType="end"/>
            </w:r>
            <w:r w:rsidRPr="00E61E42">
              <w:t xml:space="preserve"> community-controlled health services </w:t>
            </w:r>
            <w:bookmarkEnd w:id="273"/>
            <w:r w:rsidRPr="00E61E42">
              <w:t>(</w:t>
            </w:r>
            <w:r>
              <w:t>also ACCHOs)</w:t>
            </w:r>
          </w:p>
        </w:tc>
      </w:tr>
      <w:tr w:rsidR="00867497" w14:paraId="1D01D44E" w14:textId="77777777" w:rsidTr="008B745F">
        <w:trPr>
          <w:trHeight w:val="13"/>
        </w:trPr>
        <w:tc>
          <w:tcPr>
            <w:tcW w:w="1506" w:type="dxa"/>
          </w:tcPr>
          <w:p w14:paraId="1FB323B3" w14:textId="3770E310" w:rsidR="00867497" w:rsidRPr="00E61E42" w:rsidRDefault="00867497" w:rsidP="008C10BB">
            <w:pPr>
              <w:spacing w:line="259" w:lineRule="auto"/>
            </w:pPr>
            <w:r>
              <w:t>AT’s</w:t>
            </w:r>
          </w:p>
        </w:tc>
        <w:tc>
          <w:tcPr>
            <w:tcW w:w="8110" w:type="dxa"/>
          </w:tcPr>
          <w:p w14:paraId="366D5FD2" w14:textId="3B35864A" w:rsidR="00867497" w:rsidRPr="00E61E42" w:rsidRDefault="00867497" w:rsidP="008C10BB">
            <w:pPr>
              <w:spacing w:line="259" w:lineRule="auto"/>
            </w:pPr>
            <w:r>
              <w:t>Advanced Therapies</w:t>
            </w:r>
            <w:r w:rsidR="00444D2E">
              <w:t xml:space="preserve"> (see </w:t>
            </w:r>
            <w:r w:rsidR="002E10B4">
              <w:t xml:space="preserve">also </w:t>
            </w:r>
            <w:r w:rsidR="00444D2E">
              <w:t>ATMP’s</w:t>
            </w:r>
            <w:r w:rsidR="002E10B4">
              <w:t xml:space="preserve"> and HST</w:t>
            </w:r>
            <w:r w:rsidR="00D0068C">
              <w:fldChar w:fldCharType="begin"/>
            </w:r>
            <w:r w:rsidR="00D0068C">
              <w:instrText xml:space="preserve"> XE "</w:instrText>
            </w:r>
            <w:r w:rsidR="00D0068C" w:rsidRPr="0014280D">
              <w:rPr>
                <w:rStyle w:val="cf01"/>
                <w:sz w:val="20"/>
                <w:szCs w:val="20"/>
              </w:rPr>
              <w:instrText xml:space="preserve">highly specialised </w:instrText>
            </w:r>
            <w:proofErr w:type="spellStart"/>
            <w:proofErr w:type="gramStart"/>
            <w:r w:rsidR="00D0068C" w:rsidRPr="0014280D">
              <w:rPr>
                <w:rStyle w:val="cf01"/>
                <w:sz w:val="20"/>
                <w:szCs w:val="20"/>
              </w:rPr>
              <w:instrText>therapies:</w:instrText>
            </w:r>
            <w:r w:rsidR="00D0068C" w:rsidRPr="0014280D">
              <w:instrText>HST</w:instrText>
            </w:r>
            <w:proofErr w:type="spellEnd"/>
            <w:proofErr w:type="gramEnd"/>
            <w:r w:rsidR="00D0068C">
              <w:instrText xml:space="preserve">" </w:instrText>
            </w:r>
            <w:r w:rsidR="00D0068C">
              <w:fldChar w:fldCharType="end"/>
            </w:r>
            <w:r w:rsidR="002E10B4">
              <w:t>’s</w:t>
            </w:r>
            <w:r w:rsidR="00444D2E">
              <w:t>)</w:t>
            </w:r>
          </w:p>
        </w:tc>
      </w:tr>
      <w:tr w:rsidR="0046443C" w14:paraId="58F25B07" w14:textId="77777777" w:rsidTr="008B745F">
        <w:trPr>
          <w:trHeight w:val="13"/>
        </w:trPr>
        <w:tc>
          <w:tcPr>
            <w:tcW w:w="1506" w:type="dxa"/>
          </w:tcPr>
          <w:p w14:paraId="3397A6F3" w14:textId="77777777" w:rsidR="0046443C" w:rsidRDefault="0046443C" w:rsidP="008C10BB">
            <w:pPr>
              <w:spacing w:line="259" w:lineRule="auto"/>
            </w:pPr>
            <w:r w:rsidRPr="00FD547F">
              <w:t>AHTA</w:t>
            </w:r>
          </w:p>
        </w:tc>
        <w:tc>
          <w:tcPr>
            <w:tcW w:w="8110" w:type="dxa"/>
          </w:tcPr>
          <w:p w14:paraId="5BEC8142" w14:textId="77777777" w:rsidR="0046443C" w:rsidRDefault="0046443C" w:rsidP="008C10BB">
            <w:pPr>
              <w:spacing w:line="259" w:lineRule="auto"/>
            </w:pPr>
            <w:r w:rsidRPr="00FD547F">
              <w:t>Adelaide Health Technology Assessment</w:t>
            </w:r>
          </w:p>
        </w:tc>
      </w:tr>
      <w:tr w:rsidR="0046443C" w14:paraId="00FECA6D" w14:textId="77777777" w:rsidTr="008B745F">
        <w:trPr>
          <w:trHeight w:val="13"/>
        </w:trPr>
        <w:tc>
          <w:tcPr>
            <w:tcW w:w="1506" w:type="dxa"/>
          </w:tcPr>
          <w:p w14:paraId="649B0890" w14:textId="77777777" w:rsidR="0046443C" w:rsidRDefault="0046443C" w:rsidP="008C10BB">
            <w:pPr>
              <w:spacing w:line="259" w:lineRule="auto"/>
            </w:pPr>
            <w:r>
              <w:t>AMR</w:t>
            </w:r>
          </w:p>
        </w:tc>
        <w:tc>
          <w:tcPr>
            <w:tcW w:w="8110" w:type="dxa"/>
          </w:tcPr>
          <w:p w14:paraId="2AA4612B" w14:textId="77777777" w:rsidR="0046443C" w:rsidRDefault="0046443C" w:rsidP="008C10BB">
            <w:pPr>
              <w:spacing w:line="259" w:lineRule="auto"/>
            </w:pPr>
            <w:r>
              <w:t>Antimicrobial resistance</w:t>
            </w:r>
          </w:p>
        </w:tc>
      </w:tr>
      <w:tr w:rsidR="0046443C" w14:paraId="60C444F9" w14:textId="77777777" w:rsidTr="008B745F">
        <w:trPr>
          <w:trHeight w:val="13"/>
        </w:trPr>
        <w:tc>
          <w:tcPr>
            <w:tcW w:w="1506" w:type="dxa"/>
          </w:tcPr>
          <w:p w14:paraId="49A8702B" w14:textId="77777777" w:rsidR="0046443C" w:rsidRDefault="0046443C" w:rsidP="008C10BB">
            <w:pPr>
              <w:spacing w:line="259" w:lineRule="auto"/>
            </w:pPr>
            <w:bookmarkStart w:id="274" w:name="_Hlk156913074"/>
            <w:r w:rsidRPr="00790AF0">
              <w:t>ARTG</w:t>
            </w:r>
          </w:p>
        </w:tc>
        <w:tc>
          <w:tcPr>
            <w:tcW w:w="8110" w:type="dxa"/>
          </w:tcPr>
          <w:p w14:paraId="5DE400C8" w14:textId="77777777" w:rsidR="0046443C" w:rsidRDefault="0046443C" w:rsidP="008C10BB">
            <w:pPr>
              <w:spacing w:line="259" w:lineRule="auto"/>
            </w:pPr>
            <w:r w:rsidRPr="00790AF0">
              <w:t>Australian Register of Therapeutic Goods</w:t>
            </w:r>
          </w:p>
        </w:tc>
      </w:tr>
      <w:bookmarkEnd w:id="274"/>
      <w:tr w:rsidR="0046443C" w14:paraId="3C815469" w14:textId="77777777" w:rsidTr="008B745F">
        <w:trPr>
          <w:trHeight w:val="13"/>
        </w:trPr>
        <w:tc>
          <w:tcPr>
            <w:tcW w:w="1506" w:type="dxa"/>
          </w:tcPr>
          <w:p w14:paraId="69FD0541" w14:textId="77777777" w:rsidR="0046443C" w:rsidRDefault="0046443C" w:rsidP="008C10BB">
            <w:pPr>
              <w:spacing w:line="259" w:lineRule="auto"/>
            </w:pPr>
            <w:r>
              <w:t>ATAGI</w:t>
            </w:r>
          </w:p>
        </w:tc>
        <w:tc>
          <w:tcPr>
            <w:tcW w:w="8110" w:type="dxa"/>
          </w:tcPr>
          <w:p w14:paraId="2ABF8E84" w14:textId="77777777" w:rsidR="0046443C" w:rsidRDefault="0046443C" w:rsidP="008C10BB">
            <w:pPr>
              <w:spacing w:line="259" w:lineRule="auto"/>
            </w:pPr>
            <w:r w:rsidRPr="00790AF0">
              <w:t>Australian Technical Advisory Group on Immunisation (Australia)</w:t>
            </w:r>
          </w:p>
        </w:tc>
      </w:tr>
      <w:tr w:rsidR="0046443C" w14:paraId="4ED3CA0A" w14:textId="77777777" w:rsidTr="008B745F">
        <w:trPr>
          <w:trHeight w:val="45"/>
        </w:trPr>
        <w:tc>
          <w:tcPr>
            <w:tcW w:w="1506" w:type="dxa"/>
          </w:tcPr>
          <w:p w14:paraId="48900CDF" w14:textId="77777777" w:rsidR="0046443C" w:rsidRDefault="0046443C" w:rsidP="008C10BB">
            <w:pPr>
              <w:spacing w:line="259" w:lineRule="auto"/>
            </w:pPr>
            <w:r w:rsidRPr="00790AF0">
              <w:t>ATMPs</w:t>
            </w:r>
          </w:p>
        </w:tc>
        <w:tc>
          <w:tcPr>
            <w:tcW w:w="8110" w:type="dxa"/>
          </w:tcPr>
          <w:p w14:paraId="7DBF52FD" w14:textId="5228899D" w:rsidR="00134475" w:rsidRDefault="0046443C" w:rsidP="008C10BB">
            <w:pPr>
              <w:spacing w:line="259" w:lineRule="auto"/>
            </w:pPr>
            <w:r w:rsidRPr="00790AF0">
              <w:t>Advanced Therapy Medicinal Products</w:t>
            </w:r>
          </w:p>
          <w:p w14:paraId="594AA0D9" w14:textId="7B421A3A" w:rsidR="0046443C" w:rsidRPr="00790AF0" w:rsidRDefault="0046443C" w:rsidP="008C10BB">
            <w:pPr>
              <w:spacing w:before="120" w:line="259" w:lineRule="auto"/>
            </w:pPr>
            <w:r w:rsidRPr="00117D66">
              <w:rPr>
                <w:i/>
                <w:sz w:val="22"/>
                <w:szCs w:val="22"/>
              </w:rPr>
              <w:t>also sometimes known as ‘advanced therapies</w:t>
            </w:r>
            <w:r w:rsidR="00700B73">
              <w:rPr>
                <w:i/>
                <w:sz w:val="22"/>
                <w:szCs w:val="22"/>
              </w:rPr>
              <w:fldChar w:fldCharType="begin"/>
            </w:r>
            <w:r w:rsidR="00700B73">
              <w:instrText xml:space="preserve"> XE "</w:instrText>
            </w:r>
            <w:r w:rsidR="00700B73" w:rsidRPr="00D231D2">
              <w:instrText>advanced therapies</w:instrText>
            </w:r>
            <w:r w:rsidR="00700B73">
              <w:instrText xml:space="preserve">" </w:instrText>
            </w:r>
            <w:r w:rsidR="00700B73">
              <w:rPr>
                <w:i/>
                <w:sz w:val="22"/>
                <w:szCs w:val="22"/>
              </w:rPr>
              <w:fldChar w:fldCharType="end"/>
            </w:r>
            <w:r w:rsidRPr="00117D66">
              <w:rPr>
                <w:i/>
                <w:sz w:val="22"/>
                <w:szCs w:val="22"/>
              </w:rPr>
              <w:t>’, ‘highly specialised technologies’, or cell and gene therapies</w:t>
            </w:r>
            <w:r w:rsidR="007E1F56">
              <w:rPr>
                <w:i/>
                <w:sz w:val="22"/>
                <w:szCs w:val="22"/>
              </w:rPr>
              <w:fldChar w:fldCharType="begin"/>
            </w:r>
            <w:r w:rsidR="007E1F56">
              <w:instrText xml:space="preserve"> XE "</w:instrText>
            </w:r>
            <w:r w:rsidR="007E1F56" w:rsidRPr="00D45E56">
              <w:rPr>
                <w:rFonts w:eastAsia="Arial" w:cs="Arial"/>
              </w:rPr>
              <w:instrText>cell and gene therapies</w:instrText>
            </w:r>
            <w:r w:rsidR="007E1F56">
              <w:instrText xml:space="preserve">" </w:instrText>
            </w:r>
            <w:r w:rsidR="007E1F56">
              <w:rPr>
                <w:i/>
                <w:sz w:val="22"/>
                <w:szCs w:val="22"/>
              </w:rPr>
              <w:fldChar w:fldCharType="end"/>
            </w:r>
            <w:r w:rsidRPr="00117D66">
              <w:rPr>
                <w:i/>
                <w:sz w:val="22"/>
                <w:szCs w:val="22"/>
              </w:rPr>
              <w:t>.</w:t>
            </w:r>
            <w:r w:rsidRPr="00790AF0">
              <w:t xml:space="preserve"> </w:t>
            </w:r>
          </w:p>
        </w:tc>
      </w:tr>
      <w:tr w:rsidR="0046443C" w14:paraId="2A5E3241" w14:textId="77777777" w:rsidTr="008B745F">
        <w:trPr>
          <w:trHeight w:val="13"/>
        </w:trPr>
        <w:tc>
          <w:tcPr>
            <w:tcW w:w="1506" w:type="dxa"/>
          </w:tcPr>
          <w:p w14:paraId="0BB2A54B" w14:textId="77777777" w:rsidR="0046443C" w:rsidRDefault="0046443C" w:rsidP="008C10BB">
            <w:pPr>
              <w:spacing w:line="259" w:lineRule="auto"/>
            </w:pPr>
            <w:r>
              <w:t>AHMAC</w:t>
            </w:r>
          </w:p>
        </w:tc>
        <w:tc>
          <w:tcPr>
            <w:tcW w:w="8110" w:type="dxa"/>
          </w:tcPr>
          <w:p w14:paraId="5F7BDD86" w14:textId="77777777" w:rsidR="0046443C" w:rsidRDefault="0046443C" w:rsidP="008C10BB">
            <w:pPr>
              <w:spacing w:line="259" w:lineRule="auto"/>
            </w:pPr>
            <w:r>
              <w:t>Australian Health Ministers’ Advisory Council</w:t>
            </w:r>
          </w:p>
        </w:tc>
      </w:tr>
      <w:tr w:rsidR="0046443C" w14:paraId="6AE83A88" w14:textId="77777777" w:rsidTr="008B745F">
        <w:trPr>
          <w:trHeight w:val="13"/>
        </w:trPr>
        <w:tc>
          <w:tcPr>
            <w:tcW w:w="1506" w:type="dxa"/>
          </w:tcPr>
          <w:p w14:paraId="7ABAA0DB" w14:textId="77777777" w:rsidR="0046443C" w:rsidRDefault="0046443C" w:rsidP="008C10BB">
            <w:pPr>
              <w:spacing w:line="259" w:lineRule="auto"/>
            </w:pPr>
            <w:r w:rsidRPr="00790AF0">
              <w:t>BPORs</w:t>
            </w:r>
          </w:p>
        </w:tc>
        <w:tc>
          <w:tcPr>
            <w:tcW w:w="8110" w:type="dxa"/>
          </w:tcPr>
          <w:p w14:paraId="64B9E911" w14:textId="77777777" w:rsidR="0046443C" w:rsidRDefault="0046443C" w:rsidP="008C10BB">
            <w:pPr>
              <w:spacing w:line="259" w:lineRule="auto"/>
            </w:pPr>
            <w:r w:rsidRPr="00790AF0">
              <w:t>Budget Process Operational Rules </w:t>
            </w:r>
          </w:p>
        </w:tc>
      </w:tr>
      <w:tr w:rsidR="0046443C" w14:paraId="05FEAF2C" w14:textId="77777777" w:rsidTr="008B745F">
        <w:trPr>
          <w:trHeight w:val="13"/>
        </w:trPr>
        <w:tc>
          <w:tcPr>
            <w:tcW w:w="1506" w:type="dxa"/>
          </w:tcPr>
          <w:p w14:paraId="6A1A5EC7" w14:textId="77777777" w:rsidR="0046443C" w:rsidRDefault="0046443C" w:rsidP="008C10BB">
            <w:pPr>
              <w:spacing w:line="259" w:lineRule="auto"/>
            </w:pPr>
            <w:r>
              <w:t>CADTH</w:t>
            </w:r>
          </w:p>
        </w:tc>
        <w:tc>
          <w:tcPr>
            <w:tcW w:w="8110" w:type="dxa"/>
          </w:tcPr>
          <w:p w14:paraId="10B2DD60" w14:textId="77777777" w:rsidR="0046443C" w:rsidRDefault="0046443C" w:rsidP="008C10BB">
            <w:pPr>
              <w:spacing w:line="259" w:lineRule="auto"/>
            </w:pPr>
            <w:r>
              <w:t>Canadian Agency for Drugs and Technologies in Health</w:t>
            </w:r>
          </w:p>
        </w:tc>
      </w:tr>
      <w:tr w:rsidR="0046443C" w14:paraId="79D7C4BB" w14:textId="77777777" w:rsidTr="008B745F">
        <w:trPr>
          <w:trHeight w:val="27"/>
        </w:trPr>
        <w:tc>
          <w:tcPr>
            <w:tcW w:w="1506" w:type="dxa"/>
          </w:tcPr>
          <w:p w14:paraId="1692E4AF" w14:textId="77777777" w:rsidR="0046443C" w:rsidRPr="006A3BFB" w:rsidRDefault="0046443C" w:rsidP="008C10BB">
            <w:pPr>
              <w:spacing w:line="259" w:lineRule="auto"/>
            </w:pPr>
            <w:r w:rsidRPr="006A3BFB">
              <w:t>CAR-T</w:t>
            </w:r>
          </w:p>
        </w:tc>
        <w:tc>
          <w:tcPr>
            <w:tcW w:w="8110" w:type="dxa"/>
          </w:tcPr>
          <w:p w14:paraId="1C5BBBCF" w14:textId="77777777" w:rsidR="0046443C" w:rsidRPr="006A3BFB" w:rsidRDefault="0046443C" w:rsidP="008C10BB">
            <w:pPr>
              <w:spacing w:line="259" w:lineRule="auto"/>
            </w:pPr>
            <w:r w:rsidRPr="006A3BFB">
              <w:t>Chimeric antigen receptor T cell therapy (a type of gene modified cell therapy)</w:t>
            </w:r>
          </w:p>
        </w:tc>
      </w:tr>
      <w:tr w:rsidR="0046443C" w14:paraId="46947EDE" w14:textId="77777777" w:rsidTr="008B745F">
        <w:trPr>
          <w:trHeight w:val="13"/>
        </w:trPr>
        <w:tc>
          <w:tcPr>
            <w:tcW w:w="1506" w:type="dxa"/>
          </w:tcPr>
          <w:p w14:paraId="19D95E43" w14:textId="77777777" w:rsidR="0046443C" w:rsidRDefault="0046443C" w:rsidP="008C10BB">
            <w:pPr>
              <w:spacing w:line="259" w:lineRule="auto"/>
            </w:pPr>
            <w:r w:rsidRPr="00FD547F">
              <w:t>CCC</w:t>
            </w:r>
          </w:p>
        </w:tc>
        <w:tc>
          <w:tcPr>
            <w:tcW w:w="8110" w:type="dxa"/>
          </w:tcPr>
          <w:p w14:paraId="4301FE7D" w14:textId="77777777" w:rsidR="0046443C" w:rsidRDefault="0046443C" w:rsidP="008C10BB">
            <w:pPr>
              <w:spacing w:line="259" w:lineRule="auto"/>
            </w:pPr>
            <w:r w:rsidRPr="00FD547F">
              <w:t>Consumer Consultative Committee (Australia)</w:t>
            </w:r>
          </w:p>
        </w:tc>
      </w:tr>
      <w:tr w:rsidR="0046443C" w14:paraId="31B1D52D" w14:textId="77777777" w:rsidTr="008B745F">
        <w:trPr>
          <w:trHeight w:val="13"/>
        </w:trPr>
        <w:tc>
          <w:tcPr>
            <w:tcW w:w="1506" w:type="dxa"/>
          </w:tcPr>
          <w:p w14:paraId="49D3E2B0" w14:textId="7C83BF7F" w:rsidR="0046443C" w:rsidRDefault="0046443C" w:rsidP="008C10BB">
            <w:pPr>
              <w:spacing w:line="259" w:lineRule="auto"/>
            </w:pPr>
            <w:r w:rsidRPr="00790AF0">
              <w:t>CEA</w:t>
            </w:r>
            <w:r w:rsidR="00E54B6A">
              <w:fldChar w:fldCharType="begin"/>
            </w:r>
            <w:r w:rsidR="00E54B6A">
              <w:instrText xml:space="preserve"> XE "</w:instrText>
            </w:r>
            <w:r w:rsidR="00E54B6A" w:rsidRPr="00AA2B44">
              <w:rPr>
                <w:rFonts w:eastAsia="Times New Roman" w:cs="Segoe UI"/>
                <w:color w:val="222A35"/>
                <w:kern w:val="24"/>
                <w:lang w:eastAsia="en-AU"/>
              </w:rPr>
              <w:instrText xml:space="preserve">cost-effectiveness </w:instrText>
            </w:r>
            <w:proofErr w:type="spellStart"/>
            <w:proofErr w:type="gramStart"/>
            <w:r w:rsidR="00E54B6A" w:rsidRPr="00AA2B44">
              <w:rPr>
                <w:rFonts w:eastAsia="Times New Roman" w:cs="Segoe UI"/>
                <w:color w:val="222A35"/>
                <w:kern w:val="24"/>
                <w:lang w:eastAsia="en-AU"/>
              </w:rPr>
              <w:instrText>analysis</w:instrText>
            </w:r>
            <w:r w:rsidR="00E54B6A" w:rsidRPr="00AA2B44">
              <w:rPr>
                <w:rFonts w:eastAsia="Times New Roman" w:cs="Segoe UI"/>
                <w:color w:val="222A35"/>
                <w:kern w:val="24"/>
              </w:rPr>
              <w:instrText>:</w:instrText>
            </w:r>
            <w:r w:rsidR="00E54B6A" w:rsidRPr="00AA2B44">
              <w:instrText>CEA</w:instrText>
            </w:r>
            <w:proofErr w:type="spellEnd"/>
            <w:proofErr w:type="gramEnd"/>
            <w:r w:rsidR="00E54B6A">
              <w:instrText xml:space="preserve">" </w:instrText>
            </w:r>
            <w:r w:rsidR="00E54B6A">
              <w:fldChar w:fldCharType="end"/>
            </w:r>
          </w:p>
        </w:tc>
        <w:tc>
          <w:tcPr>
            <w:tcW w:w="8110" w:type="dxa"/>
          </w:tcPr>
          <w:p w14:paraId="60AC642F" w14:textId="211FFE57" w:rsidR="0046443C" w:rsidRDefault="0046443C" w:rsidP="008C10BB">
            <w:pPr>
              <w:spacing w:line="259" w:lineRule="auto"/>
            </w:pPr>
            <w:r w:rsidRPr="00790AF0">
              <w:t>cost-effectiveness analysis</w:t>
            </w:r>
            <w:r w:rsidR="003A0169">
              <w:fldChar w:fldCharType="begin"/>
            </w:r>
            <w:r w:rsidR="003A0169">
              <w:instrText xml:space="preserve"> XE "</w:instrText>
            </w:r>
            <w:r w:rsidR="003A0169" w:rsidRPr="007F69FE">
              <w:instrText>cost-effectiveness analysis</w:instrText>
            </w:r>
            <w:r w:rsidR="003A0169">
              <w:instrText xml:space="preserve">" </w:instrText>
            </w:r>
            <w:r w:rsidR="003A0169">
              <w:fldChar w:fldCharType="end"/>
            </w:r>
          </w:p>
        </w:tc>
      </w:tr>
      <w:tr w:rsidR="0046443C" w14:paraId="1EF2708C" w14:textId="77777777" w:rsidTr="008B745F">
        <w:trPr>
          <w:trHeight w:val="13"/>
        </w:trPr>
        <w:tc>
          <w:tcPr>
            <w:tcW w:w="1506" w:type="dxa"/>
          </w:tcPr>
          <w:p w14:paraId="6ED663E3" w14:textId="77777777" w:rsidR="0046443C" w:rsidRDefault="0046443C" w:rsidP="008C10BB">
            <w:pPr>
              <w:spacing w:line="259" w:lineRule="auto"/>
            </w:pPr>
            <w:r>
              <w:t>CED</w:t>
            </w:r>
          </w:p>
        </w:tc>
        <w:tc>
          <w:tcPr>
            <w:tcW w:w="8110" w:type="dxa"/>
          </w:tcPr>
          <w:p w14:paraId="31C2F24D" w14:textId="77777777" w:rsidR="0046443C" w:rsidRDefault="0046443C" w:rsidP="008C10BB">
            <w:pPr>
              <w:spacing w:line="259" w:lineRule="auto"/>
            </w:pPr>
            <w:r>
              <w:t>coverage with evidence development</w:t>
            </w:r>
          </w:p>
        </w:tc>
      </w:tr>
      <w:tr w:rsidR="0046443C" w14:paraId="6FDA3E73" w14:textId="77777777" w:rsidTr="008B745F">
        <w:trPr>
          <w:trHeight w:val="2"/>
        </w:trPr>
        <w:tc>
          <w:tcPr>
            <w:tcW w:w="1506" w:type="dxa"/>
          </w:tcPr>
          <w:p w14:paraId="55D46860" w14:textId="77777777" w:rsidR="0046443C" w:rsidRDefault="0046443C" w:rsidP="008C10BB">
            <w:pPr>
              <w:spacing w:line="259" w:lineRule="auto"/>
            </w:pPr>
            <w:r w:rsidRPr="00FD547F">
              <w:t>CEEU</w:t>
            </w:r>
          </w:p>
        </w:tc>
        <w:tc>
          <w:tcPr>
            <w:tcW w:w="8110" w:type="dxa"/>
          </w:tcPr>
          <w:p w14:paraId="50B50995" w14:textId="77777777" w:rsidR="0046443C" w:rsidRDefault="0046443C" w:rsidP="008C10BB">
            <w:pPr>
              <w:spacing w:line="259" w:lineRule="auto"/>
            </w:pPr>
            <w:r w:rsidRPr="00FD547F">
              <w:t>Consumer Evidence and Engagement Unit (Australia)</w:t>
            </w:r>
          </w:p>
        </w:tc>
      </w:tr>
      <w:tr w:rsidR="0046443C" w14:paraId="16F3620D" w14:textId="77777777" w:rsidTr="008B745F">
        <w:trPr>
          <w:trHeight w:val="15"/>
        </w:trPr>
        <w:tc>
          <w:tcPr>
            <w:tcW w:w="1506" w:type="dxa"/>
          </w:tcPr>
          <w:p w14:paraId="229AA85B" w14:textId="77777777" w:rsidR="0046443C" w:rsidRPr="00FD547F" w:rsidRDefault="0046443C" w:rsidP="008C10BB">
            <w:pPr>
              <w:spacing w:line="259" w:lineRule="auto"/>
            </w:pPr>
            <w:r w:rsidRPr="00790AF0">
              <w:t>CMA</w:t>
            </w:r>
          </w:p>
        </w:tc>
        <w:tc>
          <w:tcPr>
            <w:tcW w:w="8110" w:type="dxa"/>
          </w:tcPr>
          <w:p w14:paraId="22397829" w14:textId="77777777" w:rsidR="0046443C" w:rsidRPr="00FD547F" w:rsidRDefault="0046443C" w:rsidP="008C10BB">
            <w:pPr>
              <w:spacing w:line="259" w:lineRule="auto"/>
            </w:pPr>
            <w:r w:rsidRPr="00790AF0">
              <w:t>cost-minimisation</w:t>
            </w:r>
            <w:r w:rsidRPr="00790AF0">
              <w:fldChar w:fldCharType="begin"/>
            </w:r>
            <w:r>
              <w:instrText xml:space="preserve"> XE "</w:instrText>
            </w:r>
            <w:r w:rsidRPr="00B423D2">
              <w:instrText>cost-minimisation</w:instrText>
            </w:r>
            <w:r>
              <w:instrText xml:space="preserve">" \b </w:instrText>
            </w:r>
            <w:r w:rsidRPr="00790AF0">
              <w:fldChar w:fldCharType="end"/>
            </w:r>
            <w:r w:rsidRPr="00790AF0">
              <w:t xml:space="preserve"> analysis</w:t>
            </w:r>
          </w:p>
        </w:tc>
      </w:tr>
      <w:tr w:rsidR="0046443C" w14:paraId="57224873" w14:textId="77777777" w:rsidTr="008B745F">
        <w:trPr>
          <w:trHeight w:val="13"/>
        </w:trPr>
        <w:tc>
          <w:tcPr>
            <w:tcW w:w="1506" w:type="dxa"/>
          </w:tcPr>
          <w:p w14:paraId="120541A0" w14:textId="77777777" w:rsidR="0046443C" w:rsidRPr="00FD547F" w:rsidRDefault="0046443C" w:rsidP="008C10BB">
            <w:pPr>
              <w:spacing w:line="259" w:lineRule="auto"/>
            </w:pPr>
            <w:r>
              <w:t>CIRS</w:t>
            </w:r>
          </w:p>
        </w:tc>
        <w:tc>
          <w:tcPr>
            <w:tcW w:w="8110" w:type="dxa"/>
          </w:tcPr>
          <w:p w14:paraId="6EB353BD" w14:textId="77777777" w:rsidR="0046443C" w:rsidRPr="00FD547F" w:rsidRDefault="0046443C" w:rsidP="008C10BB">
            <w:pPr>
              <w:spacing w:line="259" w:lineRule="auto"/>
            </w:pPr>
            <w:r>
              <w:t>Centre for Innovation and Regulatory Science (international)</w:t>
            </w:r>
          </w:p>
        </w:tc>
      </w:tr>
      <w:tr w:rsidR="0046443C" w14:paraId="4D245455" w14:textId="77777777" w:rsidTr="008B745F">
        <w:trPr>
          <w:trHeight w:val="13"/>
        </w:trPr>
        <w:tc>
          <w:tcPr>
            <w:tcW w:w="1506" w:type="dxa"/>
          </w:tcPr>
          <w:p w14:paraId="5942396B" w14:textId="77777777" w:rsidR="0046443C" w:rsidRPr="00FD547F" w:rsidRDefault="0046443C" w:rsidP="008C10BB">
            <w:pPr>
              <w:spacing w:line="259" w:lineRule="auto"/>
            </w:pPr>
            <w:r w:rsidRPr="00FD547F">
              <w:t>CHERE</w:t>
            </w:r>
          </w:p>
        </w:tc>
        <w:tc>
          <w:tcPr>
            <w:tcW w:w="8110" w:type="dxa"/>
          </w:tcPr>
          <w:p w14:paraId="5CA1AF50" w14:textId="77777777" w:rsidR="0046443C" w:rsidRPr="00FD547F" w:rsidRDefault="0046443C" w:rsidP="008C10BB">
            <w:pPr>
              <w:spacing w:line="259" w:lineRule="auto"/>
            </w:pPr>
            <w:r w:rsidRPr="00FD547F">
              <w:t>Centre for Health Economics Research and Evaluation</w:t>
            </w:r>
          </w:p>
        </w:tc>
      </w:tr>
      <w:tr w:rsidR="0046443C" w14:paraId="4EF529AC" w14:textId="77777777" w:rsidTr="008B745F">
        <w:trPr>
          <w:trHeight w:val="27"/>
        </w:trPr>
        <w:tc>
          <w:tcPr>
            <w:tcW w:w="1506" w:type="dxa"/>
          </w:tcPr>
          <w:p w14:paraId="05C41208" w14:textId="77777777" w:rsidR="0046443C" w:rsidRDefault="0046443C" w:rsidP="008C10BB">
            <w:pPr>
              <w:spacing w:line="259" w:lineRule="auto"/>
            </w:pPr>
            <w:r w:rsidRPr="00FD547F">
              <w:t>Consultation Hub</w:t>
            </w:r>
          </w:p>
        </w:tc>
        <w:tc>
          <w:tcPr>
            <w:tcW w:w="8110" w:type="dxa"/>
          </w:tcPr>
          <w:p w14:paraId="4DF46584" w14:textId="77777777" w:rsidR="0046443C" w:rsidRPr="00790AF0" w:rsidRDefault="0046443C" w:rsidP="008C10BB">
            <w:pPr>
              <w:spacing w:line="259" w:lineRule="auto"/>
            </w:pPr>
            <w:r w:rsidRPr="00FD547F">
              <w:t>Office of Health Technology Assessment Consultation Hub</w:t>
            </w:r>
          </w:p>
        </w:tc>
      </w:tr>
      <w:tr w:rsidR="0046443C" w14:paraId="282ACB6C" w14:textId="77777777" w:rsidTr="008B745F">
        <w:trPr>
          <w:trHeight w:val="13"/>
        </w:trPr>
        <w:tc>
          <w:tcPr>
            <w:tcW w:w="1506" w:type="dxa"/>
          </w:tcPr>
          <w:p w14:paraId="2E4C901D" w14:textId="2E218620" w:rsidR="0046443C" w:rsidRDefault="0046443C" w:rsidP="008C10BB">
            <w:pPr>
              <w:spacing w:line="259" w:lineRule="auto"/>
            </w:pPr>
            <w:r w:rsidRPr="00790AF0">
              <w:t>CUA</w:t>
            </w:r>
            <w:r w:rsidR="00F80646">
              <w:fldChar w:fldCharType="begin"/>
            </w:r>
            <w:r w:rsidR="00F80646">
              <w:instrText xml:space="preserve"> XE "</w:instrText>
            </w:r>
            <w:r w:rsidR="00F80646" w:rsidRPr="000B6374">
              <w:rPr>
                <w:rFonts w:eastAsia="Times New Roman" w:cs="Segoe UI"/>
                <w:lang w:eastAsia="en-AU"/>
              </w:rPr>
              <w:instrText xml:space="preserve">cost-utility </w:instrText>
            </w:r>
            <w:proofErr w:type="spellStart"/>
            <w:proofErr w:type="gramStart"/>
            <w:r w:rsidR="00F80646" w:rsidRPr="000B6374">
              <w:rPr>
                <w:rFonts w:eastAsia="Times New Roman" w:cs="Segoe UI"/>
                <w:lang w:eastAsia="en-AU"/>
              </w:rPr>
              <w:instrText>analysis</w:instrText>
            </w:r>
            <w:r w:rsidR="00F80646" w:rsidRPr="000B6374">
              <w:rPr>
                <w:rFonts w:eastAsia="Times New Roman" w:cs="Segoe UI"/>
              </w:rPr>
              <w:instrText>:</w:instrText>
            </w:r>
            <w:r w:rsidR="00F80646" w:rsidRPr="000B6374">
              <w:instrText>CUA</w:instrText>
            </w:r>
            <w:proofErr w:type="spellEnd"/>
            <w:proofErr w:type="gramEnd"/>
            <w:r w:rsidR="00F80646">
              <w:instrText xml:space="preserve">" </w:instrText>
            </w:r>
            <w:r w:rsidR="00F80646">
              <w:fldChar w:fldCharType="end"/>
            </w:r>
          </w:p>
        </w:tc>
        <w:tc>
          <w:tcPr>
            <w:tcW w:w="8110" w:type="dxa"/>
          </w:tcPr>
          <w:p w14:paraId="4A418033" w14:textId="2F273D0F" w:rsidR="0046443C" w:rsidRPr="00790AF0" w:rsidRDefault="0046443C" w:rsidP="008C10BB">
            <w:pPr>
              <w:spacing w:line="259" w:lineRule="auto"/>
            </w:pPr>
            <w:r w:rsidRPr="00790AF0">
              <w:t>cost-utility analysis</w:t>
            </w:r>
            <w:r w:rsidR="00E54B6A">
              <w:fldChar w:fldCharType="begin"/>
            </w:r>
            <w:r w:rsidR="00E54B6A">
              <w:instrText xml:space="preserve"> XE "</w:instrText>
            </w:r>
            <w:r w:rsidR="00E54B6A" w:rsidRPr="00E57812">
              <w:rPr>
                <w:rFonts w:eastAsia="Times New Roman" w:cs="Segoe UI"/>
                <w:lang w:eastAsia="en-AU"/>
              </w:rPr>
              <w:instrText>cost-utility analysis</w:instrText>
            </w:r>
            <w:r w:rsidR="00E54B6A">
              <w:instrText xml:space="preserve">" </w:instrText>
            </w:r>
            <w:r w:rsidR="00E54B6A">
              <w:fldChar w:fldCharType="end"/>
            </w:r>
          </w:p>
        </w:tc>
      </w:tr>
      <w:tr w:rsidR="0046443C" w14:paraId="70ACFF23" w14:textId="77777777" w:rsidTr="008B745F">
        <w:trPr>
          <w:trHeight w:val="13"/>
        </w:trPr>
        <w:tc>
          <w:tcPr>
            <w:tcW w:w="1506" w:type="dxa"/>
          </w:tcPr>
          <w:p w14:paraId="0CCAB199" w14:textId="77777777" w:rsidR="0046443C" w:rsidRDefault="0046443C" w:rsidP="008C10BB">
            <w:pPr>
              <w:spacing w:line="259" w:lineRule="auto"/>
            </w:pPr>
            <w:bookmarkStart w:id="275" w:name="_Hlk156908021"/>
            <w:r w:rsidRPr="00790AF0">
              <w:t>EMA</w:t>
            </w:r>
          </w:p>
        </w:tc>
        <w:tc>
          <w:tcPr>
            <w:tcW w:w="8110" w:type="dxa"/>
          </w:tcPr>
          <w:p w14:paraId="570BF95F" w14:textId="77777777" w:rsidR="0046443C" w:rsidRPr="00790AF0" w:rsidRDefault="0046443C" w:rsidP="008C10BB">
            <w:pPr>
              <w:spacing w:line="259" w:lineRule="auto"/>
            </w:pPr>
            <w:r w:rsidRPr="00790AF0">
              <w:t>European Medicines Agency</w:t>
            </w:r>
          </w:p>
        </w:tc>
      </w:tr>
      <w:bookmarkEnd w:id="275"/>
      <w:tr w:rsidR="0046443C" w14:paraId="719AD281" w14:textId="77777777" w:rsidTr="008B745F">
        <w:trPr>
          <w:trHeight w:val="70"/>
        </w:trPr>
        <w:tc>
          <w:tcPr>
            <w:tcW w:w="1506" w:type="dxa"/>
          </w:tcPr>
          <w:p w14:paraId="6054E474" w14:textId="77777777" w:rsidR="0046443C" w:rsidRDefault="0046443C" w:rsidP="008C10BB">
            <w:pPr>
              <w:spacing w:line="259" w:lineRule="auto"/>
            </w:pPr>
            <w:r>
              <w:t>ESC (PBAC ESC)</w:t>
            </w:r>
          </w:p>
        </w:tc>
        <w:tc>
          <w:tcPr>
            <w:tcW w:w="8110" w:type="dxa"/>
          </w:tcPr>
          <w:p w14:paraId="33CD1587" w14:textId="77777777" w:rsidR="0046443C" w:rsidRPr="00790AF0" w:rsidRDefault="0046443C" w:rsidP="008C10BB">
            <w:pPr>
              <w:spacing w:line="259" w:lineRule="auto"/>
            </w:pPr>
            <w:r w:rsidRPr="00790AF0">
              <w:t xml:space="preserve">PBAC Economic Sub-Committee (PBAC economic sub-committee). </w:t>
            </w:r>
          </w:p>
          <w:p w14:paraId="5DBF9849" w14:textId="77777777" w:rsidR="0046443C" w:rsidRPr="00163B30" w:rsidRDefault="0046443C" w:rsidP="008C10BB">
            <w:pPr>
              <w:spacing w:before="120" w:line="259" w:lineRule="auto"/>
              <w:rPr>
                <w:i/>
                <w:sz w:val="22"/>
                <w:szCs w:val="22"/>
              </w:rPr>
            </w:pPr>
            <w:r w:rsidRPr="00117D66">
              <w:rPr>
                <w:i/>
                <w:sz w:val="22"/>
                <w:szCs w:val="22"/>
                <w:u w:val="single"/>
              </w:rPr>
              <w:lastRenderedPageBreak/>
              <w:t>Note</w:t>
            </w:r>
            <w:r w:rsidRPr="00163B30">
              <w:rPr>
                <w:i/>
                <w:sz w:val="22"/>
                <w:szCs w:val="22"/>
              </w:rPr>
              <w:t xml:space="preserve">: MSAC also has a sub-committee called the ‘evaluation sub-committee’, which is often also abbreviated to ESC. For the purposes of this document ‘ESC’ refers to the Economic sub-committee, and the MSAC sub-committee will be referred to as MSAC ESC. </w:t>
            </w:r>
          </w:p>
        </w:tc>
      </w:tr>
      <w:tr w:rsidR="0046443C" w14:paraId="32FF5832" w14:textId="77777777" w:rsidTr="008B745F">
        <w:trPr>
          <w:trHeight w:val="13"/>
        </w:trPr>
        <w:tc>
          <w:tcPr>
            <w:tcW w:w="1506" w:type="dxa"/>
          </w:tcPr>
          <w:p w14:paraId="5B8A98EC" w14:textId="77777777" w:rsidR="0046443C" w:rsidRDefault="0046443C" w:rsidP="008C10BB">
            <w:pPr>
              <w:spacing w:line="259" w:lineRule="auto"/>
            </w:pPr>
            <w:r w:rsidRPr="00790AF0">
              <w:lastRenderedPageBreak/>
              <w:t>FDA</w:t>
            </w:r>
          </w:p>
        </w:tc>
        <w:tc>
          <w:tcPr>
            <w:tcW w:w="8110" w:type="dxa"/>
          </w:tcPr>
          <w:p w14:paraId="6F196B86" w14:textId="77777777" w:rsidR="0046443C" w:rsidRDefault="0046443C" w:rsidP="008C10BB">
            <w:pPr>
              <w:spacing w:line="259" w:lineRule="auto"/>
            </w:pPr>
            <w:bookmarkStart w:id="276" w:name="_Hlk156907944"/>
            <w:r w:rsidRPr="00790AF0">
              <w:t xml:space="preserve">Food and Drug Administration </w:t>
            </w:r>
            <w:bookmarkEnd w:id="276"/>
            <w:r w:rsidRPr="00790AF0">
              <w:t>(US)</w:t>
            </w:r>
          </w:p>
        </w:tc>
      </w:tr>
      <w:tr w:rsidR="0046443C" w14:paraId="54F4D542" w14:textId="77777777" w:rsidTr="008B745F">
        <w:trPr>
          <w:trHeight w:val="13"/>
        </w:trPr>
        <w:tc>
          <w:tcPr>
            <w:tcW w:w="1506" w:type="dxa"/>
          </w:tcPr>
          <w:p w14:paraId="08E75687" w14:textId="77777777" w:rsidR="0046443C" w:rsidRDefault="0046443C" w:rsidP="008C10BB">
            <w:pPr>
              <w:spacing w:line="259" w:lineRule="auto"/>
            </w:pPr>
            <w:r>
              <w:t>G7</w:t>
            </w:r>
          </w:p>
        </w:tc>
        <w:tc>
          <w:tcPr>
            <w:tcW w:w="8110" w:type="dxa"/>
          </w:tcPr>
          <w:p w14:paraId="2DEF1CC9" w14:textId="77777777" w:rsidR="0046443C" w:rsidRDefault="0046443C" w:rsidP="008C10BB">
            <w:pPr>
              <w:spacing w:line="259" w:lineRule="auto"/>
            </w:pPr>
            <w:r w:rsidRPr="00790AF0">
              <w:t>Group of Seven </w:t>
            </w:r>
          </w:p>
        </w:tc>
      </w:tr>
      <w:tr w:rsidR="0046443C" w14:paraId="226DD0CD" w14:textId="77777777" w:rsidTr="008B745F">
        <w:trPr>
          <w:trHeight w:val="13"/>
        </w:trPr>
        <w:tc>
          <w:tcPr>
            <w:tcW w:w="1506" w:type="dxa"/>
          </w:tcPr>
          <w:p w14:paraId="4FA6379E" w14:textId="77777777" w:rsidR="0046443C" w:rsidRDefault="0046443C" w:rsidP="008C10BB">
            <w:pPr>
              <w:spacing w:line="259" w:lineRule="auto"/>
            </w:pPr>
            <w:r w:rsidRPr="00790AF0">
              <w:t>HATV</w:t>
            </w:r>
          </w:p>
        </w:tc>
        <w:tc>
          <w:tcPr>
            <w:tcW w:w="8110" w:type="dxa"/>
          </w:tcPr>
          <w:p w14:paraId="36B07ECB" w14:textId="77777777" w:rsidR="0046443C" w:rsidRDefault="0046443C" w:rsidP="008C10BB">
            <w:pPr>
              <w:spacing w:line="259" w:lineRule="auto"/>
            </w:pPr>
            <w:r w:rsidRPr="00790AF0">
              <w:t>high added therapeutic value</w:t>
            </w:r>
          </w:p>
        </w:tc>
      </w:tr>
      <w:tr w:rsidR="0046443C" w14:paraId="14D7C91A" w14:textId="77777777" w:rsidTr="008B745F">
        <w:trPr>
          <w:trHeight w:val="27"/>
        </w:trPr>
        <w:tc>
          <w:tcPr>
            <w:tcW w:w="1506" w:type="dxa"/>
          </w:tcPr>
          <w:p w14:paraId="69F00576" w14:textId="7CE1E946" w:rsidR="0046443C" w:rsidRDefault="0046443C" w:rsidP="008C10BB">
            <w:pPr>
              <w:spacing w:line="259" w:lineRule="auto"/>
            </w:pPr>
            <w:r>
              <w:t>HST</w:t>
            </w:r>
            <w:r w:rsidR="00D0068C">
              <w:fldChar w:fldCharType="begin"/>
            </w:r>
            <w:r w:rsidR="00D0068C">
              <w:instrText xml:space="preserve"> XE "</w:instrText>
            </w:r>
            <w:r w:rsidR="00D0068C" w:rsidRPr="0014280D">
              <w:rPr>
                <w:rStyle w:val="cf01"/>
                <w:sz w:val="20"/>
                <w:szCs w:val="20"/>
              </w:rPr>
              <w:instrText xml:space="preserve">highly specialised </w:instrText>
            </w:r>
            <w:proofErr w:type="spellStart"/>
            <w:proofErr w:type="gramStart"/>
            <w:r w:rsidR="00D0068C" w:rsidRPr="0014280D">
              <w:rPr>
                <w:rStyle w:val="cf01"/>
                <w:sz w:val="20"/>
                <w:szCs w:val="20"/>
              </w:rPr>
              <w:instrText>therapies:</w:instrText>
            </w:r>
            <w:r w:rsidR="00D0068C" w:rsidRPr="0014280D">
              <w:instrText>HST</w:instrText>
            </w:r>
            <w:proofErr w:type="spellEnd"/>
            <w:proofErr w:type="gramEnd"/>
            <w:r w:rsidR="00D0068C">
              <w:instrText xml:space="preserve">" </w:instrText>
            </w:r>
            <w:r w:rsidR="00D0068C">
              <w:fldChar w:fldCharType="end"/>
            </w:r>
          </w:p>
        </w:tc>
        <w:tc>
          <w:tcPr>
            <w:tcW w:w="8110" w:type="dxa"/>
          </w:tcPr>
          <w:p w14:paraId="380E7A87" w14:textId="15EE3BAB" w:rsidR="0046443C" w:rsidRDefault="00444D2E" w:rsidP="008C10BB">
            <w:pPr>
              <w:spacing w:line="259" w:lineRule="auto"/>
            </w:pPr>
            <w:r>
              <w:t xml:space="preserve">High cost </w:t>
            </w:r>
            <w:r w:rsidR="0046443C">
              <w:t>Highly Specialised Therapy</w:t>
            </w:r>
            <w:r w:rsidR="00312DCC">
              <w:t xml:space="preserve"> </w:t>
            </w:r>
            <w:r w:rsidR="0066704D">
              <w:t xml:space="preserve">delivered to public hospital inpatients </w:t>
            </w:r>
            <w:r w:rsidR="00312DCC">
              <w:t>as defined under the NHRA</w:t>
            </w:r>
            <w:r w:rsidR="0066704D">
              <w:t xml:space="preserve"> 2020-25 addendum</w:t>
            </w:r>
          </w:p>
        </w:tc>
      </w:tr>
      <w:tr w:rsidR="0046443C" w14:paraId="3AA69E93" w14:textId="77777777" w:rsidTr="008B745F">
        <w:trPr>
          <w:trHeight w:val="13"/>
        </w:trPr>
        <w:tc>
          <w:tcPr>
            <w:tcW w:w="1506" w:type="dxa"/>
          </w:tcPr>
          <w:p w14:paraId="354A9CF3" w14:textId="77777777" w:rsidR="0046443C" w:rsidRDefault="0046443C" w:rsidP="008C10BB">
            <w:pPr>
              <w:spacing w:line="259" w:lineRule="auto"/>
            </w:pPr>
            <w:r>
              <w:t>HTA</w:t>
            </w:r>
          </w:p>
        </w:tc>
        <w:tc>
          <w:tcPr>
            <w:tcW w:w="8110" w:type="dxa"/>
          </w:tcPr>
          <w:p w14:paraId="0A73DA17" w14:textId="77777777" w:rsidR="0046443C" w:rsidRDefault="0046443C" w:rsidP="008C10BB">
            <w:pPr>
              <w:spacing w:line="259" w:lineRule="auto"/>
            </w:pPr>
            <w:r>
              <w:t>Health Technology Assessment</w:t>
            </w:r>
          </w:p>
        </w:tc>
      </w:tr>
      <w:tr w:rsidR="0046443C" w14:paraId="31FF2DC4" w14:textId="77777777" w:rsidTr="008B745F">
        <w:trPr>
          <w:trHeight w:val="13"/>
        </w:trPr>
        <w:tc>
          <w:tcPr>
            <w:tcW w:w="1506" w:type="dxa"/>
          </w:tcPr>
          <w:p w14:paraId="251E4093" w14:textId="77777777" w:rsidR="0046443C" w:rsidRDefault="0046443C" w:rsidP="008C10BB">
            <w:pPr>
              <w:spacing w:line="259" w:lineRule="auto"/>
            </w:pPr>
            <w:r>
              <w:t>HTA Review</w:t>
            </w:r>
          </w:p>
        </w:tc>
        <w:tc>
          <w:tcPr>
            <w:tcW w:w="8110" w:type="dxa"/>
          </w:tcPr>
          <w:p w14:paraId="14A012B5" w14:textId="77777777" w:rsidR="0046443C" w:rsidRDefault="0046443C" w:rsidP="008C10BB">
            <w:pPr>
              <w:spacing w:line="259" w:lineRule="auto"/>
            </w:pPr>
            <w:r w:rsidRPr="00790AF0">
              <w:t>Health Technology Assessment Policy and Methods Review</w:t>
            </w:r>
          </w:p>
        </w:tc>
      </w:tr>
      <w:tr w:rsidR="0046443C" w14:paraId="5998BAE5" w14:textId="77777777" w:rsidTr="008B745F">
        <w:trPr>
          <w:trHeight w:val="13"/>
        </w:trPr>
        <w:tc>
          <w:tcPr>
            <w:tcW w:w="1506" w:type="dxa"/>
          </w:tcPr>
          <w:p w14:paraId="4C373BC3" w14:textId="7018E295" w:rsidR="0046443C" w:rsidRDefault="0046443C" w:rsidP="008C10BB">
            <w:pPr>
              <w:spacing w:line="259" w:lineRule="auto"/>
            </w:pPr>
            <w:r w:rsidRPr="00790AF0">
              <w:t>HUCN</w:t>
            </w:r>
            <w:r w:rsidR="00D027D9">
              <w:fldChar w:fldCharType="begin"/>
            </w:r>
            <w:r w:rsidR="00D027D9">
              <w:instrText xml:space="preserve"> XE "</w:instrText>
            </w:r>
            <w:r w:rsidR="00D027D9" w:rsidRPr="008516C7">
              <w:rPr>
                <w:lang w:val="en-US"/>
              </w:rPr>
              <w:instrText xml:space="preserve">high unmet clinical </w:instrText>
            </w:r>
            <w:proofErr w:type="gramStart"/>
            <w:r w:rsidR="00D027D9" w:rsidRPr="008516C7">
              <w:rPr>
                <w:lang w:val="en-US"/>
              </w:rPr>
              <w:instrText>need:</w:instrText>
            </w:r>
            <w:r w:rsidR="00D027D9" w:rsidRPr="008516C7">
              <w:instrText>HUCN</w:instrText>
            </w:r>
            <w:proofErr w:type="gramEnd"/>
            <w:r w:rsidR="00D027D9">
              <w:instrText xml:space="preserve">" </w:instrText>
            </w:r>
            <w:r w:rsidR="00D027D9">
              <w:fldChar w:fldCharType="end"/>
            </w:r>
          </w:p>
        </w:tc>
        <w:tc>
          <w:tcPr>
            <w:tcW w:w="8110" w:type="dxa"/>
          </w:tcPr>
          <w:p w14:paraId="7DFC8007" w14:textId="77777777" w:rsidR="0046443C" w:rsidRPr="00790AF0" w:rsidRDefault="0046443C" w:rsidP="008C10BB">
            <w:pPr>
              <w:spacing w:line="259" w:lineRule="auto"/>
            </w:pPr>
            <w:r w:rsidRPr="00790AF0">
              <w:t>High Unmet Clinical Need</w:t>
            </w:r>
          </w:p>
        </w:tc>
      </w:tr>
      <w:tr w:rsidR="0046443C" w14:paraId="29131BA3" w14:textId="77777777" w:rsidTr="008B745F">
        <w:trPr>
          <w:trHeight w:val="43"/>
        </w:trPr>
        <w:tc>
          <w:tcPr>
            <w:tcW w:w="1506" w:type="dxa"/>
          </w:tcPr>
          <w:p w14:paraId="1F492729" w14:textId="77777777" w:rsidR="0046443C" w:rsidRDefault="0046443C" w:rsidP="008C10BB">
            <w:pPr>
              <w:spacing w:line="259" w:lineRule="auto"/>
            </w:pPr>
            <w:r>
              <w:t>ICER</w:t>
            </w:r>
          </w:p>
        </w:tc>
        <w:tc>
          <w:tcPr>
            <w:tcW w:w="8110" w:type="dxa"/>
          </w:tcPr>
          <w:p w14:paraId="547004DE" w14:textId="77777777" w:rsidR="0046443C" w:rsidRDefault="0046443C" w:rsidP="008C10BB">
            <w:pPr>
              <w:spacing w:line="259" w:lineRule="auto"/>
            </w:pPr>
            <w:r>
              <w:t>Incremental Cost Effectiveness Ratio</w:t>
            </w:r>
          </w:p>
          <w:p w14:paraId="50A59B47" w14:textId="77777777" w:rsidR="0046443C" w:rsidRDefault="0046443C" w:rsidP="008C10BB">
            <w:pPr>
              <w:spacing w:before="120" w:line="259" w:lineRule="auto"/>
            </w:pPr>
            <w:r w:rsidRPr="00117D66">
              <w:rPr>
                <w:i/>
                <w:sz w:val="22"/>
                <w:szCs w:val="22"/>
                <w:u w:val="single"/>
              </w:rPr>
              <w:t>Note</w:t>
            </w:r>
            <w:r w:rsidRPr="00117D66">
              <w:rPr>
                <w:i/>
                <w:sz w:val="22"/>
                <w:szCs w:val="22"/>
              </w:rPr>
              <w:t xml:space="preserve">: </w:t>
            </w:r>
            <w:proofErr w:type="gramStart"/>
            <w:r w:rsidRPr="00117D66">
              <w:rPr>
                <w:i/>
                <w:sz w:val="22"/>
                <w:szCs w:val="22"/>
              </w:rPr>
              <w:t>the</w:t>
            </w:r>
            <w:proofErr w:type="gramEnd"/>
            <w:r w:rsidRPr="00117D66">
              <w:rPr>
                <w:i/>
                <w:sz w:val="22"/>
                <w:szCs w:val="22"/>
              </w:rPr>
              <w:t xml:space="preserve"> Institute for Clinical and Economic Review also abbreviates its name to ICER, so will be referred to in full in this document).</w:t>
            </w:r>
            <w:r>
              <w:t xml:space="preserve"> </w:t>
            </w:r>
          </w:p>
        </w:tc>
      </w:tr>
      <w:tr w:rsidR="0046443C" w14:paraId="22EA4F68" w14:textId="77777777" w:rsidTr="008B745F">
        <w:trPr>
          <w:trHeight w:val="41"/>
        </w:trPr>
        <w:tc>
          <w:tcPr>
            <w:tcW w:w="1506" w:type="dxa"/>
          </w:tcPr>
          <w:p w14:paraId="5D181228" w14:textId="77777777" w:rsidR="0046443C" w:rsidRDefault="0046443C" w:rsidP="008C10BB">
            <w:pPr>
              <w:spacing w:line="259" w:lineRule="auto"/>
            </w:pPr>
            <w:r>
              <w:t>the Inquiry</w:t>
            </w:r>
          </w:p>
        </w:tc>
        <w:tc>
          <w:tcPr>
            <w:tcW w:w="8110" w:type="dxa"/>
          </w:tcPr>
          <w:p w14:paraId="7F7D6F7B" w14:textId="77777777" w:rsidR="0046443C" w:rsidRDefault="0046443C" w:rsidP="008C10BB">
            <w:pPr>
              <w:spacing w:line="259" w:lineRule="auto"/>
            </w:pPr>
            <w:r w:rsidRPr="008412AF">
              <w:t>Standing Committee on Health, Aged Care and Sport (Standing Committee) Inquiry into approval processes for new drugs and novel medical technologies in Australia</w:t>
            </w:r>
          </w:p>
        </w:tc>
      </w:tr>
      <w:tr w:rsidR="0046443C" w14:paraId="782A05EC" w14:textId="77777777" w:rsidTr="008B745F">
        <w:trPr>
          <w:trHeight w:val="13"/>
        </w:trPr>
        <w:tc>
          <w:tcPr>
            <w:tcW w:w="1506" w:type="dxa"/>
          </w:tcPr>
          <w:p w14:paraId="11F512D0" w14:textId="77777777" w:rsidR="0046443C" w:rsidRDefault="0046443C" w:rsidP="008C10BB">
            <w:pPr>
              <w:spacing w:line="259" w:lineRule="auto"/>
            </w:pPr>
            <w:r w:rsidRPr="00790AF0">
              <w:t>IHSI</w:t>
            </w:r>
          </w:p>
        </w:tc>
        <w:tc>
          <w:tcPr>
            <w:tcW w:w="8110" w:type="dxa"/>
          </w:tcPr>
          <w:p w14:paraId="01DF7ABA" w14:textId="77777777" w:rsidR="0046443C" w:rsidRPr="008412AF" w:rsidRDefault="0046443C" w:rsidP="008C10BB">
            <w:pPr>
              <w:spacing w:line="259" w:lineRule="auto"/>
            </w:pPr>
            <w:r w:rsidRPr="00790AF0">
              <w:t>International Horizon Scanning Initiative</w:t>
            </w:r>
          </w:p>
        </w:tc>
      </w:tr>
      <w:tr w:rsidR="0046443C" w14:paraId="441D06AF" w14:textId="77777777" w:rsidTr="008B745F">
        <w:trPr>
          <w:trHeight w:val="13"/>
        </w:trPr>
        <w:tc>
          <w:tcPr>
            <w:tcW w:w="1506" w:type="dxa"/>
          </w:tcPr>
          <w:p w14:paraId="7F321FA6" w14:textId="484D2E93" w:rsidR="0046443C" w:rsidRDefault="0046443C" w:rsidP="008C10BB">
            <w:pPr>
              <w:spacing w:line="259" w:lineRule="auto"/>
            </w:pPr>
            <w:r>
              <w:t>LSDP</w:t>
            </w:r>
            <w:r w:rsidR="00E37312">
              <w:fldChar w:fldCharType="begin"/>
            </w:r>
            <w:r w:rsidR="00E37312">
              <w:instrText xml:space="preserve"> XE "</w:instrText>
            </w:r>
            <w:r w:rsidR="00E37312" w:rsidRPr="00F44E49">
              <w:rPr>
                <w:rStyle w:val="cf01"/>
                <w:sz w:val="20"/>
                <w:szCs w:val="20"/>
              </w:rPr>
              <w:instrText xml:space="preserve">Life Saving Drugs </w:instrText>
            </w:r>
            <w:proofErr w:type="spellStart"/>
            <w:proofErr w:type="gramStart"/>
            <w:r w:rsidR="00E37312" w:rsidRPr="00F44E49">
              <w:rPr>
                <w:rStyle w:val="cf01"/>
                <w:sz w:val="20"/>
                <w:szCs w:val="20"/>
              </w:rPr>
              <w:instrText>Program:</w:instrText>
            </w:r>
            <w:r w:rsidR="00E37312" w:rsidRPr="00F44E49">
              <w:instrText>LSDP</w:instrText>
            </w:r>
            <w:proofErr w:type="spellEnd"/>
            <w:proofErr w:type="gramEnd"/>
            <w:r w:rsidR="00E37312">
              <w:instrText xml:space="preserve">" </w:instrText>
            </w:r>
            <w:r w:rsidR="00E37312">
              <w:fldChar w:fldCharType="end"/>
            </w:r>
          </w:p>
        </w:tc>
        <w:tc>
          <w:tcPr>
            <w:tcW w:w="8110" w:type="dxa"/>
          </w:tcPr>
          <w:p w14:paraId="40F51951" w14:textId="77777777" w:rsidR="0046443C" w:rsidRDefault="0046443C" w:rsidP="008C10BB">
            <w:pPr>
              <w:spacing w:line="259" w:lineRule="auto"/>
            </w:pPr>
            <w:r>
              <w:t>Life Saving Drugs Program</w:t>
            </w:r>
          </w:p>
        </w:tc>
      </w:tr>
      <w:tr w:rsidR="0046443C" w14:paraId="01C217B0" w14:textId="77777777" w:rsidTr="008B745F">
        <w:trPr>
          <w:trHeight w:val="45"/>
        </w:trPr>
        <w:tc>
          <w:tcPr>
            <w:tcW w:w="1506" w:type="dxa"/>
          </w:tcPr>
          <w:p w14:paraId="28964B75" w14:textId="77777777" w:rsidR="0046443C" w:rsidRDefault="0046443C" w:rsidP="008C10BB">
            <w:pPr>
              <w:spacing w:line="259" w:lineRule="auto"/>
            </w:pPr>
            <w:r w:rsidRPr="00E53D06">
              <w:t>MAP</w:t>
            </w:r>
          </w:p>
        </w:tc>
        <w:tc>
          <w:tcPr>
            <w:tcW w:w="8110" w:type="dxa"/>
          </w:tcPr>
          <w:p w14:paraId="41BD74B0" w14:textId="77777777" w:rsidR="003C643A" w:rsidRDefault="0046443C" w:rsidP="008C10BB">
            <w:pPr>
              <w:spacing w:line="259" w:lineRule="auto"/>
            </w:pPr>
            <w:r w:rsidRPr="00E53D06">
              <w:t>Managed Access Program</w:t>
            </w:r>
          </w:p>
          <w:p w14:paraId="28D97FDA" w14:textId="5164B294" w:rsidR="0046443C" w:rsidRDefault="0046443C" w:rsidP="008C10BB">
            <w:pPr>
              <w:spacing w:line="259" w:lineRule="auto"/>
            </w:pPr>
            <w:r>
              <w:t xml:space="preserve">also sometimes known as Manages Entry Programs… </w:t>
            </w:r>
          </w:p>
          <w:p w14:paraId="3B0A9873" w14:textId="77777777" w:rsidR="0046443C" w:rsidRDefault="0046443C" w:rsidP="008C10BB">
            <w:pPr>
              <w:spacing w:before="120" w:line="259" w:lineRule="auto"/>
            </w:pPr>
            <w:r w:rsidRPr="00117D66">
              <w:rPr>
                <w:i/>
                <w:sz w:val="22"/>
                <w:szCs w:val="22"/>
              </w:rPr>
              <w:t>Note: not to be confused with ‘Medicines Access Programs’.</w:t>
            </w:r>
          </w:p>
        </w:tc>
      </w:tr>
      <w:tr w:rsidR="0046443C" w14:paraId="3CDF2B5F" w14:textId="77777777" w:rsidTr="008B745F">
        <w:trPr>
          <w:trHeight w:val="15"/>
        </w:trPr>
        <w:tc>
          <w:tcPr>
            <w:tcW w:w="1506" w:type="dxa"/>
          </w:tcPr>
          <w:p w14:paraId="3A1B9514" w14:textId="77777777" w:rsidR="0046443C" w:rsidRPr="00F42474" w:rsidRDefault="0046443C" w:rsidP="008C10BB">
            <w:pPr>
              <w:spacing w:line="259" w:lineRule="auto"/>
            </w:pPr>
            <w:r>
              <w:t>MBS</w:t>
            </w:r>
          </w:p>
        </w:tc>
        <w:tc>
          <w:tcPr>
            <w:tcW w:w="8110" w:type="dxa"/>
          </w:tcPr>
          <w:p w14:paraId="4F32F888" w14:textId="77777777" w:rsidR="0046443C" w:rsidRPr="00790AF0" w:rsidRDefault="0046443C" w:rsidP="008C10BB">
            <w:pPr>
              <w:spacing w:line="259" w:lineRule="auto"/>
            </w:pPr>
            <w:r>
              <w:t xml:space="preserve">Medicare Benefits Schedule </w:t>
            </w:r>
            <w:r w:rsidRPr="00790AF0">
              <w:t>(Australia)</w:t>
            </w:r>
          </w:p>
        </w:tc>
      </w:tr>
      <w:tr w:rsidR="0046443C" w14:paraId="2E56A1A4" w14:textId="77777777" w:rsidTr="008B745F">
        <w:trPr>
          <w:trHeight w:val="13"/>
        </w:trPr>
        <w:tc>
          <w:tcPr>
            <w:tcW w:w="1506" w:type="dxa"/>
          </w:tcPr>
          <w:p w14:paraId="588FA1DE" w14:textId="77777777" w:rsidR="0046443C" w:rsidRPr="00790AF0" w:rsidRDefault="0046443C" w:rsidP="008C10BB">
            <w:pPr>
              <w:spacing w:line="259" w:lineRule="auto"/>
            </w:pPr>
            <w:r w:rsidRPr="00790AF0">
              <w:t>MCDA</w:t>
            </w:r>
          </w:p>
        </w:tc>
        <w:tc>
          <w:tcPr>
            <w:tcW w:w="8110" w:type="dxa"/>
          </w:tcPr>
          <w:p w14:paraId="1941B0FF" w14:textId="77777777" w:rsidR="0046443C" w:rsidRPr="00790AF0" w:rsidRDefault="0046443C" w:rsidP="008C10BB">
            <w:pPr>
              <w:spacing w:line="259" w:lineRule="auto"/>
            </w:pPr>
            <w:r w:rsidRPr="00790AF0">
              <w:t>multiple criteria decision analyses</w:t>
            </w:r>
          </w:p>
        </w:tc>
      </w:tr>
      <w:tr w:rsidR="0046443C" w14:paraId="15633E77" w14:textId="77777777" w:rsidTr="008B745F">
        <w:trPr>
          <w:trHeight w:val="40"/>
        </w:trPr>
        <w:tc>
          <w:tcPr>
            <w:tcW w:w="1506" w:type="dxa"/>
          </w:tcPr>
          <w:p w14:paraId="4C83D73C" w14:textId="77777777" w:rsidR="0046443C" w:rsidRPr="00790AF0" w:rsidRDefault="0046443C" w:rsidP="008C10BB">
            <w:pPr>
              <w:spacing w:line="259" w:lineRule="auto"/>
            </w:pPr>
            <w:r>
              <w:t>MEAs</w:t>
            </w:r>
          </w:p>
        </w:tc>
        <w:tc>
          <w:tcPr>
            <w:tcW w:w="8110" w:type="dxa"/>
          </w:tcPr>
          <w:p w14:paraId="45B7E094" w14:textId="77777777" w:rsidR="003C643A" w:rsidRDefault="0046443C" w:rsidP="008C10BB">
            <w:pPr>
              <w:spacing w:line="259" w:lineRule="auto"/>
            </w:pPr>
            <w:r>
              <w:t xml:space="preserve">managed entry agreements </w:t>
            </w:r>
          </w:p>
          <w:p w14:paraId="78E4FDA6" w14:textId="7C6EE799" w:rsidR="0046443C" w:rsidRPr="00790AF0" w:rsidRDefault="0046443C" w:rsidP="008C10BB">
            <w:pPr>
              <w:spacing w:line="259" w:lineRule="auto"/>
            </w:pPr>
            <w:r>
              <w:t>(</w:t>
            </w:r>
            <w:proofErr w:type="gramStart"/>
            <w:r>
              <w:t>includes</w:t>
            </w:r>
            <w:proofErr w:type="gramEnd"/>
            <w:r>
              <w:t xml:space="preserve"> Managed Access Programs (MAPs), risk-share arrangements (RSAs)). </w:t>
            </w:r>
          </w:p>
        </w:tc>
      </w:tr>
      <w:tr w:rsidR="0046443C" w14:paraId="3A7EF061" w14:textId="77777777" w:rsidTr="008B745F">
        <w:trPr>
          <w:trHeight w:val="15"/>
        </w:trPr>
        <w:tc>
          <w:tcPr>
            <w:tcW w:w="1506" w:type="dxa"/>
          </w:tcPr>
          <w:p w14:paraId="1B600FE8" w14:textId="77777777" w:rsidR="0046443C" w:rsidRPr="00790AF0" w:rsidRDefault="0046443C" w:rsidP="008C10BB">
            <w:pPr>
              <w:spacing w:line="259" w:lineRule="auto"/>
            </w:pPr>
            <w:r w:rsidRPr="00FD547F">
              <w:t>MI-CRE</w:t>
            </w:r>
          </w:p>
        </w:tc>
        <w:tc>
          <w:tcPr>
            <w:tcW w:w="8110" w:type="dxa"/>
          </w:tcPr>
          <w:p w14:paraId="4F4F055B" w14:textId="0074205F" w:rsidR="0046443C" w:rsidRPr="00790AF0" w:rsidRDefault="0046443C" w:rsidP="008C10BB">
            <w:pPr>
              <w:spacing w:line="259" w:lineRule="auto"/>
            </w:pPr>
            <w:r w:rsidRPr="00FD547F">
              <w:t>Centre of Research Excellence in Medicines Intelligence</w:t>
            </w:r>
          </w:p>
        </w:tc>
      </w:tr>
      <w:tr w:rsidR="0046443C" w14:paraId="171CFFF8" w14:textId="77777777" w:rsidTr="008B745F">
        <w:trPr>
          <w:trHeight w:val="13"/>
        </w:trPr>
        <w:tc>
          <w:tcPr>
            <w:tcW w:w="1506" w:type="dxa"/>
          </w:tcPr>
          <w:p w14:paraId="30C78B05" w14:textId="3CB49F25" w:rsidR="0046443C" w:rsidRDefault="002B4482" w:rsidP="008C10BB">
            <w:pPr>
              <w:spacing w:line="259" w:lineRule="auto"/>
            </w:pPr>
            <w:r w:rsidRPr="00790AF0">
              <w:t>MSAC</w:t>
            </w:r>
          </w:p>
        </w:tc>
        <w:tc>
          <w:tcPr>
            <w:tcW w:w="8110" w:type="dxa"/>
          </w:tcPr>
          <w:p w14:paraId="722D1D60" w14:textId="784A32D8" w:rsidR="0046443C" w:rsidRDefault="002B4482" w:rsidP="008C10BB">
            <w:pPr>
              <w:spacing w:line="259" w:lineRule="auto"/>
            </w:pPr>
            <w:r w:rsidRPr="00790AF0">
              <w:t>Medical Services Advisory Committee (Australia)</w:t>
            </w:r>
          </w:p>
        </w:tc>
      </w:tr>
      <w:tr w:rsidR="0046443C" w14:paraId="2D913372" w14:textId="77777777" w:rsidTr="008B745F">
        <w:trPr>
          <w:trHeight w:val="31"/>
        </w:trPr>
        <w:tc>
          <w:tcPr>
            <w:tcW w:w="1506" w:type="dxa"/>
          </w:tcPr>
          <w:p w14:paraId="4E949387" w14:textId="77777777" w:rsidR="0046443C" w:rsidRDefault="0046443C" w:rsidP="008C10BB">
            <w:pPr>
              <w:spacing w:line="259" w:lineRule="auto"/>
            </w:pPr>
            <w:r>
              <w:lastRenderedPageBreak/>
              <w:t>MSAC ESC</w:t>
            </w:r>
          </w:p>
          <w:p w14:paraId="34EC71FE" w14:textId="77777777" w:rsidR="0046443C" w:rsidRDefault="0046443C" w:rsidP="008C10BB">
            <w:pPr>
              <w:spacing w:line="259" w:lineRule="auto"/>
            </w:pPr>
          </w:p>
        </w:tc>
        <w:tc>
          <w:tcPr>
            <w:tcW w:w="8110" w:type="dxa"/>
          </w:tcPr>
          <w:p w14:paraId="6DDDEFD8" w14:textId="77777777" w:rsidR="0046443C" w:rsidRPr="00790AF0" w:rsidRDefault="0046443C" w:rsidP="008C10BB">
            <w:pPr>
              <w:spacing w:line="259" w:lineRule="auto"/>
            </w:pPr>
            <w:r w:rsidRPr="00790AF0">
              <w:t xml:space="preserve">MSAC evaluation sub-committee (Australia) </w:t>
            </w:r>
          </w:p>
          <w:p w14:paraId="764711C0" w14:textId="77777777" w:rsidR="0046443C" w:rsidRPr="00B726AF" w:rsidRDefault="0046443C" w:rsidP="008C10BB">
            <w:pPr>
              <w:spacing w:before="120" w:line="259" w:lineRule="auto"/>
            </w:pPr>
            <w:r w:rsidRPr="00117D66">
              <w:rPr>
                <w:i/>
                <w:sz w:val="22"/>
                <w:szCs w:val="22"/>
              </w:rPr>
              <w:t>Note: not the same as ESC, economic sub-committee)</w:t>
            </w:r>
          </w:p>
        </w:tc>
      </w:tr>
      <w:tr w:rsidR="0046443C" w14:paraId="50B2068F" w14:textId="77777777" w:rsidTr="008B745F">
        <w:trPr>
          <w:trHeight w:val="13"/>
        </w:trPr>
        <w:tc>
          <w:tcPr>
            <w:tcW w:w="1506" w:type="dxa"/>
          </w:tcPr>
          <w:p w14:paraId="43865613" w14:textId="77777777" w:rsidR="0046443C" w:rsidRDefault="0046443C" w:rsidP="008C10BB">
            <w:pPr>
              <w:spacing w:line="259" w:lineRule="auto"/>
            </w:pPr>
            <w:r>
              <w:t>NACCHO</w:t>
            </w:r>
          </w:p>
        </w:tc>
        <w:tc>
          <w:tcPr>
            <w:tcW w:w="8110" w:type="dxa"/>
          </w:tcPr>
          <w:p w14:paraId="13A0FCBC" w14:textId="77777777" w:rsidR="0046443C" w:rsidRDefault="0046443C" w:rsidP="008C10BB">
            <w:pPr>
              <w:spacing w:line="259" w:lineRule="auto"/>
            </w:pPr>
            <w:r>
              <w:t>National Aboriginal Community Controlled Health Organisation</w:t>
            </w:r>
          </w:p>
        </w:tc>
      </w:tr>
      <w:tr w:rsidR="0046443C" w14:paraId="090C1F94" w14:textId="77777777" w:rsidTr="008B745F">
        <w:trPr>
          <w:trHeight w:val="13"/>
        </w:trPr>
        <w:tc>
          <w:tcPr>
            <w:tcW w:w="1506" w:type="dxa"/>
          </w:tcPr>
          <w:p w14:paraId="5B2C6B64" w14:textId="77777777" w:rsidR="0046443C" w:rsidRPr="00F42474" w:rsidRDefault="0046443C" w:rsidP="008C10BB">
            <w:pPr>
              <w:spacing w:line="259" w:lineRule="auto"/>
            </w:pPr>
            <w:r>
              <w:t>NBA</w:t>
            </w:r>
          </w:p>
        </w:tc>
        <w:tc>
          <w:tcPr>
            <w:tcW w:w="8110" w:type="dxa"/>
          </w:tcPr>
          <w:p w14:paraId="5220B744" w14:textId="77777777" w:rsidR="0046443C" w:rsidRPr="00790AF0" w:rsidRDefault="0046443C" w:rsidP="008C10BB">
            <w:pPr>
              <w:spacing w:line="259" w:lineRule="auto"/>
            </w:pPr>
            <w:r>
              <w:t xml:space="preserve">National Blood Arrangements </w:t>
            </w:r>
            <w:r w:rsidRPr="00790AF0">
              <w:t>(Australia)</w:t>
            </w:r>
          </w:p>
        </w:tc>
      </w:tr>
      <w:tr w:rsidR="0046443C" w14:paraId="302B26A6" w14:textId="77777777" w:rsidTr="008B745F">
        <w:trPr>
          <w:trHeight w:val="13"/>
        </w:trPr>
        <w:tc>
          <w:tcPr>
            <w:tcW w:w="1506" w:type="dxa"/>
          </w:tcPr>
          <w:p w14:paraId="5CBE38C7" w14:textId="77777777" w:rsidR="0046443C" w:rsidRDefault="00E73C9F" w:rsidP="008C10BB">
            <w:pPr>
              <w:spacing w:line="259" w:lineRule="auto"/>
            </w:pPr>
            <w:hyperlink r:id="rId208" w:history="1">
              <w:r w:rsidR="0046443C" w:rsidRPr="00790AF0">
                <w:t>NHRA</w:t>
              </w:r>
            </w:hyperlink>
          </w:p>
        </w:tc>
        <w:tc>
          <w:tcPr>
            <w:tcW w:w="8110" w:type="dxa"/>
          </w:tcPr>
          <w:p w14:paraId="08951ECF" w14:textId="77777777" w:rsidR="0046443C" w:rsidRDefault="0046443C" w:rsidP="008C10BB">
            <w:pPr>
              <w:spacing w:line="259" w:lineRule="auto"/>
            </w:pPr>
            <w:r>
              <w:t>National Health Reform Agreement</w:t>
            </w:r>
          </w:p>
        </w:tc>
      </w:tr>
      <w:tr w:rsidR="0046443C" w14:paraId="7C415D8D" w14:textId="77777777" w:rsidTr="008B745F">
        <w:trPr>
          <w:trHeight w:val="13"/>
        </w:trPr>
        <w:tc>
          <w:tcPr>
            <w:tcW w:w="1506" w:type="dxa"/>
          </w:tcPr>
          <w:p w14:paraId="02766874" w14:textId="77777777" w:rsidR="0046443C" w:rsidRDefault="0046443C" w:rsidP="008C10BB">
            <w:pPr>
              <w:spacing w:line="259" w:lineRule="auto"/>
            </w:pPr>
            <w:r>
              <w:t>NICE</w:t>
            </w:r>
          </w:p>
        </w:tc>
        <w:tc>
          <w:tcPr>
            <w:tcW w:w="8110" w:type="dxa"/>
          </w:tcPr>
          <w:p w14:paraId="1391DBD2" w14:textId="77777777" w:rsidR="0046443C" w:rsidRDefault="0046443C" w:rsidP="008C10BB">
            <w:pPr>
              <w:spacing w:line="259" w:lineRule="auto"/>
            </w:pPr>
            <w:r>
              <w:t>National Institute for Health and Care Excellence (UK)</w:t>
            </w:r>
          </w:p>
        </w:tc>
      </w:tr>
      <w:tr w:rsidR="0046443C" w14:paraId="1CFCD362" w14:textId="77777777" w:rsidTr="008B745F">
        <w:trPr>
          <w:trHeight w:val="15"/>
        </w:trPr>
        <w:tc>
          <w:tcPr>
            <w:tcW w:w="1506" w:type="dxa"/>
          </w:tcPr>
          <w:p w14:paraId="5007DD95" w14:textId="77777777" w:rsidR="0046443C" w:rsidRPr="00F42474" w:rsidRDefault="0046443C" w:rsidP="008C10BB">
            <w:pPr>
              <w:spacing w:line="259" w:lineRule="auto"/>
            </w:pPr>
            <w:r>
              <w:t>NITAG</w:t>
            </w:r>
          </w:p>
        </w:tc>
        <w:tc>
          <w:tcPr>
            <w:tcW w:w="8110" w:type="dxa"/>
          </w:tcPr>
          <w:p w14:paraId="58CC80B5" w14:textId="3276BF5B" w:rsidR="0046443C" w:rsidRPr="00790AF0" w:rsidRDefault="0046443C" w:rsidP="008C10BB">
            <w:pPr>
              <w:spacing w:line="259" w:lineRule="auto"/>
            </w:pPr>
            <w:r>
              <w:t>National Immunisation Technical Advisory Group</w:t>
            </w:r>
          </w:p>
        </w:tc>
      </w:tr>
      <w:tr w:rsidR="0046443C" w14:paraId="67D5BA8B" w14:textId="77777777" w:rsidTr="008B745F">
        <w:trPr>
          <w:trHeight w:val="13"/>
        </w:trPr>
        <w:tc>
          <w:tcPr>
            <w:tcW w:w="1506" w:type="dxa"/>
          </w:tcPr>
          <w:p w14:paraId="2A4608CE" w14:textId="77777777" w:rsidR="0046443C" w:rsidRPr="00F42474" w:rsidRDefault="0046443C" w:rsidP="008C10BB">
            <w:pPr>
              <w:spacing w:line="259" w:lineRule="auto"/>
            </w:pPr>
            <w:r>
              <w:t>NIP</w:t>
            </w:r>
          </w:p>
        </w:tc>
        <w:tc>
          <w:tcPr>
            <w:tcW w:w="8110" w:type="dxa"/>
          </w:tcPr>
          <w:p w14:paraId="5BCC9522" w14:textId="77777777" w:rsidR="0046443C" w:rsidRPr="00790AF0" w:rsidRDefault="0046443C" w:rsidP="008C10BB">
            <w:pPr>
              <w:spacing w:line="259" w:lineRule="auto"/>
            </w:pPr>
            <w:r>
              <w:t>National Immunisation Program (Australia)</w:t>
            </w:r>
          </w:p>
        </w:tc>
      </w:tr>
      <w:tr w:rsidR="0046443C" w14:paraId="30C0B15B" w14:textId="77777777" w:rsidTr="008B745F">
        <w:trPr>
          <w:trHeight w:val="13"/>
        </w:trPr>
        <w:tc>
          <w:tcPr>
            <w:tcW w:w="1506" w:type="dxa"/>
          </w:tcPr>
          <w:p w14:paraId="0D6247C2" w14:textId="77777777" w:rsidR="0046443C" w:rsidRPr="00F42474" w:rsidRDefault="0046443C" w:rsidP="008C10BB">
            <w:pPr>
              <w:spacing w:line="259" w:lineRule="auto"/>
            </w:pPr>
            <w:r>
              <w:t>NIHRIO</w:t>
            </w:r>
          </w:p>
        </w:tc>
        <w:tc>
          <w:tcPr>
            <w:tcW w:w="8110" w:type="dxa"/>
          </w:tcPr>
          <w:p w14:paraId="0E67881D" w14:textId="77777777" w:rsidR="0046443C" w:rsidRPr="00790AF0" w:rsidRDefault="0046443C" w:rsidP="008C10BB">
            <w:pPr>
              <w:spacing w:line="259" w:lineRule="auto"/>
            </w:pPr>
            <w:r w:rsidRPr="00760FCD">
              <w:t xml:space="preserve">National Institute for Health and Care Research </w:t>
            </w:r>
            <w:r>
              <w:t>Innovation Observatory (UK)</w:t>
            </w:r>
          </w:p>
        </w:tc>
      </w:tr>
      <w:tr w:rsidR="0046443C" w14:paraId="3CECBDCB" w14:textId="77777777" w:rsidTr="008B745F">
        <w:trPr>
          <w:trHeight w:val="13"/>
        </w:trPr>
        <w:tc>
          <w:tcPr>
            <w:tcW w:w="1506" w:type="dxa"/>
          </w:tcPr>
          <w:p w14:paraId="6B60B870" w14:textId="61985BC4" w:rsidR="0046443C" w:rsidRPr="00F42474" w:rsidRDefault="002B4482" w:rsidP="008C10BB">
            <w:pPr>
              <w:spacing w:line="259" w:lineRule="auto"/>
            </w:pPr>
            <w:r w:rsidRPr="00FD547F">
              <w:t>NMP</w:t>
            </w:r>
          </w:p>
        </w:tc>
        <w:tc>
          <w:tcPr>
            <w:tcW w:w="8110" w:type="dxa"/>
          </w:tcPr>
          <w:p w14:paraId="78908C5B" w14:textId="2D05595A" w:rsidR="0046443C" w:rsidRPr="00790AF0" w:rsidRDefault="00E73C9F" w:rsidP="008C10BB">
            <w:pPr>
              <w:spacing w:line="259" w:lineRule="auto"/>
            </w:pPr>
            <w:hyperlink r:id="rId209" w:history="1">
              <w:r w:rsidR="002B4482" w:rsidRPr="00790AF0">
                <w:t>National Medicines Policy</w:t>
              </w:r>
            </w:hyperlink>
          </w:p>
        </w:tc>
      </w:tr>
      <w:tr w:rsidR="0046443C" w14:paraId="4B850B0D" w14:textId="77777777" w:rsidTr="008B745F">
        <w:trPr>
          <w:trHeight w:val="41"/>
        </w:trPr>
        <w:tc>
          <w:tcPr>
            <w:tcW w:w="1506" w:type="dxa"/>
          </w:tcPr>
          <w:p w14:paraId="36E99A98" w14:textId="77777777" w:rsidR="0046443C" w:rsidRDefault="0046443C" w:rsidP="008C10BB">
            <w:pPr>
              <w:spacing w:line="259" w:lineRule="auto"/>
            </w:pPr>
            <w:r w:rsidRPr="00F42474">
              <w:t>The New Frontier</w:t>
            </w:r>
            <w:r>
              <w:t xml:space="preserve"> Report</w:t>
            </w:r>
          </w:p>
        </w:tc>
        <w:tc>
          <w:tcPr>
            <w:tcW w:w="8110" w:type="dxa"/>
          </w:tcPr>
          <w:p w14:paraId="3ADC87D2" w14:textId="77777777" w:rsidR="0046443C" w:rsidRDefault="0046443C" w:rsidP="008C10BB">
            <w:pPr>
              <w:spacing w:line="259" w:lineRule="auto"/>
            </w:pPr>
            <w:r w:rsidRPr="00790AF0">
              <w:t>The New Frontier - Delivering better health for all Australians, Report from the Inquiry (see above)</w:t>
            </w:r>
          </w:p>
        </w:tc>
      </w:tr>
      <w:tr w:rsidR="0046443C" w14:paraId="5F7BFD8A" w14:textId="77777777" w:rsidTr="008B745F">
        <w:trPr>
          <w:trHeight w:val="13"/>
        </w:trPr>
        <w:tc>
          <w:tcPr>
            <w:tcW w:w="1506" w:type="dxa"/>
          </w:tcPr>
          <w:p w14:paraId="4A05D47A" w14:textId="77777777" w:rsidR="0046443C" w:rsidRDefault="0046443C" w:rsidP="008C10BB">
            <w:pPr>
              <w:spacing w:line="259" w:lineRule="auto"/>
            </w:pPr>
            <w:r w:rsidRPr="00790AF0">
              <w:t>NHS</w:t>
            </w:r>
          </w:p>
        </w:tc>
        <w:tc>
          <w:tcPr>
            <w:tcW w:w="8110" w:type="dxa"/>
          </w:tcPr>
          <w:p w14:paraId="5CB53598" w14:textId="77777777" w:rsidR="0046443C" w:rsidRDefault="0046443C" w:rsidP="008C10BB">
            <w:pPr>
              <w:spacing w:line="259" w:lineRule="auto"/>
            </w:pPr>
            <w:r w:rsidRPr="00790AF0">
              <w:t>National Health Service (UK)</w:t>
            </w:r>
          </w:p>
        </w:tc>
      </w:tr>
      <w:tr w:rsidR="0046443C" w14:paraId="7284B211" w14:textId="77777777" w:rsidTr="008B745F">
        <w:trPr>
          <w:trHeight w:val="13"/>
        </w:trPr>
        <w:tc>
          <w:tcPr>
            <w:tcW w:w="1506" w:type="dxa"/>
          </w:tcPr>
          <w:p w14:paraId="32BA8C2C" w14:textId="77777777" w:rsidR="0046443C" w:rsidRDefault="0046443C" w:rsidP="008C10BB">
            <w:pPr>
              <w:spacing w:line="259" w:lineRule="auto"/>
            </w:pPr>
            <w:r>
              <w:t>OECD</w:t>
            </w:r>
          </w:p>
        </w:tc>
        <w:tc>
          <w:tcPr>
            <w:tcW w:w="8110" w:type="dxa"/>
          </w:tcPr>
          <w:p w14:paraId="39A0432F" w14:textId="77777777" w:rsidR="0046443C" w:rsidRDefault="0046443C" w:rsidP="008C10BB">
            <w:pPr>
              <w:spacing w:line="259" w:lineRule="auto"/>
            </w:pPr>
            <w:r w:rsidRPr="00286952">
              <w:t>Organisation for Economic Co-operation and Development</w:t>
            </w:r>
          </w:p>
        </w:tc>
      </w:tr>
      <w:tr w:rsidR="0046443C" w14:paraId="355F4FB3" w14:textId="77777777" w:rsidTr="008B745F">
        <w:trPr>
          <w:trHeight w:val="13"/>
        </w:trPr>
        <w:tc>
          <w:tcPr>
            <w:tcW w:w="1506" w:type="dxa"/>
          </w:tcPr>
          <w:p w14:paraId="67B01BED" w14:textId="3BE08F62" w:rsidR="0046443C" w:rsidRDefault="002B4482" w:rsidP="008C10BB">
            <w:pPr>
              <w:spacing w:line="259" w:lineRule="auto"/>
            </w:pPr>
            <w:r w:rsidRPr="00790AF0">
              <w:t>PBAC</w:t>
            </w:r>
          </w:p>
        </w:tc>
        <w:tc>
          <w:tcPr>
            <w:tcW w:w="8110" w:type="dxa"/>
          </w:tcPr>
          <w:p w14:paraId="6A2C46B6" w14:textId="30E9868F" w:rsidR="0046443C" w:rsidRDefault="002B4482" w:rsidP="008C10BB">
            <w:pPr>
              <w:spacing w:line="259" w:lineRule="auto"/>
            </w:pPr>
            <w:r w:rsidRPr="00790AF0">
              <w:t>Pharmaceutical Benefits Advisory Committee (Australia)</w:t>
            </w:r>
          </w:p>
        </w:tc>
      </w:tr>
      <w:tr w:rsidR="0046443C" w14:paraId="6B38A0D0" w14:textId="77777777" w:rsidTr="008B745F">
        <w:trPr>
          <w:trHeight w:val="13"/>
        </w:trPr>
        <w:tc>
          <w:tcPr>
            <w:tcW w:w="1506" w:type="dxa"/>
          </w:tcPr>
          <w:p w14:paraId="2481620B" w14:textId="527785D6" w:rsidR="0046443C" w:rsidRDefault="002B4482" w:rsidP="008C10BB">
            <w:pPr>
              <w:spacing w:line="259" w:lineRule="auto"/>
            </w:pPr>
            <w:r w:rsidRPr="00790AF0">
              <w:t>PICO</w:t>
            </w:r>
          </w:p>
        </w:tc>
        <w:tc>
          <w:tcPr>
            <w:tcW w:w="8110" w:type="dxa"/>
          </w:tcPr>
          <w:p w14:paraId="129AF593" w14:textId="4E563D2E" w:rsidR="0046443C" w:rsidRDefault="002B4482" w:rsidP="008C10BB">
            <w:pPr>
              <w:spacing w:line="259" w:lineRule="auto"/>
            </w:pPr>
            <w:r w:rsidRPr="00790AF0">
              <w:t>Population, Intervention, Comparator, and Outcome</w:t>
            </w:r>
          </w:p>
        </w:tc>
      </w:tr>
      <w:tr w:rsidR="0046443C" w14:paraId="69BB5C8C" w14:textId="77777777" w:rsidTr="008B745F">
        <w:trPr>
          <w:trHeight w:val="13"/>
        </w:trPr>
        <w:tc>
          <w:tcPr>
            <w:tcW w:w="1506" w:type="dxa"/>
          </w:tcPr>
          <w:p w14:paraId="1FA63D11" w14:textId="21B7924C" w:rsidR="0046443C" w:rsidRDefault="002B4482" w:rsidP="008C10BB">
            <w:pPr>
              <w:spacing w:line="259" w:lineRule="auto"/>
            </w:pPr>
            <w:r>
              <w:t>PBS</w:t>
            </w:r>
          </w:p>
        </w:tc>
        <w:tc>
          <w:tcPr>
            <w:tcW w:w="8110" w:type="dxa"/>
          </w:tcPr>
          <w:p w14:paraId="478176AA" w14:textId="1A742330" w:rsidR="0046443C" w:rsidRPr="00790AF0" w:rsidRDefault="002B4482" w:rsidP="008C10BB">
            <w:pPr>
              <w:spacing w:line="259" w:lineRule="auto"/>
            </w:pPr>
            <w:r>
              <w:t xml:space="preserve">Pharmaceutical Benefits Scheme </w:t>
            </w:r>
            <w:r w:rsidRPr="00790AF0">
              <w:t>(Australia)</w:t>
            </w:r>
          </w:p>
        </w:tc>
      </w:tr>
      <w:tr w:rsidR="0046443C" w14:paraId="27694D84" w14:textId="77777777" w:rsidTr="008B745F">
        <w:trPr>
          <w:trHeight w:val="13"/>
        </w:trPr>
        <w:tc>
          <w:tcPr>
            <w:tcW w:w="1506" w:type="dxa"/>
          </w:tcPr>
          <w:p w14:paraId="53DA54C7" w14:textId="77777777" w:rsidR="0046443C" w:rsidRDefault="0046443C" w:rsidP="008C10BB">
            <w:pPr>
              <w:spacing w:line="259" w:lineRule="auto"/>
            </w:pPr>
            <w:r>
              <w:t>PhRMA</w:t>
            </w:r>
          </w:p>
        </w:tc>
        <w:tc>
          <w:tcPr>
            <w:tcW w:w="8110" w:type="dxa"/>
          </w:tcPr>
          <w:p w14:paraId="79F34209" w14:textId="77777777" w:rsidR="0046443C" w:rsidRPr="00790AF0" w:rsidRDefault="0046443C" w:rsidP="008C10BB">
            <w:pPr>
              <w:spacing w:line="259" w:lineRule="auto"/>
            </w:pPr>
            <w:r>
              <w:t>Pharmaceutical Research and Manufacturers of America</w:t>
            </w:r>
          </w:p>
        </w:tc>
      </w:tr>
      <w:tr w:rsidR="0046443C" w14:paraId="34589800" w14:textId="77777777" w:rsidTr="008B745F">
        <w:trPr>
          <w:trHeight w:val="13"/>
        </w:trPr>
        <w:tc>
          <w:tcPr>
            <w:tcW w:w="1506" w:type="dxa"/>
          </w:tcPr>
          <w:p w14:paraId="0DCF7C99" w14:textId="77777777" w:rsidR="0046443C" w:rsidRDefault="0046443C" w:rsidP="008C10BB">
            <w:pPr>
              <w:spacing w:line="259" w:lineRule="auto"/>
            </w:pPr>
            <w:r>
              <w:t>PO</w:t>
            </w:r>
          </w:p>
        </w:tc>
        <w:tc>
          <w:tcPr>
            <w:tcW w:w="8110" w:type="dxa"/>
          </w:tcPr>
          <w:p w14:paraId="6BEBC389" w14:textId="77777777" w:rsidR="0046443C" w:rsidRPr="00790AF0" w:rsidRDefault="0046443C" w:rsidP="008C10BB">
            <w:pPr>
              <w:spacing w:line="259" w:lineRule="auto"/>
            </w:pPr>
            <w:r>
              <w:t>pricing offer</w:t>
            </w:r>
          </w:p>
        </w:tc>
      </w:tr>
      <w:tr w:rsidR="0046443C" w14:paraId="58D0FBC9" w14:textId="77777777" w:rsidTr="008B745F">
        <w:trPr>
          <w:trHeight w:val="15"/>
        </w:trPr>
        <w:tc>
          <w:tcPr>
            <w:tcW w:w="1506" w:type="dxa"/>
          </w:tcPr>
          <w:p w14:paraId="45CC1177" w14:textId="77777777" w:rsidR="0046443C" w:rsidRDefault="0046443C" w:rsidP="008C10BB">
            <w:pPr>
              <w:spacing w:line="259" w:lineRule="auto"/>
            </w:pPr>
            <w:r>
              <w:t>PREM</w:t>
            </w:r>
          </w:p>
        </w:tc>
        <w:tc>
          <w:tcPr>
            <w:tcW w:w="8110" w:type="dxa"/>
          </w:tcPr>
          <w:p w14:paraId="40C6D76D" w14:textId="77777777" w:rsidR="0046443C" w:rsidRPr="00790AF0" w:rsidRDefault="0046443C" w:rsidP="008C10BB">
            <w:pPr>
              <w:spacing w:line="259" w:lineRule="auto"/>
            </w:pPr>
            <w:r w:rsidRPr="00790AF0">
              <w:t>Patient Reported Experience Measure (PREM)</w:t>
            </w:r>
          </w:p>
        </w:tc>
      </w:tr>
      <w:tr w:rsidR="0046443C" w14:paraId="70609C6D" w14:textId="77777777" w:rsidTr="008B745F">
        <w:trPr>
          <w:trHeight w:val="13"/>
        </w:trPr>
        <w:tc>
          <w:tcPr>
            <w:tcW w:w="1506" w:type="dxa"/>
          </w:tcPr>
          <w:p w14:paraId="64582B61" w14:textId="77777777" w:rsidR="0046443C" w:rsidRDefault="0046443C" w:rsidP="008C10BB">
            <w:pPr>
              <w:spacing w:line="259" w:lineRule="auto"/>
            </w:pPr>
            <w:r>
              <w:t>PROM</w:t>
            </w:r>
          </w:p>
        </w:tc>
        <w:tc>
          <w:tcPr>
            <w:tcW w:w="8110" w:type="dxa"/>
          </w:tcPr>
          <w:p w14:paraId="25850E84" w14:textId="77777777" w:rsidR="0046443C" w:rsidRPr="00790AF0" w:rsidRDefault="0046443C" w:rsidP="008C10BB">
            <w:pPr>
              <w:spacing w:line="259" w:lineRule="auto"/>
            </w:pPr>
            <w:r w:rsidRPr="00790AF0">
              <w:t>Patient Reported Outcome Measure</w:t>
            </w:r>
          </w:p>
        </w:tc>
      </w:tr>
      <w:tr w:rsidR="0046443C" w14:paraId="2CEBCFEF" w14:textId="77777777" w:rsidTr="008B745F">
        <w:trPr>
          <w:trHeight w:val="13"/>
        </w:trPr>
        <w:tc>
          <w:tcPr>
            <w:tcW w:w="1506" w:type="dxa"/>
          </w:tcPr>
          <w:p w14:paraId="455DE7BA" w14:textId="77777777" w:rsidR="0046443C" w:rsidRDefault="0046443C" w:rsidP="008C10BB">
            <w:pPr>
              <w:spacing w:line="259" w:lineRule="auto"/>
            </w:pPr>
            <w:r>
              <w:t>QALY</w:t>
            </w:r>
          </w:p>
        </w:tc>
        <w:tc>
          <w:tcPr>
            <w:tcW w:w="8110" w:type="dxa"/>
          </w:tcPr>
          <w:p w14:paraId="3E8F943A" w14:textId="77777777" w:rsidR="0046443C" w:rsidRPr="00790AF0" w:rsidRDefault="0046443C" w:rsidP="008C10BB">
            <w:pPr>
              <w:spacing w:line="259" w:lineRule="auto"/>
            </w:pPr>
            <w:r>
              <w:t>quality adjusted life year</w:t>
            </w:r>
          </w:p>
        </w:tc>
      </w:tr>
      <w:tr w:rsidR="0046443C" w14:paraId="326DDA8E" w14:textId="77777777" w:rsidTr="008B745F">
        <w:trPr>
          <w:trHeight w:val="13"/>
        </w:trPr>
        <w:tc>
          <w:tcPr>
            <w:tcW w:w="1506" w:type="dxa"/>
          </w:tcPr>
          <w:p w14:paraId="6E019F05" w14:textId="77777777" w:rsidR="0046443C" w:rsidRDefault="0046443C" w:rsidP="008C10BB">
            <w:pPr>
              <w:spacing w:line="259" w:lineRule="auto"/>
            </w:pPr>
            <w:r w:rsidRPr="00790AF0">
              <w:t>RCTs</w:t>
            </w:r>
          </w:p>
        </w:tc>
        <w:tc>
          <w:tcPr>
            <w:tcW w:w="8110" w:type="dxa"/>
          </w:tcPr>
          <w:p w14:paraId="4F3E6A84" w14:textId="77777777" w:rsidR="0046443C" w:rsidRPr="00790AF0" w:rsidRDefault="0046443C" w:rsidP="008C10BB">
            <w:pPr>
              <w:spacing w:line="259" w:lineRule="auto"/>
            </w:pPr>
            <w:r w:rsidRPr="00790AF0">
              <w:t xml:space="preserve">randomised controlled trials </w:t>
            </w:r>
          </w:p>
        </w:tc>
      </w:tr>
      <w:tr w:rsidR="0046443C" w14:paraId="059EB64A" w14:textId="77777777" w:rsidTr="008B745F">
        <w:trPr>
          <w:trHeight w:val="13"/>
        </w:trPr>
        <w:tc>
          <w:tcPr>
            <w:tcW w:w="1506" w:type="dxa"/>
          </w:tcPr>
          <w:p w14:paraId="12F9961D" w14:textId="77777777" w:rsidR="0046443C" w:rsidRDefault="0046443C" w:rsidP="008C10BB">
            <w:pPr>
              <w:spacing w:line="259" w:lineRule="auto"/>
            </w:pPr>
            <w:r>
              <w:t>RPBS</w:t>
            </w:r>
          </w:p>
        </w:tc>
        <w:tc>
          <w:tcPr>
            <w:tcW w:w="8110" w:type="dxa"/>
          </w:tcPr>
          <w:p w14:paraId="0C009A6C" w14:textId="77777777" w:rsidR="0046443C" w:rsidRPr="00790AF0" w:rsidRDefault="0046443C" w:rsidP="008C10BB">
            <w:pPr>
              <w:spacing w:line="259" w:lineRule="auto"/>
            </w:pPr>
            <w:r w:rsidRPr="00790AF0">
              <w:t>Repatriation Pharmaceutical Benefits Scheme (Australia)</w:t>
            </w:r>
          </w:p>
        </w:tc>
      </w:tr>
      <w:tr w:rsidR="0046443C" w14:paraId="6B91E369" w14:textId="77777777" w:rsidTr="008B745F">
        <w:trPr>
          <w:trHeight w:val="13"/>
        </w:trPr>
        <w:tc>
          <w:tcPr>
            <w:tcW w:w="1506" w:type="dxa"/>
          </w:tcPr>
          <w:p w14:paraId="337B5AD0" w14:textId="77777777" w:rsidR="0046443C" w:rsidRDefault="0046443C" w:rsidP="008C10BB">
            <w:pPr>
              <w:spacing w:line="259" w:lineRule="auto"/>
            </w:pPr>
            <w:r>
              <w:t>RWD</w:t>
            </w:r>
          </w:p>
        </w:tc>
        <w:tc>
          <w:tcPr>
            <w:tcW w:w="8110" w:type="dxa"/>
          </w:tcPr>
          <w:p w14:paraId="1E57AE0A" w14:textId="77777777" w:rsidR="0046443C" w:rsidRDefault="0046443C" w:rsidP="008C10BB">
            <w:pPr>
              <w:spacing w:line="259" w:lineRule="auto"/>
            </w:pPr>
            <w:r w:rsidRPr="00790AF0">
              <w:t>Real-World Data</w:t>
            </w:r>
          </w:p>
        </w:tc>
      </w:tr>
      <w:tr w:rsidR="0046443C" w14:paraId="190F37E4" w14:textId="77777777" w:rsidTr="008B745F">
        <w:trPr>
          <w:trHeight w:val="13"/>
        </w:trPr>
        <w:tc>
          <w:tcPr>
            <w:tcW w:w="1506" w:type="dxa"/>
          </w:tcPr>
          <w:p w14:paraId="56CE1F44" w14:textId="77777777" w:rsidR="0046443C" w:rsidRDefault="0046443C" w:rsidP="008C10BB">
            <w:pPr>
              <w:spacing w:line="259" w:lineRule="auto"/>
            </w:pPr>
            <w:r>
              <w:t>RWE</w:t>
            </w:r>
          </w:p>
        </w:tc>
        <w:tc>
          <w:tcPr>
            <w:tcW w:w="8110" w:type="dxa"/>
          </w:tcPr>
          <w:p w14:paraId="3C9251BD" w14:textId="77777777" w:rsidR="0046443C" w:rsidRDefault="0046443C" w:rsidP="008C10BB">
            <w:pPr>
              <w:spacing w:line="259" w:lineRule="auto"/>
            </w:pPr>
            <w:r w:rsidRPr="00790AF0">
              <w:t>Real-World Evidence</w:t>
            </w:r>
          </w:p>
        </w:tc>
      </w:tr>
      <w:tr w:rsidR="0046443C" w14:paraId="6EE17356" w14:textId="77777777" w:rsidTr="008B745F">
        <w:trPr>
          <w:trHeight w:val="13"/>
        </w:trPr>
        <w:tc>
          <w:tcPr>
            <w:tcW w:w="1506" w:type="dxa"/>
          </w:tcPr>
          <w:p w14:paraId="77DFE2AB" w14:textId="77777777" w:rsidR="0046443C" w:rsidRPr="00790AF0" w:rsidRDefault="0046443C" w:rsidP="008C10BB">
            <w:pPr>
              <w:spacing w:line="259" w:lineRule="auto"/>
            </w:pPr>
            <w:r w:rsidRPr="00790AF0">
              <w:t>SLE</w:t>
            </w:r>
          </w:p>
        </w:tc>
        <w:tc>
          <w:tcPr>
            <w:tcW w:w="8110" w:type="dxa"/>
          </w:tcPr>
          <w:p w14:paraId="6307A6D7" w14:textId="77777777" w:rsidR="0046443C" w:rsidRPr="00790AF0" w:rsidRDefault="0046443C" w:rsidP="008C10BB">
            <w:pPr>
              <w:spacing w:line="259" w:lineRule="auto"/>
            </w:pPr>
            <w:r w:rsidRPr="00790AF0">
              <w:t>systemic lupus erythematosus</w:t>
            </w:r>
          </w:p>
        </w:tc>
      </w:tr>
      <w:tr w:rsidR="0046443C" w14:paraId="45B02EFD" w14:textId="77777777" w:rsidTr="008B745F">
        <w:trPr>
          <w:trHeight w:val="15"/>
        </w:trPr>
        <w:tc>
          <w:tcPr>
            <w:tcW w:w="1506" w:type="dxa"/>
          </w:tcPr>
          <w:p w14:paraId="5A12AC64" w14:textId="77777777" w:rsidR="0046443C" w:rsidRPr="00790AF0" w:rsidRDefault="0046443C" w:rsidP="008C10BB">
            <w:pPr>
              <w:spacing w:line="259" w:lineRule="auto"/>
            </w:pPr>
            <w:r w:rsidRPr="00790AF0">
              <w:t>SOC</w:t>
            </w:r>
          </w:p>
        </w:tc>
        <w:tc>
          <w:tcPr>
            <w:tcW w:w="8110" w:type="dxa"/>
          </w:tcPr>
          <w:p w14:paraId="196C65CD" w14:textId="77777777" w:rsidR="0046443C" w:rsidRPr="00790AF0" w:rsidRDefault="0046443C" w:rsidP="008C10BB">
            <w:pPr>
              <w:spacing w:line="259" w:lineRule="auto"/>
            </w:pPr>
            <w:r w:rsidRPr="00790AF0">
              <w:t>standard of care</w:t>
            </w:r>
          </w:p>
        </w:tc>
      </w:tr>
      <w:tr w:rsidR="0046443C" w14:paraId="1909F71E" w14:textId="77777777" w:rsidTr="008B745F">
        <w:trPr>
          <w:trHeight w:val="13"/>
        </w:trPr>
        <w:tc>
          <w:tcPr>
            <w:tcW w:w="1506" w:type="dxa"/>
          </w:tcPr>
          <w:p w14:paraId="130783A5" w14:textId="403B522D" w:rsidR="0046443C" w:rsidRDefault="002B4482" w:rsidP="008C10BB">
            <w:pPr>
              <w:spacing w:line="259" w:lineRule="auto"/>
            </w:pPr>
            <w:r w:rsidRPr="00790AF0">
              <w:t>STEDI</w:t>
            </w:r>
          </w:p>
        </w:tc>
        <w:tc>
          <w:tcPr>
            <w:tcW w:w="8110" w:type="dxa"/>
          </w:tcPr>
          <w:p w14:paraId="2251FB5A" w14:textId="0C40356E" w:rsidR="0046443C" w:rsidRDefault="002B4482" w:rsidP="008C10BB">
            <w:pPr>
              <w:spacing w:line="259" w:lineRule="auto"/>
            </w:pPr>
            <w:bookmarkStart w:id="277" w:name="_Hlk156912170"/>
            <w:r w:rsidRPr="00790AF0">
              <w:t>Spectrum, Transmission, Enablement, Diversity, Insurance Value</w:t>
            </w:r>
            <w:bookmarkEnd w:id="277"/>
          </w:p>
        </w:tc>
      </w:tr>
      <w:tr w:rsidR="0046443C" w14:paraId="0C349402" w14:textId="77777777" w:rsidTr="008B745F">
        <w:trPr>
          <w:trHeight w:val="13"/>
        </w:trPr>
        <w:tc>
          <w:tcPr>
            <w:tcW w:w="1506" w:type="dxa"/>
          </w:tcPr>
          <w:p w14:paraId="2E5A0128" w14:textId="77777777" w:rsidR="0046443C" w:rsidRDefault="0046443C" w:rsidP="008C10BB">
            <w:pPr>
              <w:spacing w:line="259" w:lineRule="auto"/>
            </w:pPr>
            <w:r w:rsidRPr="00790AF0">
              <w:t>TGA</w:t>
            </w:r>
          </w:p>
        </w:tc>
        <w:tc>
          <w:tcPr>
            <w:tcW w:w="8110" w:type="dxa"/>
          </w:tcPr>
          <w:p w14:paraId="4DEB2B67" w14:textId="77777777" w:rsidR="0046443C" w:rsidRDefault="0046443C" w:rsidP="008C10BB">
            <w:pPr>
              <w:spacing w:line="259" w:lineRule="auto"/>
            </w:pPr>
            <w:r w:rsidRPr="00790AF0">
              <w:t>Therapeutic Goods Administration (Australia)</w:t>
            </w:r>
          </w:p>
        </w:tc>
      </w:tr>
      <w:tr w:rsidR="0046443C" w14:paraId="5FBB99FA" w14:textId="77777777" w:rsidTr="008B745F">
        <w:trPr>
          <w:trHeight w:val="13"/>
        </w:trPr>
        <w:tc>
          <w:tcPr>
            <w:tcW w:w="1506" w:type="dxa"/>
          </w:tcPr>
          <w:p w14:paraId="581ED37D" w14:textId="77777777" w:rsidR="0046443C" w:rsidRPr="006A3BFB" w:rsidRDefault="0046443C" w:rsidP="008C10BB">
            <w:pPr>
              <w:spacing w:line="259" w:lineRule="auto"/>
            </w:pPr>
            <w:r w:rsidRPr="006A3BFB">
              <w:t>TIS</w:t>
            </w:r>
          </w:p>
        </w:tc>
        <w:tc>
          <w:tcPr>
            <w:tcW w:w="8110" w:type="dxa"/>
          </w:tcPr>
          <w:p w14:paraId="31A4362E" w14:textId="77777777" w:rsidR="0046443C" w:rsidRPr="006A3BFB" w:rsidRDefault="0046443C" w:rsidP="008C10BB">
            <w:pPr>
              <w:spacing w:line="259" w:lineRule="auto"/>
            </w:pPr>
            <w:proofErr w:type="spellStart"/>
            <w:r w:rsidRPr="006A3BFB">
              <w:t>tisagenlecleucel</w:t>
            </w:r>
            <w:proofErr w:type="spellEnd"/>
            <w:r w:rsidRPr="006A3BFB">
              <w:t xml:space="preserve"> (a type of CAR-T therapy)</w:t>
            </w:r>
          </w:p>
        </w:tc>
      </w:tr>
      <w:tr w:rsidR="0046443C" w14:paraId="3CF19797" w14:textId="77777777" w:rsidTr="008B745F">
        <w:trPr>
          <w:trHeight w:val="13"/>
        </w:trPr>
        <w:tc>
          <w:tcPr>
            <w:tcW w:w="1506" w:type="dxa"/>
          </w:tcPr>
          <w:p w14:paraId="3B0B27E3" w14:textId="77777777" w:rsidR="0046443C" w:rsidRDefault="0046443C" w:rsidP="008C10BB">
            <w:pPr>
              <w:spacing w:line="259" w:lineRule="auto"/>
            </w:pPr>
            <w:r w:rsidRPr="00790AF0">
              <w:t>UK</w:t>
            </w:r>
          </w:p>
        </w:tc>
        <w:tc>
          <w:tcPr>
            <w:tcW w:w="8110" w:type="dxa"/>
          </w:tcPr>
          <w:p w14:paraId="3605F30D" w14:textId="77777777" w:rsidR="0046443C" w:rsidRDefault="0046443C" w:rsidP="008C10BB">
            <w:pPr>
              <w:spacing w:line="259" w:lineRule="auto"/>
            </w:pPr>
            <w:r w:rsidRPr="00790AF0">
              <w:t>United Kingdom</w:t>
            </w:r>
          </w:p>
        </w:tc>
      </w:tr>
      <w:tr w:rsidR="0046443C" w14:paraId="0C6C62FE" w14:textId="77777777" w:rsidTr="008B745F">
        <w:trPr>
          <w:trHeight w:val="13"/>
        </w:trPr>
        <w:tc>
          <w:tcPr>
            <w:tcW w:w="1506" w:type="dxa"/>
          </w:tcPr>
          <w:p w14:paraId="1B514DE8" w14:textId="77777777" w:rsidR="0046443C" w:rsidRDefault="0046443C" w:rsidP="008C10BB">
            <w:pPr>
              <w:spacing w:line="259" w:lineRule="auto"/>
            </w:pPr>
            <w:r>
              <w:t>US</w:t>
            </w:r>
          </w:p>
        </w:tc>
        <w:tc>
          <w:tcPr>
            <w:tcW w:w="8110" w:type="dxa"/>
          </w:tcPr>
          <w:p w14:paraId="19266CCA" w14:textId="77777777" w:rsidR="0046443C" w:rsidRDefault="0046443C" w:rsidP="008C10BB">
            <w:pPr>
              <w:spacing w:line="259" w:lineRule="auto"/>
            </w:pPr>
            <w:r>
              <w:t>United States</w:t>
            </w:r>
          </w:p>
        </w:tc>
      </w:tr>
      <w:tr w:rsidR="0046443C" w14:paraId="0DAFE302" w14:textId="77777777" w:rsidTr="008B745F">
        <w:trPr>
          <w:trHeight w:val="13"/>
        </w:trPr>
        <w:tc>
          <w:tcPr>
            <w:tcW w:w="1506" w:type="dxa"/>
          </w:tcPr>
          <w:p w14:paraId="351E64A5" w14:textId="77777777" w:rsidR="0046443C" w:rsidRDefault="0046443C" w:rsidP="008C10BB">
            <w:pPr>
              <w:spacing w:line="259" w:lineRule="auto"/>
            </w:pPr>
          </w:p>
        </w:tc>
        <w:tc>
          <w:tcPr>
            <w:tcW w:w="8110" w:type="dxa"/>
          </w:tcPr>
          <w:p w14:paraId="6A07D486" w14:textId="77777777" w:rsidR="0046443C" w:rsidRDefault="0046443C" w:rsidP="008C10BB">
            <w:pPr>
              <w:spacing w:line="259" w:lineRule="auto"/>
            </w:pPr>
          </w:p>
        </w:tc>
      </w:tr>
    </w:tbl>
    <w:p w14:paraId="11418DF2" w14:textId="77777777" w:rsidR="00280050" w:rsidRPr="00AF6051" w:rsidRDefault="00280050" w:rsidP="000C667C"/>
    <w:sectPr w:rsidR="00280050" w:rsidRPr="00AF6051" w:rsidSect="00B84423">
      <w:pgSz w:w="11906" w:h="16838"/>
      <w:pgMar w:top="709"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6C7E8" w14:textId="77777777" w:rsidR="00441291" w:rsidRDefault="00441291" w:rsidP="00A05178">
      <w:pPr>
        <w:spacing w:after="0" w:line="240" w:lineRule="auto"/>
      </w:pPr>
      <w:r>
        <w:separator/>
      </w:r>
    </w:p>
  </w:endnote>
  <w:endnote w:type="continuationSeparator" w:id="0">
    <w:p w14:paraId="7649CE2A" w14:textId="77777777" w:rsidR="00441291" w:rsidRDefault="00441291" w:rsidP="00A05178">
      <w:pPr>
        <w:spacing w:after="0" w:line="240" w:lineRule="auto"/>
      </w:pPr>
      <w:r>
        <w:continuationSeparator/>
      </w:r>
    </w:p>
  </w:endnote>
  <w:endnote w:type="continuationNotice" w:id="1">
    <w:p w14:paraId="5E11D49D" w14:textId="77777777" w:rsidR="00441291" w:rsidRDefault="00441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98CA" w14:textId="77777777" w:rsidR="00A24EB2" w:rsidRDefault="00A24EB2">
    <w:pPr>
      <w:pStyle w:val="Footer"/>
    </w:pPr>
  </w:p>
  <w:p w14:paraId="420045BF" w14:textId="77777777" w:rsidR="00922CC0" w:rsidRDefault="00922C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724831"/>
      <w:docPartObj>
        <w:docPartGallery w:val="Page Numbers (Bottom of Page)"/>
        <w:docPartUnique/>
      </w:docPartObj>
    </w:sdtPr>
    <w:sdtEndPr>
      <w:rPr>
        <w:noProof/>
      </w:rPr>
    </w:sdtEndPr>
    <w:sdtContent>
      <w:p w14:paraId="3FB25B63" w14:textId="7FF87984" w:rsidR="00175FDC" w:rsidRDefault="00175F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5C9CFC" w14:textId="77777777" w:rsidR="00175FDC" w:rsidRDefault="00175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18F7" w14:textId="77777777" w:rsidR="00441291" w:rsidRDefault="00441291" w:rsidP="00A05178">
      <w:pPr>
        <w:spacing w:after="0" w:line="240" w:lineRule="auto"/>
      </w:pPr>
      <w:r>
        <w:separator/>
      </w:r>
    </w:p>
  </w:footnote>
  <w:footnote w:type="continuationSeparator" w:id="0">
    <w:p w14:paraId="18ABFF5B" w14:textId="77777777" w:rsidR="00441291" w:rsidRDefault="00441291" w:rsidP="00A05178">
      <w:pPr>
        <w:spacing w:after="0" w:line="240" w:lineRule="auto"/>
      </w:pPr>
      <w:r>
        <w:continuationSeparator/>
      </w:r>
    </w:p>
  </w:footnote>
  <w:footnote w:type="continuationNotice" w:id="1">
    <w:p w14:paraId="78E72160" w14:textId="77777777" w:rsidR="00441291" w:rsidRDefault="00441291">
      <w:pPr>
        <w:spacing w:after="0" w:line="240" w:lineRule="auto"/>
      </w:pPr>
    </w:p>
  </w:footnote>
  <w:footnote w:id="2">
    <w:p w14:paraId="26D88241" w14:textId="77777777" w:rsidR="00E81ED2" w:rsidRDefault="00E81ED2" w:rsidP="00E81ED2">
      <w:pPr>
        <w:pStyle w:val="FootnoteText"/>
        <w:spacing w:before="0"/>
      </w:pPr>
      <w:r>
        <w:rPr>
          <w:rStyle w:val="FootnoteReference"/>
        </w:rPr>
        <w:footnoteRef/>
      </w:r>
      <w:r>
        <w:t xml:space="preserve"> CIRS, </w:t>
      </w:r>
      <w:r w:rsidRPr="007E1CAB">
        <w:rPr>
          <w:i/>
        </w:rPr>
        <w:t>HTA Dock briefing</w:t>
      </w:r>
      <w:r>
        <w:t xml:space="preserve">, </w:t>
      </w:r>
      <w:hyperlink r:id="rId1" w:history="1">
        <w:r w:rsidRPr="003526D7">
          <w:rPr>
            <w:rStyle w:val="Hyperlink"/>
          </w:rPr>
          <w:t>https://www.cirsci.org/publications/cirs-rd-briefing-86-hta-outcomes-in-australia-canada-and-europe-2017-2021/</w:t>
        </w:r>
      </w:hyperlink>
      <w:r>
        <w:t xml:space="preserve"> </w:t>
      </w:r>
    </w:p>
  </w:footnote>
  <w:footnote w:id="3">
    <w:p w14:paraId="5B09B38E" w14:textId="77777777" w:rsidR="00E81ED2" w:rsidRDefault="00E81ED2" w:rsidP="00E81ED2">
      <w:pPr>
        <w:pStyle w:val="FootnoteText"/>
        <w:spacing w:before="0"/>
      </w:pPr>
      <w:r>
        <w:rPr>
          <w:rStyle w:val="FootnoteReference"/>
        </w:rPr>
        <w:footnoteRef/>
      </w:r>
      <w:r>
        <w:t xml:space="preserve"> Medicines Australia, </w:t>
      </w:r>
      <w:r w:rsidRPr="007E1CAB">
        <w:rPr>
          <w:i/>
        </w:rPr>
        <w:t>Medicines Matter</w:t>
      </w:r>
      <w:r>
        <w:t xml:space="preserve">, </w:t>
      </w:r>
      <w:hyperlink r:id="rId2" w:history="1">
        <w:r w:rsidRPr="003526D7">
          <w:rPr>
            <w:rStyle w:val="Hyperlink"/>
          </w:rPr>
          <w:t>https://www.medicinesaustralia.com.au/publications/medicines-matter/</w:t>
        </w:r>
      </w:hyperlink>
      <w:r>
        <w:t xml:space="preserve"> </w:t>
      </w:r>
    </w:p>
  </w:footnote>
  <w:footnote w:id="4">
    <w:p w14:paraId="1E3A346A" w14:textId="77777777" w:rsidR="00E81ED2" w:rsidRDefault="00E81ED2" w:rsidP="00E81ED2">
      <w:pPr>
        <w:pStyle w:val="FootnoteText"/>
        <w:spacing w:before="0"/>
      </w:pPr>
      <w:r>
        <w:rPr>
          <w:rStyle w:val="FootnoteReference"/>
        </w:rPr>
        <w:footnoteRef/>
      </w:r>
      <w:r>
        <w:t xml:space="preserve"> PhRMA, </w:t>
      </w:r>
      <w:r w:rsidRPr="007E1CAB">
        <w:rPr>
          <w:i/>
        </w:rPr>
        <w:t>Global Access to New Medicines Final Report</w:t>
      </w:r>
      <w:r>
        <w:t xml:space="preserve"> </w:t>
      </w:r>
      <w:hyperlink r:id="rId3" w:history="1">
        <w:r w:rsidRPr="00E71564">
          <w:rPr>
            <w:rStyle w:val="Hyperlink"/>
          </w:rPr>
          <w:t>https://phrma.org/-/media/Project/PhRMA/PhRMA-Org/PhRMA-Refresh/Report-PDFs/A-C/2023-04-20-PhRMA-Global-Access-to-New-Medicines-Report-FINAL-1.pdf</w:t>
        </w:r>
      </w:hyperlink>
      <w:r>
        <w:t xml:space="preserve"> </w:t>
      </w:r>
    </w:p>
  </w:footnote>
  <w:footnote w:id="5">
    <w:p w14:paraId="39F99A94" w14:textId="26DA8E75" w:rsidR="00E81ED2" w:rsidRDefault="00E81ED2" w:rsidP="00E81ED2">
      <w:pPr>
        <w:pStyle w:val="FootnoteText"/>
        <w:spacing w:before="0"/>
      </w:pPr>
      <w:r>
        <w:rPr>
          <w:rStyle w:val="FootnoteReference"/>
        </w:rPr>
        <w:footnoteRef/>
      </w:r>
      <w:r>
        <w:t xml:space="preserve"> PBS, </w:t>
      </w:r>
      <w:r w:rsidRPr="007E1CAB">
        <w:rPr>
          <w:i/>
        </w:rPr>
        <w:t>PBS process improvements</w:t>
      </w:r>
      <w:r>
        <w:t xml:space="preserve">, </w:t>
      </w:r>
      <w:hyperlink r:id="rId4" w:history="1">
        <w:r w:rsidRPr="003526D7">
          <w:rPr>
            <w:rStyle w:val="Hyperlink"/>
          </w:rPr>
          <w:t>https://www.pbs.gov.au/info/general/pbs-process-improvements</w:t>
        </w:r>
      </w:hyperlink>
      <w:r>
        <w:t xml:space="preserve"> </w:t>
      </w:r>
    </w:p>
  </w:footnote>
  <w:footnote w:id="6">
    <w:p w14:paraId="3D750B93" w14:textId="77726C76" w:rsidR="00F7209F" w:rsidRDefault="00F7209F" w:rsidP="00F7209F">
      <w:pPr>
        <w:pStyle w:val="FootnoteText"/>
      </w:pPr>
      <w:r>
        <w:rPr>
          <w:rStyle w:val="FootnoteReference"/>
        </w:rPr>
        <w:footnoteRef/>
      </w:r>
      <w:r>
        <w:t xml:space="preserve"> </w:t>
      </w:r>
      <w:r w:rsidRPr="00FF45E5">
        <w:rPr>
          <w:i/>
          <w:iCs/>
        </w:rPr>
        <w:t>Conversations for Change report: improving consumer engagement</w:t>
      </w:r>
      <w:r w:rsidR="001958F5">
        <w:rPr>
          <w:i/>
          <w:iCs/>
        </w:rPr>
        <w:fldChar w:fldCharType="begin"/>
      </w:r>
      <w:r w:rsidR="001958F5">
        <w:instrText xml:space="preserve"> XE "</w:instrText>
      </w:r>
      <w:r w:rsidR="001958F5" w:rsidRPr="002D7ECA">
        <w:rPr>
          <w:rStyle w:val="cf01"/>
          <w:sz w:val="20"/>
          <w:szCs w:val="20"/>
        </w:rPr>
        <w:instrText>consumer engagement</w:instrText>
      </w:r>
      <w:r w:rsidR="001958F5">
        <w:instrText xml:space="preserve">" \b </w:instrText>
      </w:r>
      <w:r w:rsidR="001958F5">
        <w:rPr>
          <w:i/>
          <w:iCs/>
        </w:rPr>
        <w:fldChar w:fldCharType="end"/>
      </w:r>
      <w:r w:rsidRPr="00FF45E5">
        <w:rPr>
          <w:i/>
          <w:iCs/>
        </w:rPr>
        <w:t xml:space="preserve"> in Health Technology Assessment</w:t>
      </w:r>
      <w:r w:rsidRPr="00C81631">
        <w:t xml:space="preserve">. (2023). </w:t>
      </w:r>
      <w:hyperlink r:id="rId5" w:history="1">
        <w:r w:rsidR="00D015C4" w:rsidRPr="007F6FE5">
          <w:rPr>
            <w:rStyle w:val="Hyperlink"/>
          </w:rPr>
          <w:t>https://www.health.gov.au/sites/default/files/2023-08/conversations-for-change-report-2023_0.pdf</w:t>
        </w:r>
      </w:hyperlink>
      <w:r w:rsidR="00D015C4">
        <w:t xml:space="preserve"> </w:t>
      </w:r>
    </w:p>
  </w:footnote>
  <w:footnote w:id="7">
    <w:p w14:paraId="083860AF" w14:textId="1FE7B62D" w:rsidR="005D0316" w:rsidRDefault="005D0316" w:rsidP="00294FFF">
      <w:pPr>
        <w:pStyle w:val="FootnoteText"/>
      </w:pPr>
      <w:r>
        <w:rPr>
          <w:rStyle w:val="FootnoteReference"/>
        </w:rPr>
        <w:footnoteRef/>
      </w:r>
      <w:r>
        <w:t xml:space="preserve"> </w:t>
      </w:r>
      <w:proofErr w:type="spellStart"/>
      <w:r w:rsidR="00294FFF">
        <w:t>Laka</w:t>
      </w:r>
      <w:proofErr w:type="spellEnd"/>
      <w:r w:rsidR="00294FFF">
        <w:t xml:space="preserve"> M, Carter D, Gao Y, Tamblyn D, Merlin T. </w:t>
      </w:r>
      <w:r w:rsidR="00294FFF" w:rsidRPr="00687095">
        <w:rPr>
          <w:i/>
        </w:rPr>
        <w:t xml:space="preserve">International health technology market approval, </w:t>
      </w:r>
      <w:proofErr w:type="gramStart"/>
      <w:r w:rsidR="00294FFF" w:rsidRPr="00687095">
        <w:rPr>
          <w:i/>
        </w:rPr>
        <w:t>funding</w:t>
      </w:r>
      <w:proofErr w:type="gramEnd"/>
      <w:r w:rsidR="00294FFF" w:rsidRPr="00687095">
        <w:rPr>
          <w:i/>
        </w:rPr>
        <w:t xml:space="preserve"> and assessment pathways. Health Technology Assessment Policy and Methods Review</w:t>
      </w:r>
      <w:r w:rsidR="00294FFF">
        <w:t>. Canberra, ACT: Australian Department of Health and Aged Care, 2023.</w:t>
      </w:r>
    </w:p>
  </w:footnote>
  <w:footnote w:id="8">
    <w:p w14:paraId="5388E7FA" w14:textId="43A0439E" w:rsidR="00916E6D" w:rsidRDefault="00916E6D" w:rsidP="00B6477F">
      <w:pPr>
        <w:pStyle w:val="FootnoteText"/>
      </w:pPr>
      <w:r>
        <w:rPr>
          <w:rStyle w:val="FootnoteReference"/>
        </w:rPr>
        <w:footnoteRef/>
      </w:r>
      <w:r>
        <w:t xml:space="preserve"> </w:t>
      </w:r>
      <w:r w:rsidR="00B6477F">
        <w:t xml:space="preserve">Newton S, Hill H, Tamblyn D, Merlin T. HTA Methods: </w:t>
      </w:r>
      <w:r w:rsidR="00B6477F" w:rsidRPr="00687095">
        <w:rPr>
          <w:i/>
        </w:rPr>
        <w:t>Determination of Population, Intervention, Comparator, and Outcome (PICO</w:t>
      </w:r>
      <w:r w:rsidR="0068258A">
        <w:rPr>
          <w:i/>
        </w:rPr>
        <w:fldChar w:fldCharType="begin"/>
      </w:r>
      <w:r w:rsidR="0068258A">
        <w:instrText xml:space="preserve"> XE "</w:instrText>
      </w:r>
      <w:r w:rsidR="0068258A" w:rsidRPr="00F75973">
        <w:rPr>
          <w:rFonts w:eastAsia="Times New Roman" w:cs="Segoe UI"/>
          <w:color w:val="222A35"/>
          <w:kern w:val="24"/>
          <w:lang w:eastAsia="en-AU"/>
        </w:rPr>
        <w:instrText>PICO</w:instrText>
      </w:r>
      <w:r w:rsidR="0068258A">
        <w:instrText xml:space="preserve">" \b </w:instrText>
      </w:r>
      <w:r w:rsidR="0068258A">
        <w:rPr>
          <w:i/>
        </w:rPr>
        <w:fldChar w:fldCharType="end"/>
      </w:r>
      <w:r w:rsidR="00B6477F" w:rsidRPr="00687095">
        <w:rPr>
          <w:i/>
        </w:rPr>
        <w:t>). Health Technology Assessment Policy and Methods Review</w:t>
      </w:r>
      <w:r w:rsidR="00B6477F">
        <w:t>. Canberra, ACT: Australian Department of Health and Aged Care, 2023.</w:t>
      </w:r>
    </w:p>
    <w:p w14:paraId="58D9E621" w14:textId="4E561836" w:rsidR="00916E6D" w:rsidRDefault="0075214B" w:rsidP="00B6477F">
      <w:pPr>
        <w:pStyle w:val="FootnoteText"/>
      </w:pPr>
      <w:r w:rsidRPr="0075214B">
        <w:t>https://www.health.gov.au/sites/default/files/2023-08/conversations-for-change-report-2023_0.pdf</w:t>
      </w:r>
      <w:r w:rsidR="004A708E">
        <w:t>#page=19</w:t>
      </w:r>
    </w:p>
  </w:footnote>
  <w:footnote w:id="9">
    <w:p w14:paraId="6766BE8D" w14:textId="2B1D16C7" w:rsidR="00BF2D98" w:rsidRDefault="00BF2D98">
      <w:pPr>
        <w:pStyle w:val="FootnoteText"/>
      </w:pPr>
      <w:r>
        <w:rPr>
          <w:rStyle w:val="FootnoteReference"/>
        </w:rPr>
        <w:footnoteRef/>
      </w:r>
      <w:r>
        <w:t xml:space="preserve"> </w:t>
      </w:r>
      <w:r w:rsidR="00471A5A">
        <w:t xml:space="preserve">Department of Health and Aged </w:t>
      </w:r>
      <w:r w:rsidR="00DA4B14">
        <w:t>C</w:t>
      </w:r>
      <w:r w:rsidR="00471A5A">
        <w:t>are</w:t>
      </w:r>
      <w:r w:rsidR="00DA4B14">
        <w:t xml:space="preserve">, </w:t>
      </w:r>
      <w:r w:rsidR="00DA4B14" w:rsidRPr="00DA4B14">
        <w:rPr>
          <w:i/>
          <w:iCs/>
        </w:rPr>
        <w:t>Conversation for Change report</w:t>
      </w:r>
      <w:r w:rsidR="00DA4B14">
        <w:t>,</w:t>
      </w:r>
      <w:r w:rsidR="00471A5A">
        <w:t xml:space="preserve"> </w:t>
      </w:r>
      <w:hyperlink r:id="rId6" w:history="1">
        <w:r w:rsidR="00471A5A" w:rsidRPr="00442E99">
          <w:rPr>
            <w:rStyle w:val="Hyperlink"/>
          </w:rPr>
          <w:t>https://www.health.gov.au/sites/default/files/2023-08/conversations-for-change-report-2023_0.pdf</w:t>
        </w:r>
      </w:hyperlink>
      <w:r w:rsidR="00471A5A">
        <w:t xml:space="preserve"> </w:t>
      </w:r>
    </w:p>
  </w:footnote>
  <w:footnote w:id="10">
    <w:p w14:paraId="444EDD52" w14:textId="5CAB41F0" w:rsidR="00AF52CC" w:rsidRDefault="00AF52CC">
      <w:pPr>
        <w:pStyle w:val="FootnoteText"/>
      </w:pPr>
      <w:r>
        <w:rPr>
          <w:rStyle w:val="FootnoteReference"/>
        </w:rPr>
        <w:footnoteRef/>
      </w:r>
      <w:r>
        <w:t xml:space="preserve"> </w:t>
      </w:r>
      <w:r w:rsidR="00043BF4">
        <w:t>Australian Institute of Health and Welfare, National Indigenous Australians Agency,</w:t>
      </w:r>
      <w:r>
        <w:t xml:space="preserve"> </w:t>
      </w:r>
      <w:r w:rsidR="00F55F52" w:rsidRPr="009D14F6">
        <w:rPr>
          <w:i/>
        </w:rPr>
        <w:t>Aboriginal and Torres Strait Islander</w:t>
      </w:r>
      <w:r w:rsidR="00C86C74">
        <w:rPr>
          <w:i/>
        </w:rPr>
        <w:fldChar w:fldCharType="begin"/>
      </w:r>
      <w:r w:rsidR="00C86C74">
        <w:instrText xml:space="preserve"> XE "</w:instrText>
      </w:r>
      <w:r w:rsidR="00C86C74" w:rsidRPr="004B5D69">
        <w:rPr>
          <w:rFonts w:eastAsia="Times New Roman" w:cs="Segoe UI"/>
          <w:color w:val="222A35"/>
          <w:kern w:val="24"/>
          <w:lang w:eastAsia="en-AU"/>
        </w:rPr>
        <w:instrText>Aboriginal and Torres Strait Islander</w:instrText>
      </w:r>
      <w:r w:rsidR="00C86C74">
        <w:instrText xml:space="preserve">" \b </w:instrText>
      </w:r>
      <w:r w:rsidR="00C86C74">
        <w:rPr>
          <w:i/>
        </w:rPr>
        <w:fldChar w:fldCharType="end"/>
      </w:r>
      <w:r w:rsidR="00F55F52" w:rsidRPr="009D14F6">
        <w:rPr>
          <w:i/>
        </w:rPr>
        <w:t xml:space="preserve"> Health Performance Framework</w:t>
      </w:r>
      <w:r w:rsidR="00385612" w:rsidRPr="009D14F6">
        <w:rPr>
          <w:i/>
        </w:rPr>
        <w:t xml:space="preserve">: </w:t>
      </w:r>
      <w:r w:rsidR="00AC5957" w:rsidRPr="009D14F6">
        <w:rPr>
          <w:i/>
        </w:rPr>
        <w:t>3.15 Access to prescription medicines</w:t>
      </w:r>
      <w:r w:rsidR="00385612">
        <w:t xml:space="preserve"> (2020)</w:t>
      </w:r>
      <w:r w:rsidR="008542D0">
        <w:t>,</w:t>
      </w:r>
      <w:r w:rsidR="00385612">
        <w:t xml:space="preserve"> </w:t>
      </w:r>
      <w:hyperlink r:id="rId7" w:history="1">
        <w:r w:rsidR="00385612" w:rsidRPr="007F6FE5">
          <w:rPr>
            <w:rStyle w:val="Hyperlink"/>
          </w:rPr>
          <w:t>https://www.indigenoushpf.gov.au/measures/3-15-access-prescription-medicines</w:t>
        </w:r>
      </w:hyperlink>
      <w:r w:rsidR="00385612">
        <w:t xml:space="preserve"> </w:t>
      </w:r>
    </w:p>
  </w:footnote>
  <w:footnote w:id="11">
    <w:p w14:paraId="49391643" w14:textId="7E40CAA7" w:rsidR="004C0ED1" w:rsidRDefault="004C0ED1">
      <w:pPr>
        <w:pStyle w:val="FootnoteText"/>
      </w:pPr>
      <w:r>
        <w:rPr>
          <w:rStyle w:val="FootnoteReference"/>
        </w:rPr>
        <w:footnoteRef/>
      </w:r>
      <w:r w:rsidR="00EA5E4C">
        <w:t xml:space="preserve"> Department of Health and Aged Care, </w:t>
      </w:r>
      <w:r w:rsidR="00EA5E4C" w:rsidRPr="000C5CA2">
        <w:rPr>
          <w:i/>
          <w:iCs/>
        </w:rPr>
        <w:t xml:space="preserve">HTA </w:t>
      </w:r>
      <w:r w:rsidR="00C9141C" w:rsidRPr="000C5CA2">
        <w:rPr>
          <w:i/>
          <w:iCs/>
        </w:rPr>
        <w:t>Review</w:t>
      </w:r>
      <w:r w:rsidR="000C5CA2" w:rsidRPr="000C5CA2">
        <w:rPr>
          <w:i/>
          <w:iCs/>
        </w:rPr>
        <w:t xml:space="preserve"> draft paper: International Health Technology Market Approval Funding and Assessment Pathways</w:t>
      </w:r>
      <w:r w:rsidR="000C5CA2">
        <w:t>,</w:t>
      </w:r>
      <w:r>
        <w:t xml:space="preserve"> </w:t>
      </w:r>
      <w:hyperlink r:id="rId8" w:anchor="page=8" w:history="1">
        <w:r w:rsidR="00E16BAF" w:rsidRPr="00442E99">
          <w:rPr>
            <w:rStyle w:val="Hyperlink"/>
          </w:rPr>
          <w:t>https://www.health.gov.au/sites/default/files/2023-10/hta-policy-and-methods-review-draft-paper-review-international-health-technology-market-approval-funding-and-assessment-pathways.pdf#page=8</w:t>
        </w:r>
      </w:hyperlink>
      <w:r w:rsidR="00E16BAF">
        <w:t xml:space="preserve"> </w:t>
      </w:r>
    </w:p>
  </w:footnote>
  <w:footnote w:id="12">
    <w:p w14:paraId="7692511C" w14:textId="24DA47B7" w:rsidR="000D103B" w:rsidRDefault="000D103B">
      <w:pPr>
        <w:pStyle w:val="FootnoteText"/>
      </w:pPr>
      <w:r>
        <w:rPr>
          <w:rStyle w:val="FootnoteReference"/>
        </w:rPr>
        <w:footnoteRef/>
      </w:r>
      <w:r w:rsidR="00A242CD">
        <w:t xml:space="preserve">Department of Health and Aged Care, </w:t>
      </w:r>
      <w:r w:rsidR="00A242CD" w:rsidRPr="000C5CA2">
        <w:rPr>
          <w:i/>
          <w:iCs/>
        </w:rPr>
        <w:t xml:space="preserve">HTA Review draft paper: </w:t>
      </w:r>
      <w:r w:rsidR="00E16BAF">
        <w:rPr>
          <w:i/>
          <w:iCs/>
        </w:rPr>
        <w:t>Funding and Purchasing Decisions and Managing Uncertainty</w:t>
      </w:r>
      <w:r w:rsidR="00A242CD">
        <w:t>,</w:t>
      </w:r>
      <w:r>
        <w:t xml:space="preserve"> </w:t>
      </w:r>
      <w:hyperlink r:id="rId9" w:anchor="page=9" w:history="1">
        <w:r w:rsidR="00E16BAF" w:rsidRPr="00442E99">
          <w:rPr>
            <w:rStyle w:val="Hyperlink"/>
          </w:rPr>
          <w:t>https://www.health.gov.au/sites/default/files/2023-12/hta-policy-and-methods-review-draft-paper-funding-and-purchasing-decisions-and-managing-uncertainty.pdf#page=9</w:t>
        </w:r>
      </w:hyperlink>
      <w:r w:rsidR="00E16BAF">
        <w:t xml:space="preserve"> </w:t>
      </w:r>
    </w:p>
  </w:footnote>
  <w:footnote w:id="13">
    <w:p w14:paraId="11F10980" w14:textId="47A969DC" w:rsidR="003026EC" w:rsidRDefault="003026EC">
      <w:pPr>
        <w:pStyle w:val="FootnoteText"/>
      </w:pPr>
      <w:r>
        <w:rPr>
          <w:rStyle w:val="FootnoteReference"/>
        </w:rPr>
        <w:footnoteRef/>
      </w:r>
      <w:r>
        <w:t xml:space="preserve"> </w:t>
      </w:r>
      <w:r w:rsidR="00383210">
        <w:t xml:space="preserve">OECD, </w:t>
      </w:r>
      <w:r w:rsidR="00383210" w:rsidRPr="00E16BAF">
        <w:rPr>
          <w:i/>
        </w:rPr>
        <w:t>Antimicrobial Resistance in G7 Countries and Beyond</w:t>
      </w:r>
      <w:r w:rsidR="00383210">
        <w:t xml:space="preserve">, </w:t>
      </w:r>
      <w:hyperlink r:id="rId10" w:history="1">
        <w:r w:rsidR="00383210" w:rsidRPr="009D0047">
          <w:rPr>
            <w:rStyle w:val="Hyperlink"/>
          </w:rPr>
          <w:t>https://www.oecd.org/els/health-systems/Antimicrobial-Resistance-in-G7-Countries-and-Beyond.pdf</w:t>
        </w:r>
      </w:hyperlink>
    </w:p>
  </w:footnote>
  <w:footnote w:id="14">
    <w:p w14:paraId="1C5C17B5" w14:textId="77777777" w:rsidR="00524183" w:rsidRPr="003F4A06" w:rsidRDefault="00524183" w:rsidP="00524183">
      <w:pPr>
        <w:pStyle w:val="FootnoteText"/>
      </w:pPr>
      <w:r>
        <w:rPr>
          <w:rStyle w:val="FootnoteReference"/>
        </w:rPr>
        <w:footnoteRef/>
      </w:r>
      <w:r>
        <w:t xml:space="preserve"> Scope 1 emissions (direct emissions) are produced from sources within the boundary of an organisation, and </w:t>
      </w:r>
      <w:proofErr w:type="gramStart"/>
      <w:r>
        <w:t>as a result of</w:t>
      </w:r>
      <w:proofErr w:type="gramEnd"/>
      <w:r>
        <w:t xml:space="preserve"> that organisation’s activities, and are calculated at the point of emission release.</w:t>
      </w:r>
    </w:p>
  </w:footnote>
  <w:footnote w:id="15">
    <w:p w14:paraId="3BF03278" w14:textId="77777777" w:rsidR="00EC4DB3" w:rsidRPr="003F4A06" w:rsidRDefault="00EC4DB3" w:rsidP="00EC4DB3">
      <w:pPr>
        <w:pStyle w:val="FootnoteText"/>
      </w:pPr>
      <w:r>
        <w:rPr>
          <w:rStyle w:val="FootnoteReference"/>
        </w:rPr>
        <w:footnoteRef/>
      </w:r>
      <w:r>
        <w:t xml:space="preserve"> Scope 2 emissions (energy-related indirect emissions) occur outside the boundary of an organisation from the generation of electricity consumed by the organisation.</w:t>
      </w:r>
    </w:p>
  </w:footnote>
  <w:footnote w:id="16">
    <w:p w14:paraId="163E6F8A" w14:textId="77777777" w:rsidR="00F13126" w:rsidRPr="003F4A06" w:rsidRDefault="00F13126" w:rsidP="00F13126">
      <w:pPr>
        <w:pStyle w:val="FootnoteText"/>
      </w:pPr>
      <w:r>
        <w:rPr>
          <w:rStyle w:val="FootnoteReference"/>
        </w:rPr>
        <w:footnoteRef/>
      </w:r>
      <w:r>
        <w:t xml:space="preserve"> </w:t>
      </w:r>
      <w:r w:rsidRPr="0022690D">
        <w:t xml:space="preserve">Bell, </w:t>
      </w:r>
      <w:proofErr w:type="spellStart"/>
      <w:r w:rsidRPr="0022690D">
        <w:t>Kazda</w:t>
      </w:r>
      <w:proofErr w:type="spellEnd"/>
      <w:r w:rsidRPr="0022690D">
        <w:t>, Parker. Asthma in Adults. New England Journal of Medicine. 2023;389(22):2110-3.</w:t>
      </w:r>
      <w:r>
        <w:t xml:space="preserve"> </w:t>
      </w:r>
      <w:hyperlink r:id="rId11" w:history="1">
        <w:r w:rsidRPr="009D0047">
          <w:rPr>
            <w:rStyle w:val="Hyperlink"/>
          </w:rPr>
          <w:t>https://www.nejm.org/doi/full/10.1056/NEJMc2312345</w:t>
        </w:r>
      </w:hyperlink>
    </w:p>
  </w:footnote>
  <w:footnote w:id="17">
    <w:p w14:paraId="7449BCD9" w14:textId="73D7E92D" w:rsidR="00F13126" w:rsidRPr="00763C86" w:rsidRDefault="00F13126" w:rsidP="00F13126">
      <w:pPr>
        <w:pStyle w:val="FootnoteText"/>
      </w:pPr>
      <w:r>
        <w:rPr>
          <w:rStyle w:val="FootnoteReference"/>
        </w:rPr>
        <w:footnoteRef/>
      </w:r>
      <w:r>
        <w:t xml:space="preserve"> </w:t>
      </w:r>
      <w:r w:rsidRPr="008C677D">
        <w:t>McAlister S, Morton RL, Barratt A. Incorporating carbon into health technology assessments. Lancet Planetary Health 2022; 6(12), pp. e993-e999.</w:t>
      </w:r>
    </w:p>
  </w:footnote>
  <w:footnote w:id="18">
    <w:p w14:paraId="4BDEC81E" w14:textId="446422A4" w:rsidR="00F13126" w:rsidRPr="00F93291" w:rsidRDefault="00F13126" w:rsidP="00F13126">
      <w:pPr>
        <w:pStyle w:val="FootnoteText"/>
      </w:pPr>
      <w:r>
        <w:rPr>
          <w:rStyle w:val="FootnoteReference"/>
        </w:rPr>
        <w:footnoteRef/>
      </w:r>
      <w:r w:rsidRPr="001A02BF">
        <w:t xml:space="preserve"> </w:t>
      </w:r>
      <w:r w:rsidR="00CD7C27">
        <w:t>NICE,</w:t>
      </w:r>
      <w:r w:rsidR="00122CDD">
        <w:t xml:space="preserve"> </w:t>
      </w:r>
      <w:r w:rsidR="00122CDD" w:rsidRPr="00122CDD">
        <w:rPr>
          <w:i/>
          <w:iCs/>
        </w:rPr>
        <w:t>NICE strategy 2021 to 2026</w:t>
      </w:r>
      <w:r w:rsidR="008542D0">
        <w:rPr>
          <w:i/>
          <w:iCs/>
        </w:rPr>
        <w:t>,</w:t>
      </w:r>
      <w:r w:rsidR="00CD7C27">
        <w:t xml:space="preserve"> </w:t>
      </w:r>
      <w:hyperlink r:id="rId12" w:history="1">
        <w:r w:rsidR="00126339" w:rsidRPr="00442E99">
          <w:rPr>
            <w:rStyle w:val="Hyperlink"/>
          </w:rPr>
          <w:t>https://www.nice.org.uk/Media/Default/Get-involved/Meetings-In-Public/Public-board-meetings/Mar-24-pbm-NICE-strategy-2021-2026.pdf</w:t>
        </w:r>
      </w:hyperlink>
      <w:r w:rsidR="00126339">
        <w:t xml:space="preserve"> </w:t>
      </w:r>
    </w:p>
  </w:footnote>
  <w:footnote w:id="19">
    <w:p w14:paraId="3CB00755" w14:textId="69A10F8A" w:rsidR="00F13126" w:rsidRPr="00F93291" w:rsidRDefault="00F13126" w:rsidP="00F13126">
      <w:pPr>
        <w:pStyle w:val="FootnoteText"/>
      </w:pPr>
      <w:r>
        <w:rPr>
          <w:rStyle w:val="FootnoteReference"/>
        </w:rPr>
        <w:footnoteRef/>
      </w:r>
      <w:r>
        <w:t xml:space="preserve"> </w:t>
      </w:r>
      <w:r w:rsidR="00126339">
        <w:t xml:space="preserve">CADTH, </w:t>
      </w:r>
      <w:r w:rsidR="00126339" w:rsidRPr="00126339">
        <w:rPr>
          <w:i/>
          <w:iCs/>
        </w:rPr>
        <w:t>Ahead of the Curve: Shaping Future-Ready Health Systems 2022-2025 Strategic Plan</w:t>
      </w:r>
      <w:r w:rsidR="008542D0">
        <w:rPr>
          <w:i/>
          <w:iCs/>
        </w:rPr>
        <w:t>,</w:t>
      </w:r>
      <w:r w:rsidR="00126339">
        <w:t xml:space="preserve"> </w:t>
      </w:r>
      <w:hyperlink r:id="rId13" w:history="1">
        <w:r w:rsidR="00126339" w:rsidRPr="00442E99">
          <w:rPr>
            <w:rStyle w:val="Hyperlink"/>
          </w:rPr>
          <w:t>https://strategicplan.cadth.ca/wp-content/uploads/2022/03/cadth_2022_2025_strategic_plan.pdf</w:t>
        </w:r>
      </w:hyperlink>
      <w:r w:rsidR="00126339">
        <w:t xml:space="preserve"> </w:t>
      </w:r>
    </w:p>
  </w:footnote>
  <w:footnote w:id="20">
    <w:p w14:paraId="20DF3004" w14:textId="4903AB52" w:rsidR="00F24F60" w:rsidRPr="007F5B51" w:rsidRDefault="00F24F60" w:rsidP="00F24F60">
      <w:pPr>
        <w:pStyle w:val="FootnoteText"/>
      </w:pPr>
      <w:r w:rsidRPr="007F5B51">
        <w:rPr>
          <w:rStyle w:val="FootnoteReference"/>
        </w:rPr>
        <w:footnoteRef/>
      </w:r>
      <w:r w:rsidRPr="007F5B51">
        <w:t xml:space="preserve"> </w:t>
      </w:r>
      <w:r w:rsidR="00FE0FD7">
        <w:t xml:space="preserve">PBS, </w:t>
      </w:r>
      <w:r w:rsidR="00FE0FD7" w:rsidRPr="00FE0FD7">
        <w:rPr>
          <w:i/>
          <w:iCs/>
        </w:rPr>
        <w:t>International HTA collaboration</w:t>
      </w:r>
      <w:r w:rsidR="00306661">
        <w:rPr>
          <w:i/>
          <w:iCs/>
        </w:rPr>
        <w:fldChar w:fldCharType="begin"/>
      </w:r>
      <w:r w:rsidR="00306661">
        <w:instrText xml:space="preserve"> XE "</w:instrText>
      </w:r>
      <w:r w:rsidR="00306661" w:rsidRPr="004A2916">
        <w:instrText>collaboration</w:instrText>
      </w:r>
      <w:r w:rsidR="00306661">
        <w:instrText xml:space="preserve">" </w:instrText>
      </w:r>
      <w:r w:rsidR="00306661">
        <w:rPr>
          <w:i/>
          <w:iCs/>
        </w:rPr>
        <w:fldChar w:fldCharType="end"/>
      </w:r>
      <w:r w:rsidR="00FE0FD7" w:rsidRPr="00FE0FD7">
        <w:rPr>
          <w:i/>
          <w:iCs/>
        </w:rPr>
        <w:t xml:space="preserve"> expands</w:t>
      </w:r>
      <w:r w:rsidR="001A3599">
        <w:rPr>
          <w:i/>
          <w:iCs/>
        </w:rPr>
        <w:t>,</w:t>
      </w:r>
      <w:r w:rsidR="00FE0FD7">
        <w:t xml:space="preserve"> </w:t>
      </w:r>
      <w:hyperlink r:id="rId14" w:history="1">
        <w:r w:rsidR="00FE0FD7" w:rsidRPr="00442E99">
          <w:rPr>
            <w:rStyle w:val="Hyperlink"/>
          </w:rPr>
          <w:t>www.pbs.gov.au/info/news/2023/09/international-hta-collaboration-expands</w:t>
        </w:r>
      </w:hyperlink>
      <w:r>
        <w:t xml:space="preserve"> </w:t>
      </w:r>
    </w:p>
  </w:footnote>
  <w:footnote w:id="21">
    <w:p w14:paraId="321C5200" w14:textId="1185EFCC" w:rsidR="00BE3025" w:rsidRDefault="00BE3025">
      <w:pPr>
        <w:pStyle w:val="FootnoteText"/>
      </w:pPr>
      <w:r>
        <w:rPr>
          <w:rStyle w:val="FootnoteReference"/>
        </w:rPr>
        <w:footnoteRef/>
      </w:r>
      <w:r w:rsidR="0087189A">
        <w:t xml:space="preserve"> TGA,</w:t>
      </w:r>
      <w:r>
        <w:t xml:space="preserve"> </w:t>
      </w:r>
      <w:r w:rsidR="0087189A" w:rsidRPr="007E1CAB">
        <w:rPr>
          <w:i/>
        </w:rPr>
        <w:t>Australia-Canada-Singapore-Switzerland-United Kingdom (Access) Consortium</w:t>
      </w:r>
      <w:r w:rsidR="002849E1">
        <w:rPr>
          <w:i/>
          <w:iCs/>
        </w:rPr>
        <w:t>,</w:t>
      </w:r>
      <w:r w:rsidR="00462063">
        <w:t xml:space="preserve"> </w:t>
      </w:r>
      <w:hyperlink r:id="rId15" w:history="1">
        <w:r w:rsidR="00462063" w:rsidRPr="00442E99">
          <w:rPr>
            <w:rStyle w:val="Hyperlink"/>
          </w:rPr>
          <w:t>https://www.tga.gov.au/international-activities/australia-canada-singapore-switzerland-united-kingdom-access-consortium</w:t>
        </w:r>
      </w:hyperlink>
      <w:r>
        <w:t xml:space="preserve"> </w:t>
      </w:r>
    </w:p>
  </w:footnote>
  <w:footnote w:id="22">
    <w:p w14:paraId="099B64E4" w14:textId="487A9438" w:rsidR="00286F75" w:rsidRDefault="00286F75">
      <w:pPr>
        <w:pStyle w:val="FootnoteText"/>
      </w:pPr>
      <w:r>
        <w:rPr>
          <w:rStyle w:val="FootnoteReference"/>
        </w:rPr>
        <w:footnoteRef/>
      </w:r>
      <w:r w:rsidR="007E1CAB">
        <w:t xml:space="preserve">FDA, </w:t>
      </w:r>
      <w:r w:rsidR="007E1CAB" w:rsidRPr="007E1CAB">
        <w:rPr>
          <w:i/>
          <w:iCs/>
        </w:rPr>
        <w:t>Project Orbis: A framework for concurrent submission and review of oncology products</w:t>
      </w:r>
      <w:r w:rsidR="002849E1">
        <w:rPr>
          <w:i/>
          <w:iCs/>
        </w:rPr>
        <w:t>,</w:t>
      </w:r>
      <w:r>
        <w:t xml:space="preserve"> </w:t>
      </w:r>
      <w:hyperlink r:id="rId16" w:history="1">
        <w:r w:rsidRPr="008B10E5">
          <w:rPr>
            <w:rStyle w:val="Hyperlink"/>
          </w:rPr>
          <w:t>https://www.fda.gov/a</w:t>
        </w:r>
        <w:bookmarkStart w:id="261" w:name="_Hlt157026968"/>
        <w:bookmarkStart w:id="262" w:name="_Hlt157026969"/>
        <w:r w:rsidRPr="008B10E5">
          <w:rPr>
            <w:rStyle w:val="Hyperlink"/>
          </w:rPr>
          <w:t>b</w:t>
        </w:r>
        <w:bookmarkEnd w:id="261"/>
        <w:bookmarkEnd w:id="262"/>
        <w:r w:rsidRPr="008B10E5">
          <w:rPr>
            <w:rStyle w:val="Hyperlink"/>
          </w:rPr>
          <w:t>out-fda/oncology-center-excellence/project-orbis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8A24B5D" w14:paraId="184A9BD8" w14:textId="77777777" w:rsidTr="00687095">
      <w:trPr>
        <w:trHeight w:val="300"/>
      </w:trPr>
      <w:tc>
        <w:tcPr>
          <w:tcW w:w="3005" w:type="dxa"/>
        </w:tcPr>
        <w:p w14:paraId="23EB004D" w14:textId="0A197364" w:rsidR="48A24B5D" w:rsidRDefault="48A24B5D" w:rsidP="00687095">
          <w:pPr>
            <w:pStyle w:val="Header"/>
            <w:ind w:left="-115"/>
          </w:pPr>
        </w:p>
      </w:tc>
      <w:tc>
        <w:tcPr>
          <w:tcW w:w="3005" w:type="dxa"/>
        </w:tcPr>
        <w:p w14:paraId="44A14AC4" w14:textId="3F0C55AA" w:rsidR="48A24B5D" w:rsidRDefault="48A24B5D" w:rsidP="00687095">
          <w:pPr>
            <w:pStyle w:val="Header"/>
            <w:jc w:val="center"/>
          </w:pPr>
        </w:p>
      </w:tc>
      <w:tc>
        <w:tcPr>
          <w:tcW w:w="3005" w:type="dxa"/>
        </w:tcPr>
        <w:p w14:paraId="701AEC3D" w14:textId="5339E4E5" w:rsidR="48A24B5D" w:rsidRDefault="48A24B5D" w:rsidP="00687095">
          <w:pPr>
            <w:pStyle w:val="Header"/>
            <w:ind w:right="-115"/>
            <w:jc w:val="right"/>
          </w:pPr>
        </w:p>
      </w:tc>
    </w:tr>
    <w:tr w:rsidR="004C2C8F" w14:paraId="0FB122FC" w14:textId="77777777" w:rsidTr="00687095">
      <w:trPr>
        <w:trHeight w:val="300"/>
      </w:trPr>
      <w:tc>
        <w:tcPr>
          <w:tcW w:w="3005" w:type="dxa"/>
        </w:tcPr>
        <w:p w14:paraId="201F882B" w14:textId="49186D70" w:rsidR="004C2C8F" w:rsidRDefault="004C2C8F" w:rsidP="00687095">
          <w:pPr>
            <w:pStyle w:val="Header"/>
            <w:ind w:left="-115"/>
          </w:pPr>
        </w:p>
      </w:tc>
      <w:tc>
        <w:tcPr>
          <w:tcW w:w="3005" w:type="dxa"/>
        </w:tcPr>
        <w:p w14:paraId="74B7ADC3" w14:textId="77777777" w:rsidR="004C2C8F" w:rsidRDefault="004C2C8F" w:rsidP="00687095">
          <w:pPr>
            <w:pStyle w:val="Header"/>
            <w:jc w:val="center"/>
          </w:pPr>
        </w:p>
      </w:tc>
      <w:tc>
        <w:tcPr>
          <w:tcW w:w="3005" w:type="dxa"/>
        </w:tcPr>
        <w:p w14:paraId="4592115E" w14:textId="77777777" w:rsidR="004C2C8F" w:rsidRDefault="004C2C8F" w:rsidP="00687095">
          <w:pPr>
            <w:pStyle w:val="Header"/>
            <w:ind w:right="-115"/>
            <w:jc w:val="right"/>
          </w:pPr>
        </w:p>
      </w:tc>
    </w:tr>
  </w:tbl>
  <w:p w14:paraId="0D6307BF" w14:textId="4987A18B" w:rsidR="00E7068B" w:rsidRDefault="00E706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6861" w14:textId="77777777" w:rsidR="00566B7E" w:rsidRDefault="00107297" w:rsidP="00F765C8">
    <w:pPr>
      <w:pStyle w:val="Header"/>
      <w:jc w:val="right"/>
    </w:pPr>
    <w:r>
      <w:rPr>
        <w:i/>
        <w:iCs/>
        <w:noProof/>
        <w:sz w:val="20"/>
        <w:szCs w:val="20"/>
      </w:rPr>
      <mc:AlternateContent>
        <mc:Choice Requires="wps">
          <w:drawing>
            <wp:anchor distT="0" distB="0" distL="114300" distR="114300" simplePos="0" relativeHeight="251700224" behindDoc="0" locked="0" layoutInCell="1" allowOverlap="1" wp14:anchorId="2B74909E" wp14:editId="31DCC40F">
              <wp:simplePos x="0" y="0"/>
              <wp:positionH relativeFrom="column">
                <wp:posOffset>0</wp:posOffset>
              </wp:positionH>
              <wp:positionV relativeFrom="paragraph">
                <wp:posOffset>204762</wp:posOffset>
              </wp:positionV>
              <wp:extent cx="5723890" cy="0"/>
              <wp:effectExtent l="0" t="0" r="0" b="0"/>
              <wp:wrapNone/>
              <wp:docPr id="646348288" name="Straight Connector 646348288"/>
              <wp:cNvGraphicFramePr/>
              <a:graphic xmlns:a="http://schemas.openxmlformats.org/drawingml/2006/main">
                <a:graphicData uri="http://schemas.microsoft.com/office/word/2010/wordprocessingShape">
                  <wps:wsp>
                    <wps:cNvCnPr/>
                    <wps:spPr>
                      <a:xfrm flipV="1">
                        <a:off x="0" y="0"/>
                        <a:ext cx="5723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8EED5" id="Straight Connector 64634828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1pt" to="45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" strokecolor="#1d437f [3204]" strokeweight=".5pt">
              <v:stroke joinstyle="miter"/>
            </v:line>
          </w:pict>
        </mc:Fallback>
      </mc:AlternateContent>
    </w:r>
    <w:r>
      <w:t>Executive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48A24B5D" w14:paraId="6EF5C1B4" w14:textId="77777777" w:rsidTr="00687095">
      <w:trPr>
        <w:trHeight w:val="109"/>
      </w:trPr>
      <w:tc>
        <w:tcPr>
          <w:tcW w:w="4950" w:type="dxa"/>
        </w:tcPr>
        <w:p w14:paraId="12BA0203" w14:textId="29A708AC" w:rsidR="48A24B5D" w:rsidRDefault="48A24B5D" w:rsidP="00687095">
          <w:pPr>
            <w:pStyle w:val="Header"/>
            <w:ind w:left="-115"/>
          </w:pPr>
        </w:p>
      </w:tc>
      <w:tc>
        <w:tcPr>
          <w:tcW w:w="4950" w:type="dxa"/>
        </w:tcPr>
        <w:p w14:paraId="5DA4F6D8" w14:textId="1D265FBF" w:rsidR="48A24B5D" w:rsidRDefault="48A24B5D" w:rsidP="00687095">
          <w:pPr>
            <w:pStyle w:val="Header"/>
            <w:jc w:val="center"/>
          </w:pPr>
        </w:p>
      </w:tc>
      <w:tc>
        <w:tcPr>
          <w:tcW w:w="4950" w:type="dxa"/>
        </w:tcPr>
        <w:p w14:paraId="5573710F" w14:textId="50137095" w:rsidR="48A24B5D" w:rsidRDefault="48A24B5D" w:rsidP="00687095">
          <w:pPr>
            <w:pStyle w:val="Header"/>
            <w:ind w:right="-115"/>
            <w:jc w:val="right"/>
          </w:pPr>
        </w:p>
      </w:tc>
    </w:tr>
  </w:tbl>
  <w:p w14:paraId="6D2591C1" w14:textId="22015326" w:rsidR="00E7068B" w:rsidRDefault="00E7068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9B07" w14:textId="2434E60C" w:rsidR="00566319" w:rsidRDefault="00566319" w:rsidP="00566319">
    <w:pPr>
      <w:pStyle w:val="Header"/>
      <w:jc w:val="right"/>
    </w:pPr>
    <w:r>
      <w:rPr>
        <w:i/>
        <w:iCs/>
        <w:noProof/>
        <w:sz w:val="20"/>
        <w:szCs w:val="20"/>
      </w:rPr>
      <mc:AlternateContent>
        <mc:Choice Requires="wps">
          <w:drawing>
            <wp:anchor distT="0" distB="0" distL="114300" distR="114300" simplePos="0" relativeHeight="251607040" behindDoc="0" locked="0" layoutInCell="1" allowOverlap="1" wp14:anchorId="4555535A" wp14:editId="5118844D">
              <wp:simplePos x="0" y="0"/>
              <wp:positionH relativeFrom="column">
                <wp:posOffset>-362607</wp:posOffset>
              </wp:positionH>
              <wp:positionV relativeFrom="paragraph">
                <wp:posOffset>223432</wp:posOffset>
              </wp:positionV>
              <wp:extent cx="6211614" cy="0"/>
              <wp:effectExtent l="0" t="0" r="0" b="0"/>
              <wp:wrapNone/>
              <wp:docPr id="42" name="Straight Connector 42"/>
              <wp:cNvGraphicFramePr/>
              <a:graphic xmlns:a="http://schemas.openxmlformats.org/drawingml/2006/main">
                <a:graphicData uri="http://schemas.microsoft.com/office/word/2010/wordprocessingShape">
                  <wps:wsp>
                    <wps:cNvCnPr/>
                    <wps:spPr>
                      <a:xfrm flipV="1">
                        <a:off x="0" y="0"/>
                        <a:ext cx="62116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A8827" id="Straight Connector 42"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pt,17.6pt" to="460.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" strokecolor="#1d437f [3204]" strokeweight=".5pt">
              <v:stroke joinstyle="miter"/>
            </v:line>
          </w:pict>
        </mc:Fallback>
      </mc:AlternateContent>
    </w:r>
    <w:r>
      <w:t>Overview</w:t>
    </w:r>
    <w:r w:rsidR="004E2B5E">
      <w:t xml:space="preserve"> of </w:t>
    </w:r>
    <w:r w:rsidR="00527EC9">
      <w:t>key options</w:t>
    </w:r>
  </w:p>
  <w:p w14:paraId="175F8DA0" w14:textId="4968BCD7" w:rsidR="00E7068B" w:rsidRDefault="00E7068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D839" w14:textId="77777777" w:rsidR="00566319" w:rsidRDefault="00566319" w:rsidP="009B2E33">
    <w:pPr>
      <w:pStyle w:val="Header"/>
    </w:pPr>
  </w:p>
  <w:p w14:paraId="67CBE0F7" w14:textId="77777777" w:rsidR="00566319" w:rsidRDefault="0056631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203B" w14:textId="5E0BFF1D" w:rsidR="00566319" w:rsidRDefault="00C87EBA" w:rsidP="00C87EBA">
    <w:pPr>
      <w:pStyle w:val="Header"/>
      <w:tabs>
        <w:tab w:val="left" w:pos="692"/>
      </w:tabs>
    </w:pPr>
    <w:r>
      <w:rPr>
        <w:i/>
        <w:iCs/>
        <w:noProof/>
        <w:sz w:val="20"/>
        <w:szCs w:val="20"/>
      </w:rPr>
      <mc:AlternateContent>
        <mc:Choice Requires="wps">
          <w:drawing>
            <wp:anchor distT="0" distB="0" distL="114300" distR="114300" simplePos="0" relativeHeight="251622400" behindDoc="0" locked="0" layoutInCell="1" allowOverlap="1" wp14:anchorId="6DA578BD" wp14:editId="4E6CC9B5">
              <wp:simplePos x="0" y="0"/>
              <wp:positionH relativeFrom="column">
                <wp:posOffset>-8626</wp:posOffset>
              </wp:positionH>
              <wp:positionV relativeFrom="paragraph">
                <wp:posOffset>190596</wp:posOffset>
              </wp:positionV>
              <wp:extent cx="5770568" cy="0"/>
              <wp:effectExtent l="0" t="0" r="0" b="0"/>
              <wp:wrapNone/>
              <wp:docPr id="43" name="Straight Connector 43"/>
              <wp:cNvGraphicFramePr/>
              <a:graphic xmlns:a="http://schemas.openxmlformats.org/drawingml/2006/main">
                <a:graphicData uri="http://schemas.microsoft.com/office/word/2010/wordprocessingShape">
                  <wps:wsp>
                    <wps:cNvCnPr/>
                    <wps:spPr>
                      <a:xfrm flipV="1">
                        <a:off x="0" y="0"/>
                        <a:ext cx="57705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77059" id="Straight Connector 43"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5pt" to="453.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" strokecolor="#1d437f [3204]" strokeweight=".5pt">
              <v:stroke joinstyle="miter"/>
            </v:line>
          </w:pict>
        </mc:Fallback>
      </mc:AlternateContent>
    </w:r>
    <w:r>
      <w:tab/>
    </w:r>
    <w:r>
      <w:tab/>
    </w:r>
    <w:r>
      <w:tab/>
    </w:r>
    <w:r w:rsidR="00566319">
      <w:t>Introduction</w:t>
    </w:r>
  </w:p>
  <w:p w14:paraId="3CA05339" w14:textId="77777777" w:rsidR="00566319" w:rsidRDefault="0056631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A974" w14:textId="7540A2A8" w:rsidR="00566319" w:rsidRDefault="006B0DB3" w:rsidP="008505D7">
    <w:pPr>
      <w:pStyle w:val="Header"/>
      <w:numPr>
        <w:ilvl w:val="0"/>
        <w:numId w:val="165"/>
      </w:numPr>
      <w:jc w:val="right"/>
    </w:pPr>
    <w:r>
      <w:t xml:space="preserve">Transparency, </w:t>
    </w:r>
    <w:proofErr w:type="gramStart"/>
    <w:r>
      <w:t>communication</w:t>
    </w:r>
    <w:proofErr w:type="gramEnd"/>
    <w:r>
      <w:t xml:space="preserve"> and stakeholder involvement in HTA</w:t>
    </w:r>
  </w:p>
  <w:p w14:paraId="2CA6A1F5" w14:textId="4BACF39A" w:rsidR="00566319" w:rsidRDefault="00C42B73">
    <w:pPr>
      <w:pStyle w:val="Header"/>
    </w:pPr>
    <w:r>
      <w:rPr>
        <w:i/>
        <w:iCs/>
        <w:noProof/>
        <w:sz w:val="20"/>
        <w:szCs w:val="20"/>
      </w:rPr>
      <mc:AlternateContent>
        <mc:Choice Requires="wps">
          <w:drawing>
            <wp:anchor distT="0" distB="0" distL="114300" distR="114300" simplePos="0" relativeHeight="251637760" behindDoc="0" locked="0" layoutInCell="1" allowOverlap="1" wp14:anchorId="0F9FED2D" wp14:editId="57A31D4E">
              <wp:simplePos x="0" y="0"/>
              <wp:positionH relativeFrom="column">
                <wp:posOffset>40943</wp:posOffset>
              </wp:positionH>
              <wp:positionV relativeFrom="paragraph">
                <wp:posOffset>12880</wp:posOffset>
              </wp:positionV>
              <wp:extent cx="5758616" cy="0"/>
              <wp:effectExtent l="0" t="0" r="0" b="0"/>
              <wp:wrapNone/>
              <wp:docPr id="44" name="Straight Connector 44"/>
              <wp:cNvGraphicFramePr/>
              <a:graphic xmlns:a="http://schemas.openxmlformats.org/drawingml/2006/main">
                <a:graphicData uri="http://schemas.microsoft.com/office/word/2010/wordprocessingShape">
                  <wps:wsp>
                    <wps:cNvCnPr/>
                    <wps:spPr>
                      <a:xfrm flipV="1">
                        <a:off x="0" y="0"/>
                        <a:ext cx="57586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DE667" id="Straight Connector 44"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pt" to="45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" strokecolor="#1d437f [3204]" strokeweight=".5pt">
              <v:stroke joinstyle="miter"/>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14A9" w14:textId="0C357121" w:rsidR="006B0DB3" w:rsidRDefault="006B0DB3" w:rsidP="00566319">
    <w:pPr>
      <w:pStyle w:val="Header"/>
      <w:jc w:val="right"/>
    </w:pPr>
    <w:r>
      <w:t>2. Health technology funding and assessment pathways</w:t>
    </w:r>
  </w:p>
  <w:p w14:paraId="43553A29" w14:textId="7941AB0B" w:rsidR="006B0DB3" w:rsidRDefault="00C42B73">
    <w:pPr>
      <w:pStyle w:val="Header"/>
    </w:pPr>
    <w:r>
      <w:rPr>
        <w:i/>
        <w:iCs/>
        <w:noProof/>
        <w:sz w:val="20"/>
        <w:szCs w:val="20"/>
      </w:rPr>
      <mc:AlternateContent>
        <mc:Choice Requires="wps">
          <w:drawing>
            <wp:anchor distT="0" distB="0" distL="114300" distR="114300" simplePos="0" relativeHeight="251653120" behindDoc="0" locked="0" layoutInCell="1" allowOverlap="1" wp14:anchorId="37A51B86" wp14:editId="3A1B6344">
              <wp:simplePos x="0" y="0"/>
              <wp:positionH relativeFrom="column">
                <wp:posOffset>13648</wp:posOffset>
              </wp:positionH>
              <wp:positionV relativeFrom="paragraph">
                <wp:posOffset>10985</wp:posOffset>
              </wp:positionV>
              <wp:extent cx="5773003"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57730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737C3" id="Straight Connector 4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5pt" to="45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" strokecolor="#1d437f [3204]" strokeweight=".5pt">
              <v:stroke joinstyle="miter"/>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F659" w14:textId="1F139BC4" w:rsidR="006B0DB3" w:rsidRDefault="00DC4ACE" w:rsidP="00566319">
    <w:pPr>
      <w:pStyle w:val="Header"/>
      <w:jc w:val="right"/>
    </w:pPr>
    <w:r>
      <w:t>3. Methods for HTA for Australian Government Subsidy (technical methods)</w:t>
    </w:r>
  </w:p>
  <w:p w14:paraId="162BB0B7" w14:textId="4E4B7130" w:rsidR="006B0DB3" w:rsidRDefault="00C42B73">
    <w:pPr>
      <w:pStyle w:val="Header"/>
    </w:pPr>
    <w:r>
      <w:rPr>
        <w:i/>
        <w:iCs/>
        <w:noProof/>
        <w:sz w:val="20"/>
        <w:szCs w:val="20"/>
      </w:rPr>
      <mc:AlternateContent>
        <mc:Choice Requires="wps">
          <w:drawing>
            <wp:anchor distT="0" distB="0" distL="114300" distR="114300" simplePos="0" relativeHeight="251676672" behindDoc="0" locked="0" layoutInCell="1" allowOverlap="1" wp14:anchorId="2527240A" wp14:editId="64D28605">
              <wp:simplePos x="0" y="0"/>
              <wp:positionH relativeFrom="column">
                <wp:posOffset>13649</wp:posOffset>
              </wp:positionH>
              <wp:positionV relativeFrom="paragraph">
                <wp:posOffset>10985</wp:posOffset>
              </wp:positionV>
              <wp:extent cx="5677468" cy="0"/>
              <wp:effectExtent l="0" t="0" r="0" b="0"/>
              <wp:wrapNone/>
              <wp:docPr id="48" name="Straight Connector 48"/>
              <wp:cNvGraphicFramePr/>
              <a:graphic xmlns:a="http://schemas.openxmlformats.org/drawingml/2006/main">
                <a:graphicData uri="http://schemas.microsoft.com/office/word/2010/wordprocessingShape">
                  <wps:wsp>
                    <wps:cNvCnPr/>
                    <wps:spPr>
                      <a:xfrm flipV="1">
                        <a:off x="0" y="0"/>
                        <a:ext cx="56774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BF442" id="Straight Connector 4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5pt" to="44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" strokecolor="#1d437f [3204]" strokeweight=".5pt">
              <v:stroke joinstyle="miter"/>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2697" w14:textId="6D2C0CF6" w:rsidR="00BD451D" w:rsidRDefault="004556CE" w:rsidP="00566319">
    <w:pPr>
      <w:pStyle w:val="Header"/>
      <w:jc w:val="right"/>
    </w:pPr>
    <w:r>
      <w:t>4</w:t>
    </w:r>
    <w:r w:rsidR="00BD451D">
      <w:t xml:space="preserve">. </w:t>
    </w:r>
    <w:r w:rsidR="00AA6355">
      <w:t xml:space="preserve">Health technology funding </w:t>
    </w:r>
    <w:r w:rsidR="00625B02">
      <w:t>and purchasing approaches and managing uncertainty</w:t>
    </w:r>
  </w:p>
  <w:p w14:paraId="3BD7606E" w14:textId="77777777" w:rsidR="00BD451D" w:rsidRDefault="00C42B73">
    <w:pPr>
      <w:pStyle w:val="Header"/>
    </w:pPr>
    <w:r>
      <w:rPr>
        <w:i/>
        <w:iCs/>
        <w:noProof/>
        <w:sz w:val="20"/>
        <w:szCs w:val="20"/>
      </w:rPr>
      <mc:AlternateContent>
        <mc:Choice Requires="wps">
          <w:drawing>
            <wp:anchor distT="0" distB="0" distL="114300" distR="114300" simplePos="0" relativeHeight="251663360" behindDoc="0" locked="0" layoutInCell="1" allowOverlap="1" wp14:anchorId="69872C06" wp14:editId="70BF7AE1">
              <wp:simplePos x="0" y="0"/>
              <wp:positionH relativeFrom="column">
                <wp:posOffset>40943</wp:posOffset>
              </wp:positionH>
              <wp:positionV relativeFrom="paragraph">
                <wp:posOffset>12880</wp:posOffset>
              </wp:positionV>
              <wp:extent cx="5691012" cy="0"/>
              <wp:effectExtent l="0" t="0" r="0" b="0"/>
              <wp:wrapNone/>
              <wp:docPr id="49" name="Straight Connector 49"/>
              <wp:cNvGraphicFramePr/>
              <a:graphic xmlns:a="http://schemas.openxmlformats.org/drawingml/2006/main">
                <a:graphicData uri="http://schemas.microsoft.com/office/word/2010/wordprocessingShape">
                  <wps:wsp>
                    <wps:cNvCnPr/>
                    <wps:spPr>
                      <a:xfrm flipV="1">
                        <a:off x="0" y="0"/>
                        <a:ext cx="56910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52C4A" id="Straight Connector 4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pt" to="451.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" strokecolor="#1d437f [3204]" strokeweight=".5pt">
              <v:stroke joinstyle="miter"/>
            </v:lin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02D2" w14:textId="77777777" w:rsidR="00AA6355" w:rsidRDefault="00AA6355" w:rsidP="00566319">
    <w:pPr>
      <w:pStyle w:val="Header"/>
      <w:jc w:val="right"/>
    </w:pPr>
    <w:r>
      <w:rPr>
        <w:i/>
        <w:iCs/>
        <w:noProof/>
        <w:sz w:val="20"/>
        <w:szCs w:val="20"/>
      </w:rPr>
      <mc:AlternateContent>
        <mc:Choice Requires="wps">
          <w:drawing>
            <wp:anchor distT="0" distB="0" distL="114300" distR="114300" simplePos="0" relativeHeight="251683840" behindDoc="0" locked="0" layoutInCell="1" allowOverlap="1" wp14:anchorId="1F936B4D" wp14:editId="2D26C111">
              <wp:simplePos x="0" y="0"/>
              <wp:positionH relativeFrom="column">
                <wp:posOffset>-68239</wp:posOffset>
              </wp:positionH>
              <wp:positionV relativeFrom="paragraph">
                <wp:posOffset>213550</wp:posOffset>
              </wp:positionV>
              <wp:extent cx="5800299" cy="0"/>
              <wp:effectExtent l="0" t="0" r="0" b="0"/>
              <wp:wrapNone/>
              <wp:docPr id="51" name="Straight Connector 51"/>
              <wp:cNvGraphicFramePr/>
              <a:graphic xmlns:a="http://schemas.openxmlformats.org/drawingml/2006/main">
                <a:graphicData uri="http://schemas.microsoft.com/office/word/2010/wordprocessingShape">
                  <wps:wsp>
                    <wps:cNvCnPr/>
                    <wps:spPr>
                      <a:xfrm flipV="1">
                        <a:off x="0" y="0"/>
                        <a:ext cx="58002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325F17" id="Straight Connector 5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6.8pt" to="451.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" strokecolor="#1d437f [3204]" strokeweight=".5pt">
              <v:stroke joinstyle="miter"/>
            </v:line>
          </w:pict>
        </mc:Fallback>
      </mc:AlternateContent>
    </w:r>
    <w:r>
      <w:t>5. Futureproofing Australia’s systems and processes</w:t>
    </w:r>
  </w:p>
  <w:p w14:paraId="67180562" w14:textId="77777777" w:rsidR="00AA6355" w:rsidRDefault="00AA6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1611" w14:textId="77777777" w:rsidR="00457ACE" w:rsidRDefault="00457ACE">
    <w:pPr>
      <w:pStyle w:val="Header"/>
    </w:pPr>
  </w:p>
  <w:p w14:paraId="27ED8D30" w14:textId="77777777" w:rsidR="00AB7FB7" w:rsidRDefault="00AB7FB7">
    <w:pPr>
      <w:pStyle w:val="Header"/>
    </w:pPr>
  </w:p>
  <w:p w14:paraId="3A2FCD1C" w14:textId="77777777" w:rsidR="004C6E4C" w:rsidRDefault="004C6E4C">
    <w:pPr>
      <w:pStyle w:val="Header"/>
    </w:pPr>
  </w:p>
  <w:p w14:paraId="7F136F5F" w14:textId="77777777" w:rsidR="001F08E5" w:rsidRDefault="001F08E5">
    <w:pPr>
      <w:pStyle w:val="Header"/>
    </w:pPr>
  </w:p>
  <w:p w14:paraId="2C402FA0" w14:textId="77777777" w:rsidR="00245C44" w:rsidRDefault="00245C44">
    <w:pPr>
      <w:pStyle w:val="Header"/>
    </w:pPr>
  </w:p>
  <w:p w14:paraId="698FC490" w14:textId="77777777" w:rsidR="00245C44" w:rsidRDefault="00E73C9F">
    <w:pPr>
      <w:pStyle w:val="Header"/>
    </w:pPr>
    <w:sdt>
      <w:sdtPr>
        <w:id w:val="808440146"/>
        <w:placeholder>
          <w:docPart w:val="47D109674C6C4A3CB40D7A2078B83942"/>
        </w:placeholder>
        <w:temporary/>
        <w:showingPlcHdr/>
        <w15:appearance w15:val="hidden"/>
      </w:sdtPr>
      <w:sdtEndPr/>
      <w:sdtContent>
        <w:r w:rsidR="00810014">
          <w:t>[Type here]</w:t>
        </w:r>
      </w:sdtContent>
    </w:sdt>
  </w:p>
  <w:p w14:paraId="078891DE" w14:textId="77777777" w:rsidR="004C6E4C" w:rsidRDefault="004C6E4C">
    <w:pPr>
      <w:pStyle w:val="Header"/>
    </w:pPr>
  </w:p>
  <w:p w14:paraId="58F14DA9" w14:textId="77777777" w:rsidR="00BA07C1" w:rsidRDefault="00BA07C1">
    <w:pPr>
      <w:pStyle w:val="Header"/>
    </w:pPr>
  </w:p>
  <w:p w14:paraId="65BEEF57" w14:textId="6F6D61A1" w:rsidR="00BC3616" w:rsidRDefault="00BC3616">
    <w:pPr>
      <w:pStyle w:val="Header"/>
    </w:pPr>
  </w:p>
  <w:p w14:paraId="3B0712CF" w14:textId="1A25653C" w:rsidR="004C6E4C" w:rsidRDefault="00E73C9F">
    <w:pPr>
      <w:pStyle w:val="Header"/>
    </w:pPr>
    <w:sdt>
      <w:sdtPr>
        <w:id w:val="-481542105"/>
        <w:placeholder>
          <w:docPart w:val="332F4F4EB1A7429D848884331F3E7E68"/>
        </w:placeholder>
        <w:temporary/>
        <w:showingPlcHdr/>
        <w15:appearance w15:val="hidden"/>
      </w:sdtPr>
      <w:sdtEndPr/>
      <w:sdtContent>
        <w:r w:rsidR="00810014">
          <w:t>[Type here]</w:t>
        </w:r>
      </w:sdtContent>
    </w:sdt>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2FC5" w14:textId="77777777" w:rsidR="00351CF4" w:rsidRDefault="00351C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775EA" w14:textId="77777777" w:rsidR="00474ED6" w:rsidRDefault="00474E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028" w14:textId="3CE758AB" w:rsidR="0060568D" w:rsidRDefault="0060568D" w:rsidP="009B2E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D7D0" w14:textId="77777777" w:rsidR="00D67D93" w:rsidRDefault="00B26D5D" w:rsidP="00117D66">
    <w:pPr>
      <w:pStyle w:val="Header"/>
      <w:jc w:val="right"/>
    </w:pPr>
    <w:r>
      <w:rPr>
        <w:i/>
        <w:iCs/>
        <w:noProof/>
        <w:sz w:val="20"/>
        <w:szCs w:val="20"/>
      </w:rPr>
      <mc:AlternateContent>
        <mc:Choice Requires="wps">
          <w:drawing>
            <wp:anchor distT="0" distB="0" distL="114300" distR="114300" simplePos="0" relativeHeight="251702272" behindDoc="0" locked="0" layoutInCell="1" allowOverlap="1" wp14:anchorId="394DA3BF" wp14:editId="6588C215">
              <wp:simplePos x="0" y="0"/>
              <wp:positionH relativeFrom="column">
                <wp:posOffset>11875</wp:posOffset>
              </wp:positionH>
              <wp:positionV relativeFrom="paragraph">
                <wp:posOffset>191688</wp:posOffset>
              </wp:positionV>
              <wp:extent cx="5723907" cy="0"/>
              <wp:effectExtent l="0" t="0" r="0" b="0"/>
              <wp:wrapNone/>
              <wp:docPr id="2092456498" name="Straight Connector 2092456498"/>
              <wp:cNvGraphicFramePr/>
              <a:graphic xmlns:a="http://schemas.openxmlformats.org/drawingml/2006/main">
                <a:graphicData uri="http://schemas.microsoft.com/office/word/2010/wordprocessingShape">
                  <wps:wsp>
                    <wps:cNvCnPr/>
                    <wps:spPr>
                      <a:xfrm flipV="1">
                        <a:off x="0" y="0"/>
                        <a:ext cx="57239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658AB" id="Straight Connector 209245649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1pt" to="451.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" strokecolor="#1d437f [3204]" strokeweight=".5pt">
              <v:stroke joinstyle="miter"/>
            </v:line>
          </w:pict>
        </mc:Fallback>
      </mc:AlternateContent>
    </w:r>
    <w:r>
      <w:t>Overview</w:t>
    </w:r>
  </w:p>
  <w:p w14:paraId="73A0129D" w14:textId="77777777" w:rsidR="00B26D5D" w:rsidRDefault="00B26D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300B" w14:textId="45F02CE8" w:rsidR="00504995" w:rsidRDefault="00504995" w:rsidP="00117D66">
    <w:pPr>
      <w:pStyle w:val="Header"/>
      <w:jc w:val="right"/>
    </w:pPr>
    <w:r>
      <w:rPr>
        <w:i/>
        <w:iCs/>
        <w:noProof/>
        <w:sz w:val="20"/>
        <w:szCs w:val="20"/>
      </w:rPr>
      <mc:AlternateContent>
        <mc:Choice Requires="wps">
          <w:drawing>
            <wp:anchor distT="0" distB="0" distL="114300" distR="114300" simplePos="0" relativeHeight="251722752" behindDoc="0" locked="0" layoutInCell="1" allowOverlap="1" wp14:anchorId="2531D048" wp14:editId="03101FC5">
              <wp:simplePos x="0" y="0"/>
              <wp:positionH relativeFrom="column">
                <wp:posOffset>11875</wp:posOffset>
              </wp:positionH>
              <wp:positionV relativeFrom="paragraph">
                <wp:posOffset>191688</wp:posOffset>
              </wp:positionV>
              <wp:extent cx="5723907" cy="0"/>
              <wp:effectExtent l="0" t="0" r="0" b="0"/>
              <wp:wrapNone/>
              <wp:docPr id="2092456505" name="Straight Connector 2092456505"/>
              <wp:cNvGraphicFramePr/>
              <a:graphic xmlns:a="http://schemas.openxmlformats.org/drawingml/2006/main">
                <a:graphicData uri="http://schemas.microsoft.com/office/word/2010/wordprocessingShape">
                  <wps:wsp>
                    <wps:cNvCnPr/>
                    <wps:spPr>
                      <a:xfrm flipV="1">
                        <a:off x="0" y="0"/>
                        <a:ext cx="572390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747DC" id="Straight Connector 2092456505"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1pt" to="451.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" strokecolor="#1d437f [3204]" strokeweight=".5pt">
              <v:stroke joinstyle="miter"/>
            </v:line>
          </w:pict>
        </mc:Fallback>
      </mc:AlternateContent>
    </w:r>
    <w:r>
      <w:t>Table of Contents</w:t>
    </w:r>
  </w:p>
  <w:p w14:paraId="3D0FE0DA" w14:textId="77777777" w:rsidR="00856041" w:rsidRDefault="008560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0634" w14:textId="4135B321" w:rsidR="00D67D93" w:rsidRDefault="00B26D5D" w:rsidP="00117D66">
    <w:pPr>
      <w:pStyle w:val="Header"/>
      <w:jc w:val="right"/>
    </w:pPr>
    <w:r>
      <w:t>Overview</w:t>
    </w:r>
  </w:p>
  <w:p w14:paraId="3496431F" w14:textId="44424645" w:rsidR="00B26D5D" w:rsidRDefault="00B26D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C1A8" w14:textId="77777777" w:rsidR="000637BA" w:rsidRDefault="000637BA" w:rsidP="009B2E33">
    <w:pPr>
      <w:pStyle w:val="Header"/>
    </w:pPr>
  </w:p>
  <w:p w14:paraId="1F2E1428" w14:textId="6B90042B" w:rsidR="009007D9" w:rsidRDefault="009007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FFD83" w14:textId="77777777" w:rsidR="00F765C8" w:rsidRDefault="00F765C8" w:rsidP="00F765C8">
    <w:pPr>
      <w:pStyle w:val="Header"/>
      <w:jc w:val="right"/>
    </w:pPr>
    <w:r>
      <w:rPr>
        <w:i/>
        <w:iCs/>
        <w:noProof/>
        <w:sz w:val="20"/>
        <w:szCs w:val="20"/>
      </w:rPr>
      <mc:AlternateContent>
        <mc:Choice Requires="wps">
          <w:drawing>
            <wp:anchor distT="0" distB="0" distL="114300" distR="114300" simplePos="0" relativeHeight="251718656" behindDoc="0" locked="0" layoutInCell="1" allowOverlap="1" wp14:anchorId="5E0FE697" wp14:editId="375ECF3F">
              <wp:simplePos x="0" y="0"/>
              <wp:positionH relativeFrom="column">
                <wp:posOffset>0</wp:posOffset>
              </wp:positionH>
              <wp:positionV relativeFrom="paragraph">
                <wp:posOffset>204762</wp:posOffset>
              </wp:positionV>
              <wp:extent cx="5723890" cy="0"/>
              <wp:effectExtent l="0" t="0" r="0" b="0"/>
              <wp:wrapNone/>
              <wp:docPr id="2092456497" name="Straight Connector 2092456497"/>
              <wp:cNvGraphicFramePr/>
              <a:graphic xmlns:a="http://schemas.openxmlformats.org/drawingml/2006/main">
                <a:graphicData uri="http://schemas.microsoft.com/office/word/2010/wordprocessingShape">
                  <wps:wsp>
                    <wps:cNvCnPr/>
                    <wps:spPr>
                      <a:xfrm flipV="1">
                        <a:off x="0" y="0"/>
                        <a:ext cx="5723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05CB" id="Straight Connector 209245649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1pt" to="450.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" strokecolor="#1d437f [3204]" strokeweight=".5pt">
              <v:stroke joinstyle="miter"/>
            </v:line>
          </w:pict>
        </mc:Fallback>
      </mc:AlternateContent>
    </w:r>
    <w:r>
      <w:t>Preface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B82"/>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F26058"/>
    <w:multiLevelType w:val="hybridMultilevel"/>
    <w:tmpl w:val="D90AD890"/>
    <w:lvl w:ilvl="0" w:tplc="0C090001">
      <w:start w:val="1"/>
      <w:numFmt w:val="bullet"/>
      <w:lvlText w:val=""/>
      <w:lvlJc w:val="left"/>
      <w:pPr>
        <w:ind w:left="1115" w:hanging="360"/>
      </w:pPr>
      <w:rPr>
        <w:rFonts w:ascii="Symbol" w:hAnsi="Symbol" w:hint="default"/>
      </w:rPr>
    </w:lvl>
    <w:lvl w:ilvl="1" w:tplc="0C090003" w:tentative="1">
      <w:start w:val="1"/>
      <w:numFmt w:val="bullet"/>
      <w:lvlText w:val="o"/>
      <w:lvlJc w:val="left"/>
      <w:pPr>
        <w:ind w:left="1835" w:hanging="360"/>
      </w:pPr>
      <w:rPr>
        <w:rFonts w:ascii="Courier New" w:hAnsi="Courier New" w:cs="Courier New" w:hint="default"/>
      </w:rPr>
    </w:lvl>
    <w:lvl w:ilvl="2" w:tplc="0C090005" w:tentative="1">
      <w:start w:val="1"/>
      <w:numFmt w:val="bullet"/>
      <w:lvlText w:val=""/>
      <w:lvlJc w:val="left"/>
      <w:pPr>
        <w:ind w:left="2555" w:hanging="360"/>
      </w:pPr>
      <w:rPr>
        <w:rFonts w:ascii="Wingdings" w:hAnsi="Wingdings" w:hint="default"/>
      </w:rPr>
    </w:lvl>
    <w:lvl w:ilvl="3" w:tplc="0C090001" w:tentative="1">
      <w:start w:val="1"/>
      <w:numFmt w:val="bullet"/>
      <w:lvlText w:val=""/>
      <w:lvlJc w:val="left"/>
      <w:pPr>
        <w:ind w:left="3275" w:hanging="360"/>
      </w:pPr>
      <w:rPr>
        <w:rFonts w:ascii="Symbol" w:hAnsi="Symbol" w:hint="default"/>
      </w:rPr>
    </w:lvl>
    <w:lvl w:ilvl="4" w:tplc="0C090003" w:tentative="1">
      <w:start w:val="1"/>
      <w:numFmt w:val="bullet"/>
      <w:lvlText w:val="o"/>
      <w:lvlJc w:val="left"/>
      <w:pPr>
        <w:ind w:left="3995" w:hanging="360"/>
      </w:pPr>
      <w:rPr>
        <w:rFonts w:ascii="Courier New" w:hAnsi="Courier New" w:cs="Courier New" w:hint="default"/>
      </w:rPr>
    </w:lvl>
    <w:lvl w:ilvl="5" w:tplc="0C090005" w:tentative="1">
      <w:start w:val="1"/>
      <w:numFmt w:val="bullet"/>
      <w:lvlText w:val=""/>
      <w:lvlJc w:val="left"/>
      <w:pPr>
        <w:ind w:left="4715" w:hanging="360"/>
      </w:pPr>
      <w:rPr>
        <w:rFonts w:ascii="Wingdings" w:hAnsi="Wingdings" w:hint="default"/>
      </w:rPr>
    </w:lvl>
    <w:lvl w:ilvl="6" w:tplc="0C090001" w:tentative="1">
      <w:start w:val="1"/>
      <w:numFmt w:val="bullet"/>
      <w:lvlText w:val=""/>
      <w:lvlJc w:val="left"/>
      <w:pPr>
        <w:ind w:left="5435" w:hanging="360"/>
      </w:pPr>
      <w:rPr>
        <w:rFonts w:ascii="Symbol" w:hAnsi="Symbol" w:hint="default"/>
      </w:rPr>
    </w:lvl>
    <w:lvl w:ilvl="7" w:tplc="0C090003" w:tentative="1">
      <w:start w:val="1"/>
      <w:numFmt w:val="bullet"/>
      <w:lvlText w:val="o"/>
      <w:lvlJc w:val="left"/>
      <w:pPr>
        <w:ind w:left="6155" w:hanging="360"/>
      </w:pPr>
      <w:rPr>
        <w:rFonts w:ascii="Courier New" w:hAnsi="Courier New" w:cs="Courier New" w:hint="default"/>
      </w:rPr>
    </w:lvl>
    <w:lvl w:ilvl="8" w:tplc="0C090005" w:tentative="1">
      <w:start w:val="1"/>
      <w:numFmt w:val="bullet"/>
      <w:lvlText w:val=""/>
      <w:lvlJc w:val="left"/>
      <w:pPr>
        <w:ind w:left="6875" w:hanging="360"/>
      </w:pPr>
      <w:rPr>
        <w:rFonts w:ascii="Wingdings" w:hAnsi="Wingdings" w:hint="default"/>
      </w:rPr>
    </w:lvl>
  </w:abstractNum>
  <w:abstractNum w:abstractNumId="2" w15:restartNumberingAfterBreak="0">
    <w:nsid w:val="036A2406"/>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0A1968"/>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4FB52BC"/>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587971"/>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882C26"/>
    <w:multiLevelType w:val="hybridMultilevel"/>
    <w:tmpl w:val="C4E41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FD1976"/>
    <w:multiLevelType w:val="hybridMultilevel"/>
    <w:tmpl w:val="3E8860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80A0989"/>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97A2DF6"/>
    <w:multiLevelType w:val="hybridMultilevel"/>
    <w:tmpl w:val="C4EE66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A37085F"/>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207ABC"/>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B72354C"/>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CD87F5B"/>
    <w:multiLevelType w:val="hybridMultilevel"/>
    <w:tmpl w:val="CC3A75F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7167AB"/>
    <w:multiLevelType w:val="hybridMultilevel"/>
    <w:tmpl w:val="C1381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3D632E"/>
    <w:multiLevelType w:val="hybridMultilevel"/>
    <w:tmpl w:val="5F6AE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E690AEA"/>
    <w:multiLevelType w:val="hybridMultilevel"/>
    <w:tmpl w:val="D9DC7BFA"/>
    <w:lvl w:ilvl="0" w:tplc="0748A43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8C52A7"/>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EA346B0"/>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F3D48C9"/>
    <w:multiLevelType w:val="hybridMultilevel"/>
    <w:tmpl w:val="03843E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2044AEF"/>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25F0A93"/>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332226E"/>
    <w:multiLevelType w:val="hybridMultilevel"/>
    <w:tmpl w:val="0D36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386E64"/>
    <w:multiLevelType w:val="hybridMultilevel"/>
    <w:tmpl w:val="7144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F525C3"/>
    <w:multiLevelType w:val="hybridMultilevel"/>
    <w:tmpl w:val="CC3A75F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50D8869"/>
    <w:multiLevelType w:val="hybridMultilevel"/>
    <w:tmpl w:val="FFFFFFFF"/>
    <w:lvl w:ilvl="0" w:tplc="964EA832">
      <w:start w:val="1"/>
      <w:numFmt w:val="bullet"/>
      <w:lvlText w:val=""/>
      <w:lvlJc w:val="left"/>
      <w:pPr>
        <w:ind w:left="720" w:hanging="360"/>
      </w:pPr>
      <w:rPr>
        <w:rFonts w:ascii="Symbol" w:hAnsi="Symbol" w:hint="default"/>
      </w:rPr>
    </w:lvl>
    <w:lvl w:ilvl="1" w:tplc="20826860">
      <w:start w:val="1"/>
      <w:numFmt w:val="bullet"/>
      <w:lvlText w:val="o"/>
      <w:lvlJc w:val="left"/>
      <w:pPr>
        <w:ind w:left="1440" w:hanging="360"/>
      </w:pPr>
      <w:rPr>
        <w:rFonts w:ascii="Courier New" w:hAnsi="Courier New" w:hint="default"/>
      </w:rPr>
    </w:lvl>
    <w:lvl w:ilvl="2" w:tplc="ABA6A83C">
      <w:start w:val="1"/>
      <w:numFmt w:val="bullet"/>
      <w:lvlText w:val=""/>
      <w:lvlJc w:val="left"/>
      <w:pPr>
        <w:ind w:left="2160" w:hanging="360"/>
      </w:pPr>
      <w:rPr>
        <w:rFonts w:ascii="Wingdings" w:hAnsi="Wingdings" w:hint="default"/>
      </w:rPr>
    </w:lvl>
    <w:lvl w:ilvl="3" w:tplc="7C72C92C">
      <w:start w:val="1"/>
      <w:numFmt w:val="bullet"/>
      <w:lvlText w:val=""/>
      <w:lvlJc w:val="left"/>
      <w:pPr>
        <w:ind w:left="2880" w:hanging="360"/>
      </w:pPr>
      <w:rPr>
        <w:rFonts w:ascii="Symbol" w:hAnsi="Symbol" w:hint="default"/>
      </w:rPr>
    </w:lvl>
    <w:lvl w:ilvl="4" w:tplc="46C0B51C">
      <w:start w:val="1"/>
      <w:numFmt w:val="bullet"/>
      <w:lvlText w:val="o"/>
      <w:lvlJc w:val="left"/>
      <w:pPr>
        <w:ind w:left="3600" w:hanging="360"/>
      </w:pPr>
      <w:rPr>
        <w:rFonts w:ascii="Courier New" w:hAnsi="Courier New" w:hint="default"/>
      </w:rPr>
    </w:lvl>
    <w:lvl w:ilvl="5" w:tplc="70F02912">
      <w:start w:val="1"/>
      <w:numFmt w:val="bullet"/>
      <w:lvlText w:val=""/>
      <w:lvlJc w:val="left"/>
      <w:pPr>
        <w:ind w:left="4320" w:hanging="360"/>
      </w:pPr>
      <w:rPr>
        <w:rFonts w:ascii="Wingdings" w:hAnsi="Wingdings" w:hint="default"/>
      </w:rPr>
    </w:lvl>
    <w:lvl w:ilvl="6" w:tplc="F24E60EC">
      <w:start w:val="1"/>
      <w:numFmt w:val="bullet"/>
      <w:lvlText w:val=""/>
      <w:lvlJc w:val="left"/>
      <w:pPr>
        <w:ind w:left="5040" w:hanging="360"/>
      </w:pPr>
      <w:rPr>
        <w:rFonts w:ascii="Symbol" w:hAnsi="Symbol" w:hint="default"/>
      </w:rPr>
    </w:lvl>
    <w:lvl w:ilvl="7" w:tplc="CB68DE2C">
      <w:start w:val="1"/>
      <w:numFmt w:val="bullet"/>
      <w:lvlText w:val="o"/>
      <w:lvlJc w:val="left"/>
      <w:pPr>
        <w:ind w:left="5760" w:hanging="360"/>
      </w:pPr>
      <w:rPr>
        <w:rFonts w:ascii="Courier New" w:hAnsi="Courier New" w:hint="default"/>
      </w:rPr>
    </w:lvl>
    <w:lvl w:ilvl="8" w:tplc="EB941FFA">
      <w:start w:val="1"/>
      <w:numFmt w:val="bullet"/>
      <w:lvlText w:val=""/>
      <w:lvlJc w:val="left"/>
      <w:pPr>
        <w:ind w:left="6480" w:hanging="360"/>
      </w:pPr>
      <w:rPr>
        <w:rFonts w:ascii="Wingdings" w:hAnsi="Wingdings" w:hint="default"/>
      </w:rPr>
    </w:lvl>
  </w:abstractNum>
  <w:abstractNum w:abstractNumId="26" w15:restartNumberingAfterBreak="0">
    <w:nsid w:val="163B13C5"/>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64757C1"/>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179B4F35"/>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8BB6571"/>
    <w:multiLevelType w:val="hybridMultilevel"/>
    <w:tmpl w:val="D7928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8C72E2D"/>
    <w:multiLevelType w:val="hybridMultilevel"/>
    <w:tmpl w:val="582C1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8EF2288"/>
    <w:multiLevelType w:val="hybridMultilevel"/>
    <w:tmpl w:val="FFFFFFFF"/>
    <w:lvl w:ilvl="0" w:tplc="14B6D440">
      <w:start w:val="1"/>
      <w:numFmt w:val="bullet"/>
      <w:lvlText w:val="·"/>
      <w:lvlJc w:val="left"/>
      <w:pPr>
        <w:ind w:left="720" w:hanging="360"/>
      </w:pPr>
      <w:rPr>
        <w:rFonts w:ascii="Symbol" w:hAnsi="Symbol" w:hint="default"/>
      </w:rPr>
    </w:lvl>
    <w:lvl w:ilvl="1" w:tplc="217CDA08">
      <w:start w:val="1"/>
      <w:numFmt w:val="bullet"/>
      <w:lvlText w:val="o"/>
      <w:lvlJc w:val="left"/>
      <w:pPr>
        <w:ind w:left="1440" w:hanging="360"/>
      </w:pPr>
      <w:rPr>
        <w:rFonts w:ascii="Courier New" w:hAnsi="Courier New" w:hint="default"/>
      </w:rPr>
    </w:lvl>
    <w:lvl w:ilvl="2" w:tplc="1BA028C0">
      <w:start w:val="1"/>
      <w:numFmt w:val="bullet"/>
      <w:lvlText w:val=""/>
      <w:lvlJc w:val="left"/>
      <w:pPr>
        <w:ind w:left="2160" w:hanging="360"/>
      </w:pPr>
      <w:rPr>
        <w:rFonts w:ascii="Wingdings" w:hAnsi="Wingdings" w:hint="default"/>
      </w:rPr>
    </w:lvl>
    <w:lvl w:ilvl="3" w:tplc="A01619F6">
      <w:start w:val="1"/>
      <w:numFmt w:val="bullet"/>
      <w:lvlText w:val=""/>
      <w:lvlJc w:val="left"/>
      <w:pPr>
        <w:ind w:left="2880" w:hanging="360"/>
      </w:pPr>
      <w:rPr>
        <w:rFonts w:ascii="Symbol" w:hAnsi="Symbol" w:hint="default"/>
      </w:rPr>
    </w:lvl>
    <w:lvl w:ilvl="4" w:tplc="78943E32">
      <w:start w:val="1"/>
      <w:numFmt w:val="bullet"/>
      <w:lvlText w:val="o"/>
      <w:lvlJc w:val="left"/>
      <w:pPr>
        <w:ind w:left="3600" w:hanging="360"/>
      </w:pPr>
      <w:rPr>
        <w:rFonts w:ascii="Courier New" w:hAnsi="Courier New" w:hint="default"/>
      </w:rPr>
    </w:lvl>
    <w:lvl w:ilvl="5" w:tplc="582AC54E">
      <w:start w:val="1"/>
      <w:numFmt w:val="bullet"/>
      <w:lvlText w:val=""/>
      <w:lvlJc w:val="left"/>
      <w:pPr>
        <w:ind w:left="4320" w:hanging="360"/>
      </w:pPr>
      <w:rPr>
        <w:rFonts w:ascii="Wingdings" w:hAnsi="Wingdings" w:hint="default"/>
      </w:rPr>
    </w:lvl>
    <w:lvl w:ilvl="6" w:tplc="BC1E5A8E">
      <w:start w:val="1"/>
      <w:numFmt w:val="bullet"/>
      <w:lvlText w:val=""/>
      <w:lvlJc w:val="left"/>
      <w:pPr>
        <w:ind w:left="5040" w:hanging="360"/>
      </w:pPr>
      <w:rPr>
        <w:rFonts w:ascii="Symbol" w:hAnsi="Symbol" w:hint="default"/>
      </w:rPr>
    </w:lvl>
    <w:lvl w:ilvl="7" w:tplc="55ECBB4A">
      <w:start w:val="1"/>
      <w:numFmt w:val="bullet"/>
      <w:lvlText w:val="o"/>
      <w:lvlJc w:val="left"/>
      <w:pPr>
        <w:ind w:left="5760" w:hanging="360"/>
      </w:pPr>
      <w:rPr>
        <w:rFonts w:ascii="Courier New" w:hAnsi="Courier New" w:hint="default"/>
      </w:rPr>
    </w:lvl>
    <w:lvl w:ilvl="8" w:tplc="7FA2F1AC">
      <w:start w:val="1"/>
      <w:numFmt w:val="bullet"/>
      <w:lvlText w:val=""/>
      <w:lvlJc w:val="left"/>
      <w:pPr>
        <w:ind w:left="6480" w:hanging="360"/>
      </w:pPr>
      <w:rPr>
        <w:rFonts w:ascii="Wingdings" w:hAnsi="Wingdings" w:hint="default"/>
      </w:rPr>
    </w:lvl>
  </w:abstractNum>
  <w:abstractNum w:abstractNumId="32" w15:restartNumberingAfterBreak="0">
    <w:nsid w:val="196879F5"/>
    <w:multiLevelType w:val="hybridMultilevel"/>
    <w:tmpl w:val="FFFFFFFF"/>
    <w:lvl w:ilvl="0" w:tplc="79CE45EC">
      <w:start w:val="1"/>
      <w:numFmt w:val="bullet"/>
      <w:lvlText w:val=""/>
      <w:lvlJc w:val="left"/>
      <w:pPr>
        <w:ind w:left="360" w:hanging="360"/>
      </w:pPr>
      <w:rPr>
        <w:rFonts w:ascii="Symbol" w:hAnsi="Symbol" w:hint="default"/>
      </w:rPr>
    </w:lvl>
    <w:lvl w:ilvl="1" w:tplc="E7704D54">
      <w:start w:val="1"/>
      <w:numFmt w:val="bullet"/>
      <w:lvlText w:val="o"/>
      <w:lvlJc w:val="left"/>
      <w:pPr>
        <w:ind w:left="1080" w:hanging="360"/>
      </w:pPr>
      <w:rPr>
        <w:rFonts w:ascii="Courier New" w:hAnsi="Courier New" w:hint="default"/>
      </w:rPr>
    </w:lvl>
    <w:lvl w:ilvl="2" w:tplc="0032DBB8">
      <w:start w:val="1"/>
      <w:numFmt w:val="bullet"/>
      <w:lvlText w:val=""/>
      <w:lvlJc w:val="left"/>
      <w:pPr>
        <w:ind w:left="1800" w:hanging="360"/>
      </w:pPr>
      <w:rPr>
        <w:rFonts w:ascii="Wingdings" w:hAnsi="Wingdings" w:hint="default"/>
      </w:rPr>
    </w:lvl>
    <w:lvl w:ilvl="3" w:tplc="B4F46D6C">
      <w:start w:val="1"/>
      <w:numFmt w:val="bullet"/>
      <w:lvlText w:val=""/>
      <w:lvlJc w:val="left"/>
      <w:pPr>
        <w:ind w:left="2520" w:hanging="360"/>
      </w:pPr>
      <w:rPr>
        <w:rFonts w:ascii="Symbol" w:hAnsi="Symbol" w:hint="default"/>
      </w:rPr>
    </w:lvl>
    <w:lvl w:ilvl="4" w:tplc="469C5A76">
      <w:start w:val="1"/>
      <w:numFmt w:val="bullet"/>
      <w:lvlText w:val="o"/>
      <w:lvlJc w:val="left"/>
      <w:pPr>
        <w:ind w:left="3240" w:hanging="360"/>
      </w:pPr>
      <w:rPr>
        <w:rFonts w:ascii="Courier New" w:hAnsi="Courier New" w:hint="default"/>
      </w:rPr>
    </w:lvl>
    <w:lvl w:ilvl="5" w:tplc="C71C04D8">
      <w:start w:val="1"/>
      <w:numFmt w:val="bullet"/>
      <w:lvlText w:val=""/>
      <w:lvlJc w:val="left"/>
      <w:pPr>
        <w:ind w:left="3960" w:hanging="360"/>
      </w:pPr>
      <w:rPr>
        <w:rFonts w:ascii="Wingdings" w:hAnsi="Wingdings" w:hint="default"/>
      </w:rPr>
    </w:lvl>
    <w:lvl w:ilvl="6" w:tplc="0DEC69A0">
      <w:start w:val="1"/>
      <w:numFmt w:val="bullet"/>
      <w:lvlText w:val=""/>
      <w:lvlJc w:val="left"/>
      <w:pPr>
        <w:ind w:left="4680" w:hanging="360"/>
      </w:pPr>
      <w:rPr>
        <w:rFonts w:ascii="Symbol" w:hAnsi="Symbol" w:hint="default"/>
      </w:rPr>
    </w:lvl>
    <w:lvl w:ilvl="7" w:tplc="B7AE0CD2">
      <w:start w:val="1"/>
      <w:numFmt w:val="bullet"/>
      <w:lvlText w:val="o"/>
      <w:lvlJc w:val="left"/>
      <w:pPr>
        <w:ind w:left="5400" w:hanging="360"/>
      </w:pPr>
      <w:rPr>
        <w:rFonts w:ascii="Courier New" w:hAnsi="Courier New" w:hint="default"/>
      </w:rPr>
    </w:lvl>
    <w:lvl w:ilvl="8" w:tplc="3AAC6506">
      <w:start w:val="1"/>
      <w:numFmt w:val="bullet"/>
      <w:lvlText w:val=""/>
      <w:lvlJc w:val="left"/>
      <w:pPr>
        <w:ind w:left="6120" w:hanging="360"/>
      </w:pPr>
      <w:rPr>
        <w:rFonts w:ascii="Wingdings" w:hAnsi="Wingdings" w:hint="default"/>
      </w:rPr>
    </w:lvl>
  </w:abstractNum>
  <w:abstractNum w:abstractNumId="33" w15:restartNumberingAfterBreak="0">
    <w:nsid w:val="19BD1B36"/>
    <w:multiLevelType w:val="hybridMultilevel"/>
    <w:tmpl w:val="99BA1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AE33126"/>
    <w:multiLevelType w:val="hybridMultilevel"/>
    <w:tmpl w:val="912CB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ED344B"/>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AF30A5D"/>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BB070E0"/>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BEE3F44"/>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1C1F0753"/>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1CB807F1"/>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CC442F1"/>
    <w:multiLevelType w:val="hybridMultilevel"/>
    <w:tmpl w:val="B2888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1D086300"/>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1D601A73"/>
    <w:multiLevelType w:val="hybridMultilevel"/>
    <w:tmpl w:val="C0BEC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DC41DFD"/>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1E026629"/>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1F9C69F3"/>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2067408A"/>
    <w:multiLevelType w:val="hybridMultilevel"/>
    <w:tmpl w:val="70B2D54C"/>
    <w:lvl w:ilvl="0" w:tplc="0C090001">
      <w:start w:val="1"/>
      <w:numFmt w:val="bullet"/>
      <w:lvlText w:val=""/>
      <w:lvlJc w:val="left"/>
      <w:pPr>
        <w:ind w:left="697" w:hanging="360"/>
      </w:pPr>
      <w:rPr>
        <w:rFonts w:ascii="Symbol" w:hAnsi="Symbol" w:hint="default"/>
      </w:rPr>
    </w:lvl>
    <w:lvl w:ilvl="1" w:tplc="0C090003" w:tentative="1">
      <w:start w:val="1"/>
      <w:numFmt w:val="bullet"/>
      <w:lvlText w:val="o"/>
      <w:lvlJc w:val="left"/>
      <w:pPr>
        <w:ind w:left="1417" w:hanging="360"/>
      </w:pPr>
      <w:rPr>
        <w:rFonts w:ascii="Courier New" w:hAnsi="Courier New" w:cs="Courier New" w:hint="default"/>
      </w:rPr>
    </w:lvl>
    <w:lvl w:ilvl="2" w:tplc="0C090005" w:tentative="1">
      <w:start w:val="1"/>
      <w:numFmt w:val="bullet"/>
      <w:lvlText w:val=""/>
      <w:lvlJc w:val="left"/>
      <w:pPr>
        <w:ind w:left="2137" w:hanging="360"/>
      </w:pPr>
      <w:rPr>
        <w:rFonts w:ascii="Wingdings" w:hAnsi="Wingdings" w:hint="default"/>
      </w:rPr>
    </w:lvl>
    <w:lvl w:ilvl="3" w:tplc="0C090001" w:tentative="1">
      <w:start w:val="1"/>
      <w:numFmt w:val="bullet"/>
      <w:lvlText w:val=""/>
      <w:lvlJc w:val="left"/>
      <w:pPr>
        <w:ind w:left="2857" w:hanging="360"/>
      </w:pPr>
      <w:rPr>
        <w:rFonts w:ascii="Symbol" w:hAnsi="Symbol" w:hint="default"/>
      </w:rPr>
    </w:lvl>
    <w:lvl w:ilvl="4" w:tplc="0C090003" w:tentative="1">
      <w:start w:val="1"/>
      <w:numFmt w:val="bullet"/>
      <w:lvlText w:val="o"/>
      <w:lvlJc w:val="left"/>
      <w:pPr>
        <w:ind w:left="3577" w:hanging="360"/>
      </w:pPr>
      <w:rPr>
        <w:rFonts w:ascii="Courier New" w:hAnsi="Courier New" w:cs="Courier New" w:hint="default"/>
      </w:rPr>
    </w:lvl>
    <w:lvl w:ilvl="5" w:tplc="0C090005" w:tentative="1">
      <w:start w:val="1"/>
      <w:numFmt w:val="bullet"/>
      <w:lvlText w:val=""/>
      <w:lvlJc w:val="left"/>
      <w:pPr>
        <w:ind w:left="4297" w:hanging="360"/>
      </w:pPr>
      <w:rPr>
        <w:rFonts w:ascii="Wingdings" w:hAnsi="Wingdings" w:hint="default"/>
      </w:rPr>
    </w:lvl>
    <w:lvl w:ilvl="6" w:tplc="0C090001" w:tentative="1">
      <w:start w:val="1"/>
      <w:numFmt w:val="bullet"/>
      <w:lvlText w:val=""/>
      <w:lvlJc w:val="left"/>
      <w:pPr>
        <w:ind w:left="5017" w:hanging="360"/>
      </w:pPr>
      <w:rPr>
        <w:rFonts w:ascii="Symbol" w:hAnsi="Symbol" w:hint="default"/>
      </w:rPr>
    </w:lvl>
    <w:lvl w:ilvl="7" w:tplc="0C090003" w:tentative="1">
      <w:start w:val="1"/>
      <w:numFmt w:val="bullet"/>
      <w:lvlText w:val="o"/>
      <w:lvlJc w:val="left"/>
      <w:pPr>
        <w:ind w:left="5737" w:hanging="360"/>
      </w:pPr>
      <w:rPr>
        <w:rFonts w:ascii="Courier New" w:hAnsi="Courier New" w:cs="Courier New" w:hint="default"/>
      </w:rPr>
    </w:lvl>
    <w:lvl w:ilvl="8" w:tplc="0C090005" w:tentative="1">
      <w:start w:val="1"/>
      <w:numFmt w:val="bullet"/>
      <w:lvlText w:val=""/>
      <w:lvlJc w:val="left"/>
      <w:pPr>
        <w:ind w:left="6457" w:hanging="360"/>
      </w:pPr>
      <w:rPr>
        <w:rFonts w:ascii="Wingdings" w:hAnsi="Wingdings" w:hint="default"/>
      </w:rPr>
    </w:lvl>
  </w:abstractNum>
  <w:abstractNum w:abstractNumId="48" w15:restartNumberingAfterBreak="0">
    <w:nsid w:val="20A630A2"/>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21503DF4"/>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21F31B9A"/>
    <w:multiLevelType w:val="hybridMultilevel"/>
    <w:tmpl w:val="58F884CE"/>
    <w:lvl w:ilvl="0" w:tplc="FFFFFFF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329230F"/>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23467DBC"/>
    <w:multiLevelType w:val="hybridMultilevel"/>
    <w:tmpl w:val="C97E72C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248C3B90"/>
    <w:multiLevelType w:val="hybridMultilevel"/>
    <w:tmpl w:val="749CF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4AE4EA2"/>
    <w:multiLevelType w:val="multilevel"/>
    <w:tmpl w:val="DCBE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5BD6E5C"/>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264B3FD6"/>
    <w:multiLevelType w:val="hybridMultilevel"/>
    <w:tmpl w:val="7CF2C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6B349F3"/>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88413FC"/>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2ABD3D46"/>
    <w:multiLevelType w:val="hybridMultilevel"/>
    <w:tmpl w:val="C97E72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D6527EB"/>
    <w:multiLevelType w:val="hybridMultilevel"/>
    <w:tmpl w:val="869A353E"/>
    <w:lvl w:ilvl="0" w:tplc="0C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2DC653CC"/>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2DD742F2"/>
    <w:multiLevelType w:val="hybridMultilevel"/>
    <w:tmpl w:val="269EF01A"/>
    <w:lvl w:ilvl="0" w:tplc="0C09001B">
      <w:start w:val="1"/>
      <w:numFmt w:val="lowerRoman"/>
      <w:lvlText w:val="%1."/>
      <w:lvlJc w:val="right"/>
      <w:pPr>
        <w:ind w:left="1349" w:hanging="360"/>
      </w:pPr>
    </w:lvl>
    <w:lvl w:ilvl="1" w:tplc="0C090019">
      <w:start w:val="1"/>
      <w:numFmt w:val="lowerLetter"/>
      <w:lvlText w:val="%2."/>
      <w:lvlJc w:val="left"/>
      <w:pPr>
        <w:ind w:left="2069" w:hanging="360"/>
      </w:pPr>
    </w:lvl>
    <w:lvl w:ilvl="2" w:tplc="0C09001B" w:tentative="1">
      <w:start w:val="1"/>
      <w:numFmt w:val="lowerRoman"/>
      <w:lvlText w:val="%3."/>
      <w:lvlJc w:val="right"/>
      <w:pPr>
        <w:ind w:left="2789" w:hanging="180"/>
      </w:pPr>
    </w:lvl>
    <w:lvl w:ilvl="3" w:tplc="0C09000F" w:tentative="1">
      <w:start w:val="1"/>
      <w:numFmt w:val="decimal"/>
      <w:lvlText w:val="%4."/>
      <w:lvlJc w:val="left"/>
      <w:pPr>
        <w:ind w:left="3509" w:hanging="360"/>
      </w:pPr>
    </w:lvl>
    <w:lvl w:ilvl="4" w:tplc="0C090019" w:tentative="1">
      <w:start w:val="1"/>
      <w:numFmt w:val="lowerLetter"/>
      <w:lvlText w:val="%5."/>
      <w:lvlJc w:val="left"/>
      <w:pPr>
        <w:ind w:left="4229" w:hanging="360"/>
      </w:pPr>
    </w:lvl>
    <w:lvl w:ilvl="5" w:tplc="0C09001B" w:tentative="1">
      <w:start w:val="1"/>
      <w:numFmt w:val="lowerRoman"/>
      <w:lvlText w:val="%6."/>
      <w:lvlJc w:val="right"/>
      <w:pPr>
        <w:ind w:left="4949" w:hanging="180"/>
      </w:pPr>
    </w:lvl>
    <w:lvl w:ilvl="6" w:tplc="0C09000F" w:tentative="1">
      <w:start w:val="1"/>
      <w:numFmt w:val="decimal"/>
      <w:lvlText w:val="%7."/>
      <w:lvlJc w:val="left"/>
      <w:pPr>
        <w:ind w:left="5669" w:hanging="360"/>
      </w:pPr>
    </w:lvl>
    <w:lvl w:ilvl="7" w:tplc="0C090019" w:tentative="1">
      <w:start w:val="1"/>
      <w:numFmt w:val="lowerLetter"/>
      <w:lvlText w:val="%8."/>
      <w:lvlJc w:val="left"/>
      <w:pPr>
        <w:ind w:left="6389" w:hanging="360"/>
      </w:pPr>
    </w:lvl>
    <w:lvl w:ilvl="8" w:tplc="0C09001B" w:tentative="1">
      <w:start w:val="1"/>
      <w:numFmt w:val="lowerRoman"/>
      <w:lvlText w:val="%9."/>
      <w:lvlJc w:val="right"/>
      <w:pPr>
        <w:ind w:left="7109" w:hanging="180"/>
      </w:pPr>
    </w:lvl>
  </w:abstractNum>
  <w:abstractNum w:abstractNumId="63" w15:restartNumberingAfterBreak="0">
    <w:nsid w:val="30893537"/>
    <w:multiLevelType w:val="hybridMultilevel"/>
    <w:tmpl w:val="94DC37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26746E2"/>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32BA3F27"/>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331E4898"/>
    <w:multiLevelType w:val="multilevel"/>
    <w:tmpl w:val="5B10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3D65C25"/>
    <w:multiLevelType w:val="hybridMultilevel"/>
    <w:tmpl w:val="5F247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45B34E6"/>
    <w:multiLevelType w:val="hybridMultilevel"/>
    <w:tmpl w:val="3814B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4C81800"/>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353B5CF6"/>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3554256E"/>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35647598"/>
    <w:multiLevelType w:val="hybridMultilevel"/>
    <w:tmpl w:val="B2F84CA2"/>
    <w:lvl w:ilvl="0" w:tplc="DAA472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5C16A80"/>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360C2977"/>
    <w:multiLevelType w:val="hybridMultilevel"/>
    <w:tmpl w:val="D60AE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65760E1"/>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369D507A"/>
    <w:multiLevelType w:val="hybridMultilevel"/>
    <w:tmpl w:val="2294D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6CB50B3"/>
    <w:multiLevelType w:val="hybridMultilevel"/>
    <w:tmpl w:val="58680826"/>
    <w:lvl w:ilvl="0" w:tplc="1846B74E">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6E11624"/>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389039E4"/>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8914B13"/>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3B4223F8"/>
    <w:multiLevelType w:val="hybridMultilevel"/>
    <w:tmpl w:val="101679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BF02887"/>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C084457"/>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CC34972"/>
    <w:multiLevelType w:val="hybridMultilevel"/>
    <w:tmpl w:val="500C61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3CC461D9"/>
    <w:multiLevelType w:val="hybridMultilevel"/>
    <w:tmpl w:val="07582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3D193714"/>
    <w:multiLevelType w:val="hybridMultilevel"/>
    <w:tmpl w:val="4C8ADB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3D245947"/>
    <w:multiLevelType w:val="hybridMultilevel"/>
    <w:tmpl w:val="74D6C2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425209F6"/>
    <w:multiLevelType w:val="hybridMultilevel"/>
    <w:tmpl w:val="A55EB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28F1BD3"/>
    <w:multiLevelType w:val="hybridMultilevel"/>
    <w:tmpl w:val="5E9E4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2B308AD"/>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43414799"/>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4382048F"/>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4615690E"/>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46A60B4D"/>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46CF2CD0"/>
    <w:multiLevelType w:val="hybridMultilevel"/>
    <w:tmpl w:val="EA9E76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7402AEF"/>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49A16247"/>
    <w:multiLevelType w:val="hybridMultilevel"/>
    <w:tmpl w:val="38DC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A612758"/>
    <w:multiLevelType w:val="hybridMultilevel"/>
    <w:tmpl w:val="FCE80E7A"/>
    <w:lvl w:ilvl="0" w:tplc="0C090001">
      <w:start w:val="1"/>
      <w:numFmt w:val="bullet"/>
      <w:lvlText w:val=""/>
      <w:lvlJc w:val="left"/>
      <w:pPr>
        <w:tabs>
          <w:tab w:val="num" w:pos="30"/>
        </w:tabs>
        <w:ind w:left="30" w:hanging="360"/>
      </w:pPr>
      <w:rPr>
        <w:rFonts w:ascii="Symbol" w:hAnsi="Symbol" w:hint="default"/>
      </w:rPr>
    </w:lvl>
    <w:lvl w:ilvl="1" w:tplc="FFFFFFFF" w:tentative="1">
      <w:start w:val="1"/>
      <w:numFmt w:val="decimal"/>
      <w:lvlText w:val="%2."/>
      <w:lvlJc w:val="left"/>
      <w:pPr>
        <w:tabs>
          <w:tab w:val="num" w:pos="750"/>
        </w:tabs>
        <w:ind w:left="750" w:hanging="360"/>
      </w:pPr>
    </w:lvl>
    <w:lvl w:ilvl="2" w:tplc="FFFFFFFF" w:tentative="1">
      <w:start w:val="1"/>
      <w:numFmt w:val="decimal"/>
      <w:lvlText w:val="%3."/>
      <w:lvlJc w:val="left"/>
      <w:pPr>
        <w:tabs>
          <w:tab w:val="num" w:pos="1470"/>
        </w:tabs>
        <w:ind w:left="1470" w:hanging="360"/>
      </w:pPr>
    </w:lvl>
    <w:lvl w:ilvl="3" w:tplc="FFFFFFFF" w:tentative="1">
      <w:start w:val="1"/>
      <w:numFmt w:val="decimal"/>
      <w:lvlText w:val="%4."/>
      <w:lvlJc w:val="left"/>
      <w:pPr>
        <w:tabs>
          <w:tab w:val="num" w:pos="2190"/>
        </w:tabs>
        <w:ind w:left="2190" w:hanging="360"/>
      </w:pPr>
    </w:lvl>
    <w:lvl w:ilvl="4" w:tplc="FFFFFFFF" w:tentative="1">
      <w:start w:val="1"/>
      <w:numFmt w:val="decimal"/>
      <w:lvlText w:val="%5."/>
      <w:lvlJc w:val="left"/>
      <w:pPr>
        <w:tabs>
          <w:tab w:val="num" w:pos="2910"/>
        </w:tabs>
        <w:ind w:left="2910" w:hanging="360"/>
      </w:pPr>
    </w:lvl>
    <w:lvl w:ilvl="5" w:tplc="FFFFFFFF" w:tentative="1">
      <w:start w:val="1"/>
      <w:numFmt w:val="decimal"/>
      <w:lvlText w:val="%6."/>
      <w:lvlJc w:val="left"/>
      <w:pPr>
        <w:tabs>
          <w:tab w:val="num" w:pos="3630"/>
        </w:tabs>
        <w:ind w:left="3630" w:hanging="360"/>
      </w:pPr>
    </w:lvl>
    <w:lvl w:ilvl="6" w:tplc="FFFFFFFF" w:tentative="1">
      <w:start w:val="1"/>
      <w:numFmt w:val="decimal"/>
      <w:lvlText w:val="%7."/>
      <w:lvlJc w:val="left"/>
      <w:pPr>
        <w:tabs>
          <w:tab w:val="num" w:pos="4350"/>
        </w:tabs>
        <w:ind w:left="4350" w:hanging="360"/>
      </w:pPr>
    </w:lvl>
    <w:lvl w:ilvl="7" w:tplc="FFFFFFFF" w:tentative="1">
      <w:start w:val="1"/>
      <w:numFmt w:val="decimal"/>
      <w:lvlText w:val="%8."/>
      <w:lvlJc w:val="left"/>
      <w:pPr>
        <w:tabs>
          <w:tab w:val="num" w:pos="5070"/>
        </w:tabs>
        <w:ind w:left="5070" w:hanging="360"/>
      </w:pPr>
    </w:lvl>
    <w:lvl w:ilvl="8" w:tplc="FFFFFFFF" w:tentative="1">
      <w:start w:val="1"/>
      <w:numFmt w:val="decimal"/>
      <w:lvlText w:val="%9."/>
      <w:lvlJc w:val="left"/>
      <w:pPr>
        <w:tabs>
          <w:tab w:val="num" w:pos="5790"/>
        </w:tabs>
        <w:ind w:left="5790" w:hanging="360"/>
      </w:pPr>
    </w:lvl>
  </w:abstractNum>
  <w:abstractNum w:abstractNumId="99" w15:restartNumberingAfterBreak="0">
    <w:nsid w:val="4ADC0F32"/>
    <w:multiLevelType w:val="hybridMultilevel"/>
    <w:tmpl w:val="23C6E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B122EF1"/>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4B22166F"/>
    <w:multiLevelType w:val="multilevel"/>
    <w:tmpl w:val="D3028AB8"/>
    <w:lvl w:ilvl="0">
      <w:start w:val="1"/>
      <w:numFmt w:val="decimal"/>
      <w:lvlText w:val="%1."/>
      <w:lvlJc w:val="left"/>
      <w:pPr>
        <w:tabs>
          <w:tab w:val="num" w:pos="720"/>
        </w:tabs>
        <w:ind w:left="720" w:hanging="360"/>
      </w:pPr>
      <w:rPr>
        <w:rFonts w:hint="default"/>
        <w:sz w:val="24"/>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EE26AF"/>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4C3F3FC4"/>
    <w:multiLevelType w:val="hybridMultilevel"/>
    <w:tmpl w:val="8B8E6C26"/>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C9702AB"/>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4DC745AE"/>
    <w:multiLevelType w:val="hybridMultilevel"/>
    <w:tmpl w:val="FFFFFFFF"/>
    <w:lvl w:ilvl="0" w:tplc="01BAAE16">
      <w:start w:val="1"/>
      <w:numFmt w:val="bullet"/>
      <w:lvlText w:val="·"/>
      <w:lvlJc w:val="left"/>
      <w:pPr>
        <w:ind w:left="720" w:hanging="360"/>
      </w:pPr>
      <w:rPr>
        <w:rFonts w:ascii="Symbol" w:hAnsi="Symbol" w:hint="default"/>
      </w:rPr>
    </w:lvl>
    <w:lvl w:ilvl="1" w:tplc="2F006EF8">
      <w:start w:val="1"/>
      <w:numFmt w:val="bullet"/>
      <w:lvlText w:val="o"/>
      <w:lvlJc w:val="left"/>
      <w:pPr>
        <w:ind w:left="1440" w:hanging="360"/>
      </w:pPr>
      <w:rPr>
        <w:rFonts w:ascii="Courier New" w:hAnsi="Courier New" w:hint="default"/>
      </w:rPr>
    </w:lvl>
    <w:lvl w:ilvl="2" w:tplc="7F02FF9C">
      <w:start w:val="1"/>
      <w:numFmt w:val="bullet"/>
      <w:lvlText w:val=""/>
      <w:lvlJc w:val="left"/>
      <w:pPr>
        <w:ind w:left="2160" w:hanging="360"/>
      </w:pPr>
      <w:rPr>
        <w:rFonts w:ascii="Wingdings" w:hAnsi="Wingdings" w:hint="default"/>
      </w:rPr>
    </w:lvl>
    <w:lvl w:ilvl="3" w:tplc="AC5A7D36">
      <w:start w:val="1"/>
      <w:numFmt w:val="bullet"/>
      <w:lvlText w:val=""/>
      <w:lvlJc w:val="left"/>
      <w:pPr>
        <w:ind w:left="2880" w:hanging="360"/>
      </w:pPr>
      <w:rPr>
        <w:rFonts w:ascii="Symbol" w:hAnsi="Symbol" w:hint="default"/>
      </w:rPr>
    </w:lvl>
    <w:lvl w:ilvl="4" w:tplc="E8B87E1C">
      <w:start w:val="1"/>
      <w:numFmt w:val="bullet"/>
      <w:lvlText w:val="o"/>
      <w:lvlJc w:val="left"/>
      <w:pPr>
        <w:ind w:left="3600" w:hanging="360"/>
      </w:pPr>
      <w:rPr>
        <w:rFonts w:ascii="Courier New" w:hAnsi="Courier New" w:hint="default"/>
      </w:rPr>
    </w:lvl>
    <w:lvl w:ilvl="5" w:tplc="876CABCC">
      <w:start w:val="1"/>
      <w:numFmt w:val="bullet"/>
      <w:lvlText w:val=""/>
      <w:lvlJc w:val="left"/>
      <w:pPr>
        <w:ind w:left="4320" w:hanging="360"/>
      </w:pPr>
      <w:rPr>
        <w:rFonts w:ascii="Wingdings" w:hAnsi="Wingdings" w:hint="default"/>
      </w:rPr>
    </w:lvl>
    <w:lvl w:ilvl="6" w:tplc="2F86AF28">
      <w:start w:val="1"/>
      <w:numFmt w:val="bullet"/>
      <w:lvlText w:val=""/>
      <w:lvlJc w:val="left"/>
      <w:pPr>
        <w:ind w:left="5040" w:hanging="360"/>
      </w:pPr>
      <w:rPr>
        <w:rFonts w:ascii="Symbol" w:hAnsi="Symbol" w:hint="default"/>
      </w:rPr>
    </w:lvl>
    <w:lvl w:ilvl="7" w:tplc="FED4C996">
      <w:start w:val="1"/>
      <w:numFmt w:val="bullet"/>
      <w:lvlText w:val="o"/>
      <w:lvlJc w:val="left"/>
      <w:pPr>
        <w:ind w:left="5760" w:hanging="360"/>
      </w:pPr>
      <w:rPr>
        <w:rFonts w:ascii="Courier New" w:hAnsi="Courier New" w:hint="default"/>
      </w:rPr>
    </w:lvl>
    <w:lvl w:ilvl="8" w:tplc="F98E678E">
      <w:start w:val="1"/>
      <w:numFmt w:val="bullet"/>
      <w:lvlText w:val=""/>
      <w:lvlJc w:val="left"/>
      <w:pPr>
        <w:ind w:left="6480" w:hanging="360"/>
      </w:pPr>
      <w:rPr>
        <w:rFonts w:ascii="Wingdings" w:hAnsi="Wingdings" w:hint="default"/>
      </w:rPr>
    </w:lvl>
  </w:abstractNum>
  <w:abstractNum w:abstractNumId="106" w15:restartNumberingAfterBreak="0">
    <w:nsid w:val="4EAB39E6"/>
    <w:multiLevelType w:val="hybridMultilevel"/>
    <w:tmpl w:val="F234650C"/>
    <w:styleLink w:val="HTAReview12pt"/>
    <w:lvl w:ilvl="0" w:tplc="0C09000F">
      <w:start w:val="1"/>
      <w:numFmt w:val="decimal"/>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5030076E"/>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503E2DE9"/>
    <w:multiLevelType w:val="hybridMultilevel"/>
    <w:tmpl w:val="DAF20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1503BBB"/>
    <w:multiLevelType w:val="hybridMultilevel"/>
    <w:tmpl w:val="8B12C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387366C"/>
    <w:multiLevelType w:val="hybridMultilevel"/>
    <w:tmpl w:val="18B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3A2296C"/>
    <w:multiLevelType w:val="multilevel"/>
    <w:tmpl w:val="C5782BCA"/>
    <w:lvl w:ilvl="0">
      <w:start w:val="1"/>
      <w:numFmt w:val="decimal"/>
      <w:lvlText w:val="%1."/>
      <w:lvlJc w:val="left"/>
      <w:pPr>
        <w:tabs>
          <w:tab w:val="num" w:pos="720"/>
        </w:tabs>
        <w:ind w:left="720" w:hanging="360"/>
      </w:pPr>
      <w:rPr>
        <w:rFonts w:hint="default"/>
        <w:sz w:val="24"/>
        <w:szCs w:val="24"/>
      </w:rPr>
    </w:lvl>
    <w:lvl w:ilvl="1">
      <w:start w:val="5"/>
      <w:numFmt w:val="bullet"/>
      <w:lvlText w:val="-"/>
      <w:lvlJc w:val="left"/>
      <w:pPr>
        <w:ind w:left="1440" w:hanging="360"/>
      </w:pPr>
      <w:rPr>
        <w:rFonts w:ascii="Segoe UI" w:eastAsiaTheme="minorHAnsi" w:hAnsi="Segoe UI" w:cs="Segoe U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56311E5"/>
    <w:multiLevelType w:val="hybridMultilevel"/>
    <w:tmpl w:val="57C23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68440A3"/>
    <w:multiLevelType w:val="hybridMultilevel"/>
    <w:tmpl w:val="DA5CA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7355504"/>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58451DEB"/>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58BB4358"/>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59710E70"/>
    <w:multiLevelType w:val="hybridMultilevel"/>
    <w:tmpl w:val="27B26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A09663C"/>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9" w15:restartNumberingAfterBreak="0">
    <w:nsid w:val="5A302865"/>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5A9B369B"/>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5ABE078E"/>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5B701EBE"/>
    <w:multiLevelType w:val="hybridMultilevel"/>
    <w:tmpl w:val="25B88C02"/>
    <w:lvl w:ilvl="0" w:tplc="0C090019">
      <w:start w:val="1"/>
      <w:numFmt w:val="lowerLetter"/>
      <w:lvlText w:val="%1."/>
      <w:lvlJc w:val="left"/>
      <w:pPr>
        <w:ind w:left="1749" w:hanging="360"/>
      </w:pPr>
    </w:lvl>
    <w:lvl w:ilvl="1" w:tplc="0C090019" w:tentative="1">
      <w:start w:val="1"/>
      <w:numFmt w:val="lowerLetter"/>
      <w:lvlText w:val="%2."/>
      <w:lvlJc w:val="left"/>
      <w:pPr>
        <w:ind w:left="2469" w:hanging="360"/>
      </w:pPr>
    </w:lvl>
    <w:lvl w:ilvl="2" w:tplc="0C09001B" w:tentative="1">
      <w:start w:val="1"/>
      <w:numFmt w:val="lowerRoman"/>
      <w:lvlText w:val="%3."/>
      <w:lvlJc w:val="right"/>
      <w:pPr>
        <w:ind w:left="3189" w:hanging="180"/>
      </w:pPr>
    </w:lvl>
    <w:lvl w:ilvl="3" w:tplc="0C09000F" w:tentative="1">
      <w:start w:val="1"/>
      <w:numFmt w:val="decimal"/>
      <w:lvlText w:val="%4."/>
      <w:lvlJc w:val="left"/>
      <w:pPr>
        <w:ind w:left="3909" w:hanging="360"/>
      </w:pPr>
    </w:lvl>
    <w:lvl w:ilvl="4" w:tplc="0C090019" w:tentative="1">
      <w:start w:val="1"/>
      <w:numFmt w:val="lowerLetter"/>
      <w:lvlText w:val="%5."/>
      <w:lvlJc w:val="left"/>
      <w:pPr>
        <w:ind w:left="4629" w:hanging="360"/>
      </w:pPr>
    </w:lvl>
    <w:lvl w:ilvl="5" w:tplc="0C09001B" w:tentative="1">
      <w:start w:val="1"/>
      <w:numFmt w:val="lowerRoman"/>
      <w:lvlText w:val="%6."/>
      <w:lvlJc w:val="right"/>
      <w:pPr>
        <w:ind w:left="5349" w:hanging="180"/>
      </w:pPr>
    </w:lvl>
    <w:lvl w:ilvl="6" w:tplc="0C09000F" w:tentative="1">
      <w:start w:val="1"/>
      <w:numFmt w:val="decimal"/>
      <w:lvlText w:val="%7."/>
      <w:lvlJc w:val="left"/>
      <w:pPr>
        <w:ind w:left="6069" w:hanging="360"/>
      </w:pPr>
    </w:lvl>
    <w:lvl w:ilvl="7" w:tplc="0C090019" w:tentative="1">
      <w:start w:val="1"/>
      <w:numFmt w:val="lowerLetter"/>
      <w:lvlText w:val="%8."/>
      <w:lvlJc w:val="left"/>
      <w:pPr>
        <w:ind w:left="6789" w:hanging="360"/>
      </w:pPr>
    </w:lvl>
    <w:lvl w:ilvl="8" w:tplc="0C09001B" w:tentative="1">
      <w:start w:val="1"/>
      <w:numFmt w:val="lowerRoman"/>
      <w:lvlText w:val="%9."/>
      <w:lvlJc w:val="right"/>
      <w:pPr>
        <w:ind w:left="7509" w:hanging="180"/>
      </w:pPr>
    </w:lvl>
  </w:abstractNum>
  <w:abstractNum w:abstractNumId="123" w15:restartNumberingAfterBreak="0">
    <w:nsid w:val="5C2E08FC"/>
    <w:multiLevelType w:val="multilevel"/>
    <w:tmpl w:val="2D1274EE"/>
    <w:lvl w:ilvl="0">
      <w:start w:val="1"/>
      <w:numFmt w:val="decimal"/>
      <w:pStyle w:val="Heading1"/>
      <w:lvlText w:val="%1."/>
      <w:lvlJc w:val="left"/>
      <w:pPr>
        <w:ind w:left="720" w:hanging="720"/>
      </w:pPr>
    </w:lvl>
    <w:lvl w:ilvl="1">
      <w:start w:val="1"/>
      <w:numFmt w:val="decimal"/>
      <w:pStyle w:val="Heading2"/>
      <w:lvlText w:val="%1.%2."/>
      <w:lvlJc w:val="left"/>
      <w:pPr>
        <w:ind w:left="1353"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24" w15:restartNumberingAfterBreak="0">
    <w:nsid w:val="5CF731AC"/>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5" w15:restartNumberingAfterBreak="0">
    <w:nsid w:val="5DAB28CE"/>
    <w:multiLevelType w:val="hybridMultilevel"/>
    <w:tmpl w:val="469C6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F60430E"/>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F797351"/>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5F7C524B"/>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60920705"/>
    <w:multiLevelType w:val="hybridMultilevel"/>
    <w:tmpl w:val="47865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1C64607"/>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62650E9A"/>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 w15:restartNumberingAfterBreak="0">
    <w:nsid w:val="62CC01C7"/>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34F257D"/>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40907A8"/>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64706409"/>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6" w15:restartNumberingAfterBreak="0">
    <w:nsid w:val="654D15F7"/>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62F6BD2"/>
    <w:multiLevelType w:val="hybridMultilevel"/>
    <w:tmpl w:val="269EF01A"/>
    <w:lvl w:ilvl="0" w:tplc="FFFFFFFF">
      <w:start w:val="1"/>
      <w:numFmt w:val="lowerRoman"/>
      <w:lvlText w:val="%1."/>
      <w:lvlJc w:val="right"/>
      <w:pPr>
        <w:ind w:left="1349" w:hanging="360"/>
      </w:pPr>
    </w:lvl>
    <w:lvl w:ilvl="1" w:tplc="FFFFFFFF">
      <w:start w:val="1"/>
      <w:numFmt w:val="lowerLetter"/>
      <w:lvlText w:val="%2."/>
      <w:lvlJc w:val="left"/>
      <w:pPr>
        <w:ind w:left="2069" w:hanging="360"/>
      </w:pPr>
    </w:lvl>
    <w:lvl w:ilvl="2" w:tplc="FFFFFFFF" w:tentative="1">
      <w:start w:val="1"/>
      <w:numFmt w:val="lowerRoman"/>
      <w:lvlText w:val="%3."/>
      <w:lvlJc w:val="right"/>
      <w:pPr>
        <w:ind w:left="2789" w:hanging="180"/>
      </w:pPr>
    </w:lvl>
    <w:lvl w:ilvl="3" w:tplc="FFFFFFFF" w:tentative="1">
      <w:start w:val="1"/>
      <w:numFmt w:val="decimal"/>
      <w:lvlText w:val="%4."/>
      <w:lvlJc w:val="left"/>
      <w:pPr>
        <w:ind w:left="3509" w:hanging="360"/>
      </w:pPr>
    </w:lvl>
    <w:lvl w:ilvl="4" w:tplc="FFFFFFFF" w:tentative="1">
      <w:start w:val="1"/>
      <w:numFmt w:val="lowerLetter"/>
      <w:lvlText w:val="%5."/>
      <w:lvlJc w:val="left"/>
      <w:pPr>
        <w:ind w:left="4229" w:hanging="360"/>
      </w:pPr>
    </w:lvl>
    <w:lvl w:ilvl="5" w:tplc="FFFFFFFF" w:tentative="1">
      <w:start w:val="1"/>
      <w:numFmt w:val="lowerRoman"/>
      <w:lvlText w:val="%6."/>
      <w:lvlJc w:val="right"/>
      <w:pPr>
        <w:ind w:left="4949" w:hanging="180"/>
      </w:pPr>
    </w:lvl>
    <w:lvl w:ilvl="6" w:tplc="FFFFFFFF" w:tentative="1">
      <w:start w:val="1"/>
      <w:numFmt w:val="decimal"/>
      <w:lvlText w:val="%7."/>
      <w:lvlJc w:val="left"/>
      <w:pPr>
        <w:ind w:left="5669" w:hanging="360"/>
      </w:pPr>
    </w:lvl>
    <w:lvl w:ilvl="7" w:tplc="FFFFFFFF" w:tentative="1">
      <w:start w:val="1"/>
      <w:numFmt w:val="lowerLetter"/>
      <w:lvlText w:val="%8."/>
      <w:lvlJc w:val="left"/>
      <w:pPr>
        <w:ind w:left="6389" w:hanging="360"/>
      </w:pPr>
    </w:lvl>
    <w:lvl w:ilvl="8" w:tplc="FFFFFFFF" w:tentative="1">
      <w:start w:val="1"/>
      <w:numFmt w:val="lowerRoman"/>
      <w:lvlText w:val="%9."/>
      <w:lvlJc w:val="right"/>
      <w:pPr>
        <w:ind w:left="7109" w:hanging="180"/>
      </w:pPr>
    </w:lvl>
  </w:abstractNum>
  <w:abstractNum w:abstractNumId="138" w15:restartNumberingAfterBreak="0">
    <w:nsid w:val="665D5305"/>
    <w:multiLevelType w:val="hybridMultilevel"/>
    <w:tmpl w:val="75140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6CC7F76"/>
    <w:multiLevelType w:val="hybridMultilevel"/>
    <w:tmpl w:val="B6E61E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0" w15:restartNumberingAfterBreak="0">
    <w:nsid w:val="67696410"/>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68165214"/>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687947B9"/>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68AB2B2E"/>
    <w:multiLevelType w:val="hybridMultilevel"/>
    <w:tmpl w:val="D9DC7B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8C93B45"/>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 w15:restartNumberingAfterBreak="0">
    <w:nsid w:val="69F6602A"/>
    <w:multiLevelType w:val="hybridMultilevel"/>
    <w:tmpl w:val="C93C75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6B3A6D09"/>
    <w:multiLevelType w:val="hybridMultilevel"/>
    <w:tmpl w:val="500C61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4034702E">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 w15:restartNumberingAfterBreak="0">
    <w:nsid w:val="6D6F7815"/>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6DBA4C3B"/>
    <w:multiLevelType w:val="multilevel"/>
    <w:tmpl w:val="5968478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49" w15:restartNumberingAfterBreak="0">
    <w:nsid w:val="6E534636"/>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6F461BAE"/>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6FB120D5"/>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06A55D0"/>
    <w:multiLevelType w:val="hybridMultilevel"/>
    <w:tmpl w:val="850CB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1093F93"/>
    <w:multiLevelType w:val="hybridMultilevel"/>
    <w:tmpl w:val="500C61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7159234C"/>
    <w:multiLevelType w:val="hybridMultilevel"/>
    <w:tmpl w:val="BFF6C7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718D7E06"/>
    <w:multiLevelType w:val="hybridMultilevel"/>
    <w:tmpl w:val="E3B07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71B04EEF"/>
    <w:multiLevelType w:val="hybridMultilevel"/>
    <w:tmpl w:val="E2C2D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2142B78"/>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 w15:restartNumberingAfterBreak="0">
    <w:nsid w:val="72724FAD"/>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2B55A18"/>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730429F9"/>
    <w:multiLevelType w:val="hybridMultilevel"/>
    <w:tmpl w:val="FBB4E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431425A"/>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74FA6360"/>
    <w:multiLevelType w:val="hybridMultilevel"/>
    <w:tmpl w:val="5EA67E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75BD243C"/>
    <w:multiLevelType w:val="hybridMultilevel"/>
    <w:tmpl w:val="500C61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Letter"/>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7622523C"/>
    <w:multiLevelType w:val="hybridMultilevel"/>
    <w:tmpl w:val="B6E61E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77E842B7"/>
    <w:multiLevelType w:val="hybridMultilevel"/>
    <w:tmpl w:val="49D87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783B3073"/>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 w15:restartNumberingAfterBreak="0">
    <w:nsid w:val="7869221D"/>
    <w:multiLevelType w:val="hybridMultilevel"/>
    <w:tmpl w:val="46FC80E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78CD2642"/>
    <w:multiLevelType w:val="hybridMultilevel"/>
    <w:tmpl w:val="B26EBBE4"/>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9"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A805FF1"/>
    <w:multiLevelType w:val="multilevel"/>
    <w:tmpl w:val="C14407E0"/>
    <w:lvl w:ilvl="0">
      <w:start w:val="1"/>
      <w:numFmt w:val="decimal"/>
      <w:lvlText w:val="%1."/>
      <w:lvlJc w:val="left"/>
      <w:pPr>
        <w:ind w:left="220" w:hanging="360"/>
      </w:pPr>
      <w:rPr>
        <w:rFonts w:hint="default"/>
        <w:color w:val="008A96" w:themeColor="accent3"/>
        <w:sz w:val="24"/>
      </w:rPr>
    </w:lvl>
    <w:lvl w:ilvl="1">
      <w:start w:val="1"/>
      <w:numFmt w:val="decimal"/>
      <w:isLgl/>
      <w:lvlText w:val="%1.%2."/>
      <w:lvlJc w:val="left"/>
      <w:pPr>
        <w:ind w:left="360" w:hanging="360"/>
      </w:pPr>
      <w:rPr>
        <w:rFonts w:eastAsiaTheme="majorEastAsia" w:cstheme="majorBidi" w:hint="default"/>
        <w:color w:val="1D437F" w:themeColor="accent1"/>
      </w:rPr>
    </w:lvl>
    <w:lvl w:ilvl="2">
      <w:start w:val="1"/>
      <w:numFmt w:val="decimal"/>
      <w:isLgl/>
      <w:lvlText w:val="%1.%2.%3."/>
      <w:lvlJc w:val="left"/>
      <w:pPr>
        <w:ind w:left="860" w:hanging="720"/>
      </w:pPr>
      <w:rPr>
        <w:rFonts w:eastAsiaTheme="majorEastAsia" w:cstheme="majorBidi" w:hint="default"/>
        <w:color w:val="1D437F" w:themeColor="accent1"/>
      </w:rPr>
    </w:lvl>
    <w:lvl w:ilvl="3">
      <w:start w:val="1"/>
      <w:numFmt w:val="decimal"/>
      <w:isLgl/>
      <w:lvlText w:val="%1.%2.%3.%4."/>
      <w:lvlJc w:val="left"/>
      <w:pPr>
        <w:ind w:left="1000" w:hanging="720"/>
      </w:pPr>
      <w:rPr>
        <w:rFonts w:eastAsiaTheme="majorEastAsia" w:cstheme="majorBidi" w:hint="default"/>
        <w:color w:val="1D437F" w:themeColor="accent1"/>
      </w:rPr>
    </w:lvl>
    <w:lvl w:ilvl="4">
      <w:start w:val="1"/>
      <w:numFmt w:val="decimal"/>
      <w:isLgl/>
      <w:lvlText w:val="%1.%2.%3.%4.%5."/>
      <w:lvlJc w:val="left"/>
      <w:pPr>
        <w:ind w:left="1500" w:hanging="1080"/>
      </w:pPr>
      <w:rPr>
        <w:rFonts w:eastAsiaTheme="majorEastAsia" w:cstheme="majorBidi" w:hint="default"/>
        <w:color w:val="1D437F" w:themeColor="accent1"/>
      </w:rPr>
    </w:lvl>
    <w:lvl w:ilvl="5">
      <w:start w:val="1"/>
      <w:numFmt w:val="decimal"/>
      <w:isLgl/>
      <w:lvlText w:val="%1.%2.%3.%4.%5.%6."/>
      <w:lvlJc w:val="left"/>
      <w:pPr>
        <w:ind w:left="1640" w:hanging="1080"/>
      </w:pPr>
      <w:rPr>
        <w:rFonts w:eastAsiaTheme="majorEastAsia" w:cstheme="majorBidi" w:hint="default"/>
        <w:color w:val="1D437F" w:themeColor="accent1"/>
      </w:rPr>
    </w:lvl>
    <w:lvl w:ilvl="6">
      <w:start w:val="1"/>
      <w:numFmt w:val="decimal"/>
      <w:isLgl/>
      <w:lvlText w:val="%1.%2.%3.%4.%5.%6.%7."/>
      <w:lvlJc w:val="left"/>
      <w:pPr>
        <w:ind w:left="2140" w:hanging="1440"/>
      </w:pPr>
      <w:rPr>
        <w:rFonts w:eastAsiaTheme="majorEastAsia" w:cstheme="majorBidi" w:hint="default"/>
        <w:color w:val="1D437F" w:themeColor="accent1"/>
      </w:rPr>
    </w:lvl>
    <w:lvl w:ilvl="7">
      <w:start w:val="1"/>
      <w:numFmt w:val="decimal"/>
      <w:isLgl/>
      <w:lvlText w:val="%1.%2.%3.%4.%5.%6.%7.%8."/>
      <w:lvlJc w:val="left"/>
      <w:pPr>
        <w:ind w:left="2280" w:hanging="1440"/>
      </w:pPr>
      <w:rPr>
        <w:rFonts w:eastAsiaTheme="majorEastAsia" w:cstheme="majorBidi" w:hint="default"/>
        <w:color w:val="1D437F" w:themeColor="accent1"/>
      </w:rPr>
    </w:lvl>
    <w:lvl w:ilvl="8">
      <w:start w:val="1"/>
      <w:numFmt w:val="decimal"/>
      <w:isLgl/>
      <w:lvlText w:val="%1.%2.%3.%4.%5.%6.%7.%8.%9."/>
      <w:lvlJc w:val="left"/>
      <w:pPr>
        <w:ind w:left="2780" w:hanging="1800"/>
      </w:pPr>
      <w:rPr>
        <w:rFonts w:eastAsiaTheme="majorEastAsia" w:cstheme="majorBidi" w:hint="default"/>
        <w:color w:val="1D437F" w:themeColor="accent1"/>
      </w:rPr>
    </w:lvl>
  </w:abstractNum>
  <w:abstractNum w:abstractNumId="171" w15:restartNumberingAfterBreak="0">
    <w:nsid w:val="7BDC048F"/>
    <w:multiLevelType w:val="hybridMultilevel"/>
    <w:tmpl w:val="10F87F3A"/>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72" w15:restartNumberingAfterBreak="0">
    <w:nsid w:val="7BE549CD"/>
    <w:multiLevelType w:val="hybridMultilevel"/>
    <w:tmpl w:val="29E246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7BFC567C"/>
    <w:multiLevelType w:val="hybridMultilevel"/>
    <w:tmpl w:val="4C629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CD41F26"/>
    <w:multiLevelType w:val="hybridMultilevel"/>
    <w:tmpl w:val="3E8860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7DD93934"/>
    <w:multiLevelType w:val="hybridMultilevel"/>
    <w:tmpl w:val="A59E42DA"/>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6" w15:restartNumberingAfterBreak="0">
    <w:nsid w:val="7ED918E2"/>
    <w:multiLevelType w:val="hybridMultilevel"/>
    <w:tmpl w:val="9F980E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7F2F7AE3"/>
    <w:multiLevelType w:val="hybridMultilevel"/>
    <w:tmpl w:val="C97E72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8" w15:restartNumberingAfterBreak="0">
    <w:nsid w:val="7F9422CF"/>
    <w:multiLevelType w:val="hybridMultilevel"/>
    <w:tmpl w:val="5542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2281549">
    <w:abstractNumId w:val="123"/>
  </w:num>
  <w:num w:numId="2" w16cid:durableId="2049992814">
    <w:abstractNumId w:val="68"/>
  </w:num>
  <w:num w:numId="3" w16cid:durableId="336926811">
    <w:abstractNumId w:val="98"/>
  </w:num>
  <w:num w:numId="4" w16cid:durableId="1842812826">
    <w:abstractNumId w:val="52"/>
  </w:num>
  <w:num w:numId="5" w16cid:durableId="214780055">
    <w:abstractNumId w:val="34"/>
  </w:num>
  <w:num w:numId="6" w16cid:durableId="1651203112">
    <w:abstractNumId w:val="15"/>
  </w:num>
  <w:num w:numId="7" w16cid:durableId="1729916421">
    <w:abstractNumId w:val="25"/>
  </w:num>
  <w:num w:numId="8" w16cid:durableId="1169637989">
    <w:abstractNumId w:val="178"/>
  </w:num>
  <w:num w:numId="9" w16cid:durableId="1454252083">
    <w:abstractNumId w:val="99"/>
  </w:num>
  <w:num w:numId="10" w16cid:durableId="643391700">
    <w:abstractNumId w:val="103"/>
  </w:num>
  <w:num w:numId="11" w16cid:durableId="1569414295">
    <w:abstractNumId w:val="88"/>
  </w:num>
  <w:num w:numId="12" w16cid:durableId="2056811452">
    <w:abstractNumId w:val="160"/>
  </w:num>
  <w:num w:numId="13" w16cid:durableId="1815751864">
    <w:abstractNumId w:val="117"/>
  </w:num>
  <w:num w:numId="14" w16cid:durableId="163933167">
    <w:abstractNumId w:val="85"/>
  </w:num>
  <w:num w:numId="15" w16cid:durableId="1952516342">
    <w:abstractNumId w:val="111"/>
  </w:num>
  <w:num w:numId="16" w16cid:durableId="115761003">
    <w:abstractNumId w:val="41"/>
  </w:num>
  <w:num w:numId="17" w16cid:durableId="989479557">
    <w:abstractNumId w:val="22"/>
  </w:num>
  <w:num w:numId="18" w16cid:durableId="376244104">
    <w:abstractNumId w:val="156"/>
  </w:num>
  <w:num w:numId="19" w16cid:durableId="1902791799">
    <w:abstractNumId w:val="105"/>
  </w:num>
  <w:num w:numId="20" w16cid:durableId="861671767">
    <w:abstractNumId w:val="31"/>
  </w:num>
  <w:num w:numId="21" w16cid:durableId="509878875">
    <w:abstractNumId w:val="172"/>
  </w:num>
  <w:num w:numId="22" w16cid:durableId="1558319128">
    <w:abstractNumId w:val="66"/>
  </w:num>
  <w:num w:numId="23" w16cid:durableId="715393153">
    <w:abstractNumId w:val="148"/>
  </w:num>
  <w:num w:numId="24" w16cid:durableId="2060082683">
    <w:abstractNumId w:val="54"/>
  </w:num>
  <w:num w:numId="25" w16cid:durableId="757870151">
    <w:abstractNumId w:val="56"/>
  </w:num>
  <w:num w:numId="26" w16cid:durableId="555774525">
    <w:abstractNumId w:val="24"/>
  </w:num>
  <w:num w:numId="27" w16cid:durableId="1860851523">
    <w:abstractNumId w:val="169"/>
  </w:num>
  <w:num w:numId="28" w16cid:durableId="2060325136">
    <w:abstractNumId w:val="171"/>
  </w:num>
  <w:num w:numId="29" w16cid:durableId="1509565726">
    <w:abstractNumId w:val="32"/>
  </w:num>
  <w:num w:numId="30" w16cid:durableId="420100100">
    <w:abstractNumId w:val="138"/>
  </w:num>
  <w:num w:numId="31" w16cid:durableId="711615675">
    <w:abstractNumId w:val="23"/>
  </w:num>
  <w:num w:numId="32" w16cid:durableId="374621267">
    <w:abstractNumId w:val="74"/>
  </w:num>
  <w:num w:numId="33" w16cid:durableId="1837648084">
    <w:abstractNumId w:val="110"/>
  </w:num>
  <w:num w:numId="34" w16cid:durableId="1018315010">
    <w:abstractNumId w:val="97"/>
  </w:num>
  <w:num w:numId="35" w16cid:durableId="1523939134">
    <w:abstractNumId w:val="170"/>
  </w:num>
  <w:num w:numId="36" w16cid:durableId="412314240">
    <w:abstractNumId w:val="16"/>
  </w:num>
  <w:num w:numId="37" w16cid:durableId="932053778">
    <w:abstractNumId w:val="7"/>
  </w:num>
  <w:num w:numId="38" w16cid:durableId="1974559042">
    <w:abstractNumId w:val="47"/>
  </w:num>
  <w:num w:numId="39" w16cid:durableId="834960510">
    <w:abstractNumId w:val="33"/>
  </w:num>
  <w:num w:numId="40" w16cid:durableId="1796177473">
    <w:abstractNumId w:val="14"/>
  </w:num>
  <w:num w:numId="41" w16cid:durableId="1767338437">
    <w:abstractNumId w:val="125"/>
  </w:num>
  <w:num w:numId="42" w16cid:durableId="119881732">
    <w:abstractNumId w:val="30"/>
  </w:num>
  <w:num w:numId="43" w16cid:durableId="1260479870">
    <w:abstractNumId w:val="129"/>
  </w:num>
  <w:num w:numId="44" w16cid:durableId="1011103344">
    <w:abstractNumId w:val="76"/>
  </w:num>
  <w:num w:numId="45" w16cid:durableId="95758780">
    <w:abstractNumId w:val="139"/>
  </w:num>
  <w:num w:numId="46" w16cid:durableId="1761371674">
    <w:abstractNumId w:val="67"/>
  </w:num>
  <w:num w:numId="47" w16cid:durableId="1181509976">
    <w:abstractNumId w:val="1"/>
  </w:num>
  <w:num w:numId="48" w16cid:durableId="791169102">
    <w:abstractNumId w:val="62"/>
  </w:num>
  <w:num w:numId="49" w16cid:durableId="1138382030">
    <w:abstractNumId w:val="50"/>
  </w:num>
  <w:num w:numId="50" w16cid:durableId="1752779321">
    <w:abstractNumId w:val="167"/>
  </w:num>
  <w:num w:numId="51" w16cid:durableId="1520509177">
    <w:abstractNumId w:val="142"/>
  </w:num>
  <w:num w:numId="52" w16cid:durableId="1189179779">
    <w:abstractNumId w:val="94"/>
  </w:num>
  <w:num w:numId="53" w16cid:durableId="115027442">
    <w:abstractNumId w:val="61"/>
  </w:num>
  <w:num w:numId="54" w16cid:durableId="1474637704">
    <w:abstractNumId w:val="158"/>
  </w:num>
  <w:num w:numId="55" w16cid:durableId="1955482386">
    <w:abstractNumId w:val="59"/>
  </w:num>
  <w:num w:numId="56" w16cid:durableId="131216372">
    <w:abstractNumId w:val="141"/>
  </w:num>
  <w:num w:numId="57" w16cid:durableId="1853496905">
    <w:abstractNumId w:val="49"/>
  </w:num>
  <w:num w:numId="58" w16cid:durableId="1958441873">
    <w:abstractNumId w:val="90"/>
  </w:num>
  <w:num w:numId="59" w16cid:durableId="2134671015">
    <w:abstractNumId w:val="164"/>
  </w:num>
  <w:num w:numId="60" w16cid:durableId="161164632">
    <w:abstractNumId w:val="121"/>
  </w:num>
  <w:num w:numId="61" w16cid:durableId="1874689755">
    <w:abstractNumId w:val="3"/>
  </w:num>
  <w:num w:numId="62" w16cid:durableId="695039688">
    <w:abstractNumId w:val="161"/>
  </w:num>
  <w:num w:numId="63" w16cid:durableId="92360841">
    <w:abstractNumId w:val="104"/>
  </w:num>
  <w:num w:numId="64" w16cid:durableId="203640377">
    <w:abstractNumId w:val="150"/>
  </w:num>
  <w:num w:numId="65" w16cid:durableId="1288076838">
    <w:abstractNumId w:val="11"/>
  </w:num>
  <w:num w:numId="66" w16cid:durableId="292829588">
    <w:abstractNumId w:val="78"/>
  </w:num>
  <w:num w:numId="67" w16cid:durableId="562453389">
    <w:abstractNumId w:val="37"/>
  </w:num>
  <w:num w:numId="68" w16cid:durableId="1410157053">
    <w:abstractNumId w:val="75"/>
  </w:num>
  <w:num w:numId="69" w16cid:durableId="2037002366">
    <w:abstractNumId w:val="91"/>
  </w:num>
  <w:num w:numId="70" w16cid:durableId="1583029202">
    <w:abstractNumId w:val="38"/>
  </w:num>
  <w:num w:numId="71" w16cid:durableId="857619375">
    <w:abstractNumId w:val="5"/>
  </w:num>
  <w:num w:numId="72" w16cid:durableId="1158810043">
    <w:abstractNumId w:val="128"/>
  </w:num>
  <w:num w:numId="73" w16cid:durableId="373889998">
    <w:abstractNumId w:val="18"/>
  </w:num>
  <w:num w:numId="74" w16cid:durableId="1788231918">
    <w:abstractNumId w:val="20"/>
  </w:num>
  <w:num w:numId="75" w16cid:durableId="711884383">
    <w:abstractNumId w:val="79"/>
  </w:num>
  <w:num w:numId="76" w16cid:durableId="1232888941">
    <w:abstractNumId w:val="136"/>
  </w:num>
  <w:num w:numId="77" w16cid:durableId="1519006798">
    <w:abstractNumId w:val="134"/>
  </w:num>
  <w:num w:numId="78" w16cid:durableId="1250383121">
    <w:abstractNumId w:val="4"/>
  </w:num>
  <w:num w:numId="79" w16cid:durableId="220940929">
    <w:abstractNumId w:val="70"/>
  </w:num>
  <w:num w:numId="80" w16cid:durableId="852382701">
    <w:abstractNumId w:val="71"/>
  </w:num>
  <w:num w:numId="81" w16cid:durableId="1955137443">
    <w:abstractNumId w:val="73"/>
  </w:num>
  <w:num w:numId="82" w16cid:durableId="1767648107">
    <w:abstractNumId w:val="118"/>
  </w:num>
  <w:num w:numId="83" w16cid:durableId="810749128">
    <w:abstractNumId w:val="177"/>
  </w:num>
  <w:num w:numId="84" w16cid:durableId="275796483">
    <w:abstractNumId w:val="17"/>
  </w:num>
  <w:num w:numId="85" w16cid:durableId="1582787338">
    <w:abstractNumId w:val="131"/>
  </w:num>
  <w:num w:numId="86" w16cid:durableId="1849832247">
    <w:abstractNumId w:val="45"/>
  </w:num>
  <w:num w:numId="87" w16cid:durableId="704332821">
    <w:abstractNumId w:val="107"/>
  </w:num>
  <w:num w:numId="88" w16cid:durableId="932513585">
    <w:abstractNumId w:val="137"/>
  </w:num>
  <w:num w:numId="89" w16cid:durableId="1321739392">
    <w:abstractNumId w:val="58"/>
  </w:num>
  <w:num w:numId="90" w16cid:durableId="131217463">
    <w:abstractNumId w:val="82"/>
  </w:num>
  <w:num w:numId="91" w16cid:durableId="1817801747">
    <w:abstractNumId w:val="21"/>
  </w:num>
  <w:num w:numId="92" w16cid:durableId="1551258941">
    <w:abstractNumId w:val="166"/>
  </w:num>
  <w:num w:numId="93" w16cid:durableId="1881821624">
    <w:abstractNumId w:val="0"/>
  </w:num>
  <w:num w:numId="94" w16cid:durableId="1202940412">
    <w:abstractNumId w:val="157"/>
  </w:num>
  <w:num w:numId="95" w16cid:durableId="528031154">
    <w:abstractNumId w:val="77"/>
  </w:num>
  <w:num w:numId="96" w16cid:durableId="607810185">
    <w:abstractNumId w:val="51"/>
  </w:num>
  <w:num w:numId="97" w16cid:durableId="393937765">
    <w:abstractNumId w:val="147"/>
  </w:num>
  <w:num w:numId="98" w16cid:durableId="1243569682">
    <w:abstractNumId w:val="146"/>
  </w:num>
  <w:num w:numId="99" w16cid:durableId="25641079">
    <w:abstractNumId w:val="48"/>
  </w:num>
  <w:num w:numId="100" w16cid:durableId="1590381528">
    <w:abstractNumId w:val="39"/>
  </w:num>
  <w:num w:numId="101" w16cid:durableId="1395620670">
    <w:abstractNumId w:val="149"/>
  </w:num>
  <w:num w:numId="102" w16cid:durableId="1322654560">
    <w:abstractNumId w:val="163"/>
  </w:num>
  <w:num w:numId="103" w16cid:durableId="1716390548">
    <w:abstractNumId w:val="12"/>
  </w:num>
  <w:num w:numId="104" w16cid:durableId="116409742">
    <w:abstractNumId w:val="108"/>
  </w:num>
  <w:num w:numId="105" w16cid:durableId="239021897">
    <w:abstractNumId w:val="44"/>
  </w:num>
  <w:num w:numId="106" w16cid:durableId="170224081">
    <w:abstractNumId w:val="27"/>
  </w:num>
  <w:num w:numId="107" w16cid:durableId="1349715784">
    <w:abstractNumId w:val="29"/>
  </w:num>
  <w:num w:numId="108" w16cid:durableId="1970238812">
    <w:abstractNumId w:val="69"/>
  </w:num>
  <w:num w:numId="109" w16cid:durableId="524976010">
    <w:abstractNumId w:val="153"/>
  </w:num>
  <w:num w:numId="110" w16cid:durableId="426462237">
    <w:abstractNumId w:val="46"/>
  </w:num>
  <w:num w:numId="111" w16cid:durableId="85809344">
    <w:abstractNumId w:val="84"/>
  </w:num>
  <w:num w:numId="112" w16cid:durableId="58133332">
    <w:abstractNumId w:val="151"/>
  </w:num>
  <w:num w:numId="113" w16cid:durableId="1287735326">
    <w:abstractNumId w:val="119"/>
  </w:num>
  <w:num w:numId="114" w16cid:durableId="2099402561">
    <w:abstractNumId w:val="89"/>
  </w:num>
  <w:num w:numId="115" w16cid:durableId="780874672">
    <w:abstractNumId w:val="96"/>
  </w:num>
  <w:num w:numId="116" w16cid:durableId="547686498">
    <w:abstractNumId w:val="65"/>
  </w:num>
  <w:num w:numId="117" w16cid:durableId="1254701872">
    <w:abstractNumId w:val="165"/>
  </w:num>
  <w:num w:numId="118" w16cid:durableId="1811316443">
    <w:abstractNumId w:val="93"/>
  </w:num>
  <w:num w:numId="119" w16cid:durableId="2112042663">
    <w:abstractNumId w:val="35"/>
  </w:num>
  <w:num w:numId="120" w16cid:durableId="1958100643">
    <w:abstractNumId w:val="116"/>
  </w:num>
  <w:num w:numId="121" w16cid:durableId="673607907">
    <w:abstractNumId w:val="40"/>
  </w:num>
  <w:num w:numId="122" w16cid:durableId="1917543935">
    <w:abstractNumId w:val="83"/>
  </w:num>
  <w:num w:numId="123" w16cid:durableId="830604606">
    <w:abstractNumId w:val="135"/>
  </w:num>
  <w:num w:numId="124" w16cid:durableId="950867000">
    <w:abstractNumId w:val="8"/>
  </w:num>
  <w:num w:numId="125" w16cid:durableId="1242258162">
    <w:abstractNumId w:val="126"/>
  </w:num>
  <w:num w:numId="126" w16cid:durableId="1381057563">
    <w:abstractNumId w:val="174"/>
  </w:num>
  <w:num w:numId="127" w16cid:durableId="38744394">
    <w:abstractNumId w:val="130"/>
  </w:num>
  <w:num w:numId="128" w16cid:durableId="810252897">
    <w:abstractNumId w:val="2"/>
  </w:num>
  <w:num w:numId="129" w16cid:durableId="1427386118">
    <w:abstractNumId w:val="132"/>
  </w:num>
  <w:num w:numId="130" w16cid:durableId="1009602118">
    <w:abstractNumId w:val="144"/>
  </w:num>
  <w:num w:numId="131" w16cid:durableId="105544654">
    <w:abstractNumId w:val="127"/>
  </w:num>
  <w:num w:numId="132" w16cid:durableId="1356737687">
    <w:abstractNumId w:val="115"/>
  </w:num>
  <w:num w:numId="133" w16cid:durableId="1379549398">
    <w:abstractNumId w:val="114"/>
  </w:num>
  <w:num w:numId="134" w16cid:durableId="359665485">
    <w:abstractNumId w:val="63"/>
  </w:num>
  <w:num w:numId="135" w16cid:durableId="1302534909">
    <w:abstractNumId w:val="102"/>
  </w:num>
  <w:num w:numId="136" w16cid:durableId="1724598194">
    <w:abstractNumId w:val="133"/>
  </w:num>
  <w:num w:numId="137" w16cid:durableId="687758435">
    <w:abstractNumId w:val="26"/>
  </w:num>
  <w:num w:numId="138" w16cid:durableId="390272783">
    <w:abstractNumId w:val="113"/>
  </w:num>
  <w:num w:numId="139" w16cid:durableId="448353182">
    <w:abstractNumId w:val="152"/>
  </w:num>
  <w:num w:numId="140" w16cid:durableId="630399679">
    <w:abstractNumId w:val="154"/>
  </w:num>
  <w:num w:numId="141" w16cid:durableId="1946573780">
    <w:abstractNumId w:val="9"/>
  </w:num>
  <w:num w:numId="142" w16cid:durableId="985622951">
    <w:abstractNumId w:val="176"/>
  </w:num>
  <w:num w:numId="143" w16cid:durableId="1844321542">
    <w:abstractNumId w:val="86"/>
  </w:num>
  <w:num w:numId="144" w16cid:durableId="418991507">
    <w:abstractNumId w:val="155"/>
  </w:num>
  <w:num w:numId="145" w16cid:durableId="1466967767">
    <w:abstractNumId w:val="145"/>
  </w:num>
  <w:num w:numId="146" w16cid:durableId="1937131942">
    <w:abstractNumId w:val="53"/>
  </w:num>
  <w:num w:numId="147" w16cid:durableId="728919536">
    <w:abstractNumId w:val="173"/>
  </w:num>
  <w:num w:numId="148" w16cid:durableId="1027411105">
    <w:abstractNumId w:val="101"/>
  </w:num>
  <w:num w:numId="149" w16cid:durableId="1272668114">
    <w:abstractNumId w:val="106"/>
  </w:num>
  <w:num w:numId="150" w16cid:durableId="1184052024">
    <w:abstractNumId w:val="64"/>
  </w:num>
  <w:num w:numId="151" w16cid:durableId="929849120">
    <w:abstractNumId w:val="36"/>
  </w:num>
  <w:num w:numId="152" w16cid:durableId="418984674">
    <w:abstractNumId w:val="55"/>
  </w:num>
  <w:num w:numId="153" w16cid:durableId="1278179029">
    <w:abstractNumId w:val="28"/>
  </w:num>
  <w:num w:numId="154" w16cid:durableId="590701137">
    <w:abstractNumId w:val="143"/>
  </w:num>
  <w:num w:numId="155" w16cid:durableId="461265912">
    <w:abstractNumId w:val="10"/>
  </w:num>
  <w:num w:numId="156" w16cid:durableId="1434398191">
    <w:abstractNumId w:val="112"/>
  </w:num>
  <w:num w:numId="157" w16cid:durableId="1675916959">
    <w:abstractNumId w:val="43"/>
  </w:num>
  <w:num w:numId="158" w16cid:durableId="2084793709">
    <w:abstractNumId w:val="6"/>
  </w:num>
  <w:num w:numId="159" w16cid:durableId="913079354">
    <w:abstractNumId w:val="159"/>
  </w:num>
  <w:num w:numId="160" w16cid:durableId="1263342906">
    <w:abstractNumId w:val="13"/>
  </w:num>
  <w:num w:numId="161" w16cid:durableId="1686781887">
    <w:abstractNumId w:val="87"/>
  </w:num>
  <w:num w:numId="162" w16cid:durableId="733233333">
    <w:abstractNumId w:val="162"/>
  </w:num>
  <w:num w:numId="163" w16cid:durableId="17239519">
    <w:abstractNumId w:val="109"/>
  </w:num>
  <w:num w:numId="164" w16cid:durableId="663703902">
    <w:abstractNumId w:val="60"/>
  </w:num>
  <w:num w:numId="165" w16cid:durableId="120343551">
    <w:abstractNumId w:val="72"/>
  </w:num>
  <w:num w:numId="166" w16cid:durableId="228883494">
    <w:abstractNumId w:val="57"/>
  </w:num>
  <w:num w:numId="167" w16cid:durableId="649864907">
    <w:abstractNumId w:val="140"/>
  </w:num>
  <w:num w:numId="168" w16cid:durableId="1840995342">
    <w:abstractNumId w:val="95"/>
  </w:num>
  <w:num w:numId="169" w16cid:durableId="1238398447">
    <w:abstractNumId w:val="80"/>
  </w:num>
  <w:num w:numId="170" w16cid:durableId="1250852064">
    <w:abstractNumId w:val="120"/>
  </w:num>
  <w:num w:numId="171" w16cid:durableId="319237867">
    <w:abstractNumId w:val="19"/>
  </w:num>
  <w:num w:numId="172" w16cid:durableId="795100949">
    <w:abstractNumId w:val="175"/>
  </w:num>
  <w:num w:numId="173" w16cid:durableId="786195081">
    <w:abstractNumId w:val="81"/>
  </w:num>
  <w:num w:numId="174" w16cid:durableId="1679305610">
    <w:abstractNumId w:val="168"/>
  </w:num>
  <w:num w:numId="175" w16cid:durableId="2051342815">
    <w:abstractNumId w:val="42"/>
  </w:num>
  <w:num w:numId="176" w16cid:durableId="62260969">
    <w:abstractNumId w:val="124"/>
  </w:num>
  <w:num w:numId="177" w16cid:durableId="919220125">
    <w:abstractNumId w:val="100"/>
  </w:num>
  <w:num w:numId="178" w16cid:durableId="1165777633">
    <w:abstractNumId w:val="92"/>
  </w:num>
  <w:num w:numId="179" w16cid:durableId="1175221264">
    <w:abstractNumId w:val="12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178"/>
    <w:rsid w:val="00000016"/>
    <w:rsid w:val="000002D3"/>
    <w:rsid w:val="0000037C"/>
    <w:rsid w:val="00000381"/>
    <w:rsid w:val="000003A2"/>
    <w:rsid w:val="000005C3"/>
    <w:rsid w:val="00000687"/>
    <w:rsid w:val="000007D9"/>
    <w:rsid w:val="000007E8"/>
    <w:rsid w:val="000007EF"/>
    <w:rsid w:val="0000089E"/>
    <w:rsid w:val="00000A4F"/>
    <w:rsid w:val="00000B52"/>
    <w:rsid w:val="00000CF8"/>
    <w:rsid w:val="00000D81"/>
    <w:rsid w:val="00000FCA"/>
    <w:rsid w:val="00001046"/>
    <w:rsid w:val="00001151"/>
    <w:rsid w:val="00001266"/>
    <w:rsid w:val="0000131B"/>
    <w:rsid w:val="00001332"/>
    <w:rsid w:val="00001333"/>
    <w:rsid w:val="00001338"/>
    <w:rsid w:val="000013C4"/>
    <w:rsid w:val="0000140D"/>
    <w:rsid w:val="00001473"/>
    <w:rsid w:val="000014BD"/>
    <w:rsid w:val="000015D2"/>
    <w:rsid w:val="000016B6"/>
    <w:rsid w:val="000016C2"/>
    <w:rsid w:val="0000174E"/>
    <w:rsid w:val="00001787"/>
    <w:rsid w:val="0000180B"/>
    <w:rsid w:val="0000194E"/>
    <w:rsid w:val="0000198E"/>
    <w:rsid w:val="00001A59"/>
    <w:rsid w:val="00001B59"/>
    <w:rsid w:val="00001C40"/>
    <w:rsid w:val="00001CC2"/>
    <w:rsid w:val="00001DB5"/>
    <w:rsid w:val="00001E8C"/>
    <w:rsid w:val="0000202E"/>
    <w:rsid w:val="00002150"/>
    <w:rsid w:val="0000215F"/>
    <w:rsid w:val="00002209"/>
    <w:rsid w:val="000023C7"/>
    <w:rsid w:val="000024F2"/>
    <w:rsid w:val="000027AD"/>
    <w:rsid w:val="000028CA"/>
    <w:rsid w:val="00002924"/>
    <w:rsid w:val="00002A41"/>
    <w:rsid w:val="00002A48"/>
    <w:rsid w:val="00002B51"/>
    <w:rsid w:val="00002B5B"/>
    <w:rsid w:val="00002C2C"/>
    <w:rsid w:val="00002EB7"/>
    <w:rsid w:val="00003078"/>
    <w:rsid w:val="000030C5"/>
    <w:rsid w:val="0000316A"/>
    <w:rsid w:val="00003219"/>
    <w:rsid w:val="000032BD"/>
    <w:rsid w:val="000032D4"/>
    <w:rsid w:val="0000332F"/>
    <w:rsid w:val="00003423"/>
    <w:rsid w:val="0000352C"/>
    <w:rsid w:val="0000352D"/>
    <w:rsid w:val="000035CB"/>
    <w:rsid w:val="000035F6"/>
    <w:rsid w:val="000036BC"/>
    <w:rsid w:val="00003839"/>
    <w:rsid w:val="00003851"/>
    <w:rsid w:val="000038E2"/>
    <w:rsid w:val="000039C0"/>
    <w:rsid w:val="00003ACC"/>
    <w:rsid w:val="00003B6A"/>
    <w:rsid w:val="00003BDC"/>
    <w:rsid w:val="00003D2E"/>
    <w:rsid w:val="00003F2F"/>
    <w:rsid w:val="00003F78"/>
    <w:rsid w:val="00003F9D"/>
    <w:rsid w:val="0000404F"/>
    <w:rsid w:val="000040F5"/>
    <w:rsid w:val="00004135"/>
    <w:rsid w:val="00004212"/>
    <w:rsid w:val="00004233"/>
    <w:rsid w:val="00004301"/>
    <w:rsid w:val="0000453B"/>
    <w:rsid w:val="000048D9"/>
    <w:rsid w:val="000048FF"/>
    <w:rsid w:val="00004B47"/>
    <w:rsid w:val="00004C7F"/>
    <w:rsid w:val="00004CF5"/>
    <w:rsid w:val="00004E1B"/>
    <w:rsid w:val="0000504A"/>
    <w:rsid w:val="00005274"/>
    <w:rsid w:val="000052D5"/>
    <w:rsid w:val="00005325"/>
    <w:rsid w:val="000054B8"/>
    <w:rsid w:val="000054D4"/>
    <w:rsid w:val="000054DF"/>
    <w:rsid w:val="0000561B"/>
    <w:rsid w:val="0000574B"/>
    <w:rsid w:val="000058AA"/>
    <w:rsid w:val="000058BB"/>
    <w:rsid w:val="00005B35"/>
    <w:rsid w:val="00005C74"/>
    <w:rsid w:val="00005CF8"/>
    <w:rsid w:val="00005D94"/>
    <w:rsid w:val="00005EF5"/>
    <w:rsid w:val="00005F75"/>
    <w:rsid w:val="00006082"/>
    <w:rsid w:val="0000614D"/>
    <w:rsid w:val="000061A6"/>
    <w:rsid w:val="000061D7"/>
    <w:rsid w:val="000063CB"/>
    <w:rsid w:val="0000650B"/>
    <w:rsid w:val="000065F7"/>
    <w:rsid w:val="00006641"/>
    <w:rsid w:val="0000675B"/>
    <w:rsid w:val="0000676E"/>
    <w:rsid w:val="00006936"/>
    <w:rsid w:val="000069B5"/>
    <w:rsid w:val="00006A6B"/>
    <w:rsid w:val="00006C7C"/>
    <w:rsid w:val="00006CB4"/>
    <w:rsid w:val="00006D7B"/>
    <w:rsid w:val="00006E93"/>
    <w:rsid w:val="00006F7E"/>
    <w:rsid w:val="00007296"/>
    <w:rsid w:val="00007304"/>
    <w:rsid w:val="000074F4"/>
    <w:rsid w:val="00007653"/>
    <w:rsid w:val="00007655"/>
    <w:rsid w:val="00007839"/>
    <w:rsid w:val="00007851"/>
    <w:rsid w:val="00007933"/>
    <w:rsid w:val="00007A17"/>
    <w:rsid w:val="00007B2F"/>
    <w:rsid w:val="00007D50"/>
    <w:rsid w:val="00007E9F"/>
    <w:rsid w:val="00007EF7"/>
    <w:rsid w:val="00007F99"/>
    <w:rsid w:val="00007FC4"/>
    <w:rsid w:val="00007FE5"/>
    <w:rsid w:val="00010161"/>
    <w:rsid w:val="000101C0"/>
    <w:rsid w:val="00010223"/>
    <w:rsid w:val="00010314"/>
    <w:rsid w:val="000103BD"/>
    <w:rsid w:val="000103C5"/>
    <w:rsid w:val="00010675"/>
    <w:rsid w:val="00010679"/>
    <w:rsid w:val="000107C8"/>
    <w:rsid w:val="000109F9"/>
    <w:rsid w:val="00010A68"/>
    <w:rsid w:val="00010BD8"/>
    <w:rsid w:val="00010CBE"/>
    <w:rsid w:val="00010D7B"/>
    <w:rsid w:val="00010E4C"/>
    <w:rsid w:val="00010F8B"/>
    <w:rsid w:val="0001110F"/>
    <w:rsid w:val="0001113E"/>
    <w:rsid w:val="000112CD"/>
    <w:rsid w:val="00011415"/>
    <w:rsid w:val="000114A1"/>
    <w:rsid w:val="000114FF"/>
    <w:rsid w:val="000116F8"/>
    <w:rsid w:val="00011A4D"/>
    <w:rsid w:val="00011A90"/>
    <w:rsid w:val="00011A9A"/>
    <w:rsid w:val="00011B3B"/>
    <w:rsid w:val="00011E42"/>
    <w:rsid w:val="00011F10"/>
    <w:rsid w:val="00011F8C"/>
    <w:rsid w:val="0001231C"/>
    <w:rsid w:val="0001246E"/>
    <w:rsid w:val="000124CA"/>
    <w:rsid w:val="00012501"/>
    <w:rsid w:val="00012516"/>
    <w:rsid w:val="00012520"/>
    <w:rsid w:val="00012524"/>
    <w:rsid w:val="00012548"/>
    <w:rsid w:val="00012582"/>
    <w:rsid w:val="00012716"/>
    <w:rsid w:val="00012740"/>
    <w:rsid w:val="0001277C"/>
    <w:rsid w:val="000127C7"/>
    <w:rsid w:val="000128A1"/>
    <w:rsid w:val="00012AF6"/>
    <w:rsid w:val="00012BDF"/>
    <w:rsid w:val="00012E07"/>
    <w:rsid w:val="00012E85"/>
    <w:rsid w:val="00012E8F"/>
    <w:rsid w:val="00012ED7"/>
    <w:rsid w:val="00012F64"/>
    <w:rsid w:val="00012F81"/>
    <w:rsid w:val="00012F89"/>
    <w:rsid w:val="00012F92"/>
    <w:rsid w:val="00012F9E"/>
    <w:rsid w:val="00013074"/>
    <w:rsid w:val="000134A3"/>
    <w:rsid w:val="000134F0"/>
    <w:rsid w:val="0001351F"/>
    <w:rsid w:val="0001360F"/>
    <w:rsid w:val="0001364D"/>
    <w:rsid w:val="00013879"/>
    <w:rsid w:val="00013A2A"/>
    <w:rsid w:val="00013B67"/>
    <w:rsid w:val="00013B94"/>
    <w:rsid w:val="00013CC9"/>
    <w:rsid w:val="00013CCB"/>
    <w:rsid w:val="00013DCF"/>
    <w:rsid w:val="00013F2C"/>
    <w:rsid w:val="00013F9C"/>
    <w:rsid w:val="000140A0"/>
    <w:rsid w:val="000142DF"/>
    <w:rsid w:val="00014415"/>
    <w:rsid w:val="00014448"/>
    <w:rsid w:val="00014538"/>
    <w:rsid w:val="000145B1"/>
    <w:rsid w:val="000145F6"/>
    <w:rsid w:val="00014844"/>
    <w:rsid w:val="000148A2"/>
    <w:rsid w:val="00014AEB"/>
    <w:rsid w:val="00014B21"/>
    <w:rsid w:val="00014C07"/>
    <w:rsid w:val="00014E5B"/>
    <w:rsid w:val="00014E74"/>
    <w:rsid w:val="00014F68"/>
    <w:rsid w:val="00015009"/>
    <w:rsid w:val="00015083"/>
    <w:rsid w:val="000150C1"/>
    <w:rsid w:val="000150F8"/>
    <w:rsid w:val="000151C8"/>
    <w:rsid w:val="0001552B"/>
    <w:rsid w:val="00015572"/>
    <w:rsid w:val="00015661"/>
    <w:rsid w:val="00015669"/>
    <w:rsid w:val="000157F7"/>
    <w:rsid w:val="00015815"/>
    <w:rsid w:val="00015931"/>
    <w:rsid w:val="00015B3D"/>
    <w:rsid w:val="00015CF9"/>
    <w:rsid w:val="00015DB1"/>
    <w:rsid w:val="00016090"/>
    <w:rsid w:val="00016146"/>
    <w:rsid w:val="0001614D"/>
    <w:rsid w:val="0001630D"/>
    <w:rsid w:val="000163A3"/>
    <w:rsid w:val="000164B0"/>
    <w:rsid w:val="000165F9"/>
    <w:rsid w:val="000166AF"/>
    <w:rsid w:val="0001680C"/>
    <w:rsid w:val="000168CC"/>
    <w:rsid w:val="000169BD"/>
    <w:rsid w:val="00016A87"/>
    <w:rsid w:val="00016B04"/>
    <w:rsid w:val="00016C60"/>
    <w:rsid w:val="00016CFF"/>
    <w:rsid w:val="00016DA1"/>
    <w:rsid w:val="00016DC9"/>
    <w:rsid w:val="00016E9F"/>
    <w:rsid w:val="00016EB0"/>
    <w:rsid w:val="00016F91"/>
    <w:rsid w:val="00016FC6"/>
    <w:rsid w:val="00017093"/>
    <w:rsid w:val="000170F9"/>
    <w:rsid w:val="0001715C"/>
    <w:rsid w:val="000171DF"/>
    <w:rsid w:val="00017226"/>
    <w:rsid w:val="00017268"/>
    <w:rsid w:val="00017298"/>
    <w:rsid w:val="000172C6"/>
    <w:rsid w:val="0001746F"/>
    <w:rsid w:val="0001764E"/>
    <w:rsid w:val="0001778D"/>
    <w:rsid w:val="000177CF"/>
    <w:rsid w:val="00017858"/>
    <w:rsid w:val="00017BAF"/>
    <w:rsid w:val="00017C76"/>
    <w:rsid w:val="00017D7F"/>
    <w:rsid w:val="00017E6C"/>
    <w:rsid w:val="00017F1F"/>
    <w:rsid w:val="00017F5E"/>
    <w:rsid w:val="000200DE"/>
    <w:rsid w:val="00020117"/>
    <w:rsid w:val="00020405"/>
    <w:rsid w:val="0002048B"/>
    <w:rsid w:val="000208E4"/>
    <w:rsid w:val="00020926"/>
    <w:rsid w:val="0002099A"/>
    <w:rsid w:val="00020A15"/>
    <w:rsid w:val="00020C15"/>
    <w:rsid w:val="00020EBA"/>
    <w:rsid w:val="00021011"/>
    <w:rsid w:val="00021077"/>
    <w:rsid w:val="00021135"/>
    <w:rsid w:val="00021190"/>
    <w:rsid w:val="000211B8"/>
    <w:rsid w:val="0002134D"/>
    <w:rsid w:val="000213EE"/>
    <w:rsid w:val="000214B7"/>
    <w:rsid w:val="000214D3"/>
    <w:rsid w:val="00021506"/>
    <w:rsid w:val="00021517"/>
    <w:rsid w:val="000215AE"/>
    <w:rsid w:val="000215E4"/>
    <w:rsid w:val="00021605"/>
    <w:rsid w:val="00021627"/>
    <w:rsid w:val="000216D2"/>
    <w:rsid w:val="000217AF"/>
    <w:rsid w:val="0002193F"/>
    <w:rsid w:val="0002197B"/>
    <w:rsid w:val="000219DD"/>
    <w:rsid w:val="00021BDB"/>
    <w:rsid w:val="00021D3E"/>
    <w:rsid w:val="00021E28"/>
    <w:rsid w:val="00021EB0"/>
    <w:rsid w:val="000221BD"/>
    <w:rsid w:val="0002230C"/>
    <w:rsid w:val="00022477"/>
    <w:rsid w:val="00022670"/>
    <w:rsid w:val="00022763"/>
    <w:rsid w:val="000227DD"/>
    <w:rsid w:val="0002297D"/>
    <w:rsid w:val="00022A47"/>
    <w:rsid w:val="00022A59"/>
    <w:rsid w:val="00022C95"/>
    <w:rsid w:val="00022CC2"/>
    <w:rsid w:val="00022CE1"/>
    <w:rsid w:val="00022DB0"/>
    <w:rsid w:val="00022E3A"/>
    <w:rsid w:val="00022E90"/>
    <w:rsid w:val="00022F08"/>
    <w:rsid w:val="00022F0E"/>
    <w:rsid w:val="0002303C"/>
    <w:rsid w:val="00023041"/>
    <w:rsid w:val="000230BA"/>
    <w:rsid w:val="00023124"/>
    <w:rsid w:val="000231B4"/>
    <w:rsid w:val="00023281"/>
    <w:rsid w:val="000234DE"/>
    <w:rsid w:val="0002361B"/>
    <w:rsid w:val="000236B7"/>
    <w:rsid w:val="0002370B"/>
    <w:rsid w:val="00023881"/>
    <w:rsid w:val="00023945"/>
    <w:rsid w:val="00023A68"/>
    <w:rsid w:val="00023B8C"/>
    <w:rsid w:val="00023BCE"/>
    <w:rsid w:val="00023C9E"/>
    <w:rsid w:val="00023D2D"/>
    <w:rsid w:val="00023E2D"/>
    <w:rsid w:val="00023FE4"/>
    <w:rsid w:val="00024032"/>
    <w:rsid w:val="00024096"/>
    <w:rsid w:val="00024128"/>
    <w:rsid w:val="00024283"/>
    <w:rsid w:val="00024318"/>
    <w:rsid w:val="000243CB"/>
    <w:rsid w:val="00024812"/>
    <w:rsid w:val="00024A93"/>
    <w:rsid w:val="00024D87"/>
    <w:rsid w:val="00024E72"/>
    <w:rsid w:val="00024EAA"/>
    <w:rsid w:val="00024ED7"/>
    <w:rsid w:val="00024F1F"/>
    <w:rsid w:val="00025035"/>
    <w:rsid w:val="000250DA"/>
    <w:rsid w:val="000254F3"/>
    <w:rsid w:val="0002562A"/>
    <w:rsid w:val="0002562D"/>
    <w:rsid w:val="0002566F"/>
    <w:rsid w:val="000257C8"/>
    <w:rsid w:val="00025952"/>
    <w:rsid w:val="00025957"/>
    <w:rsid w:val="000259A4"/>
    <w:rsid w:val="00025AAD"/>
    <w:rsid w:val="00025B03"/>
    <w:rsid w:val="00025BB2"/>
    <w:rsid w:val="00025CBE"/>
    <w:rsid w:val="00025F51"/>
    <w:rsid w:val="00025FC0"/>
    <w:rsid w:val="000260C4"/>
    <w:rsid w:val="000260E7"/>
    <w:rsid w:val="000260E8"/>
    <w:rsid w:val="00026290"/>
    <w:rsid w:val="000262A0"/>
    <w:rsid w:val="00026587"/>
    <w:rsid w:val="00026648"/>
    <w:rsid w:val="000266B0"/>
    <w:rsid w:val="00026788"/>
    <w:rsid w:val="0002698F"/>
    <w:rsid w:val="00026ABA"/>
    <w:rsid w:val="00026C1F"/>
    <w:rsid w:val="00026E9F"/>
    <w:rsid w:val="00026FD4"/>
    <w:rsid w:val="0002708D"/>
    <w:rsid w:val="000270A8"/>
    <w:rsid w:val="00027161"/>
    <w:rsid w:val="000271C4"/>
    <w:rsid w:val="000272BF"/>
    <w:rsid w:val="0002741F"/>
    <w:rsid w:val="000275CA"/>
    <w:rsid w:val="000276E8"/>
    <w:rsid w:val="0002778E"/>
    <w:rsid w:val="000279E7"/>
    <w:rsid w:val="00027A31"/>
    <w:rsid w:val="00027B1C"/>
    <w:rsid w:val="00027BBC"/>
    <w:rsid w:val="00027C8C"/>
    <w:rsid w:val="00027CED"/>
    <w:rsid w:val="00030119"/>
    <w:rsid w:val="00030256"/>
    <w:rsid w:val="0003036A"/>
    <w:rsid w:val="0003042E"/>
    <w:rsid w:val="00030442"/>
    <w:rsid w:val="000304C8"/>
    <w:rsid w:val="000304D9"/>
    <w:rsid w:val="00030547"/>
    <w:rsid w:val="000305EE"/>
    <w:rsid w:val="00030756"/>
    <w:rsid w:val="0003078B"/>
    <w:rsid w:val="00030822"/>
    <w:rsid w:val="000308C5"/>
    <w:rsid w:val="00030900"/>
    <w:rsid w:val="00030989"/>
    <w:rsid w:val="0003098F"/>
    <w:rsid w:val="00030A26"/>
    <w:rsid w:val="00030B20"/>
    <w:rsid w:val="00030B5D"/>
    <w:rsid w:val="00030E4D"/>
    <w:rsid w:val="00030ED8"/>
    <w:rsid w:val="00030F0B"/>
    <w:rsid w:val="00030F32"/>
    <w:rsid w:val="00030FE6"/>
    <w:rsid w:val="00030FF9"/>
    <w:rsid w:val="000310B6"/>
    <w:rsid w:val="00031413"/>
    <w:rsid w:val="00031426"/>
    <w:rsid w:val="00031601"/>
    <w:rsid w:val="00031610"/>
    <w:rsid w:val="0003170C"/>
    <w:rsid w:val="00031758"/>
    <w:rsid w:val="0003186B"/>
    <w:rsid w:val="00031899"/>
    <w:rsid w:val="000318BC"/>
    <w:rsid w:val="000318F8"/>
    <w:rsid w:val="00031A7C"/>
    <w:rsid w:val="00031CBF"/>
    <w:rsid w:val="00031D69"/>
    <w:rsid w:val="00031D76"/>
    <w:rsid w:val="00031E28"/>
    <w:rsid w:val="00031EAB"/>
    <w:rsid w:val="00031F86"/>
    <w:rsid w:val="00031F9D"/>
    <w:rsid w:val="00031FAB"/>
    <w:rsid w:val="000320D5"/>
    <w:rsid w:val="000320E4"/>
    <w:rsid w:val="00032151"/>
    <w:rsid w:val="00032195"/>
    <w:rsid w:val="000321E3"/>
    <w:rsid w:val="0003222B"/>
    <w:rsid w:val="00032358"/>
    <w:rsid w:val="000324C7"/>
    <w:rsid w:val="0003255E"/>
    <w:rsid w:val="00032576"/>
    <w:rsid w:val="00032693"/>
    <w:rsid w:val="0003273A"/>
    <w:rsid w:val="00032774"/>
    <w:rsid w:val="0003287E"/>
    <w:rsid w:val="000328C0"/>
    <w:rsid w:val="00032982"/>
    <w:rsid w:val="00032997"/>
    <w:rsid w:val="00032A1D"/>
    <w:rsid w:val="00032BAC"/>
    <w:rsid w:val="00032BB0"/>
    <w:rsid w:val="00032BCC"/>
    <w:rsid w:val="00032C33"/>
    <w:rsid w:val="00032D63"/>
    <w:rsid w:val="00032E70"/>
    <w:rsid w:val="00032FB3"/>
    <w:rsid w:val="00033253"/>
    <w:rsid w:val="000332AB"/>
    <w:rsid w:val="00033365"/>
    <w:rsid w:val="0003344C"/>
    <w:rsid w:val="0003348C"/>
    <w:rsid w:val="00033501"/>
    <w:rsid w:val="00033607"/>
    <w:rsid w:val="0003361C"/>
    <w:rsid w:val="000336B1"/>
    <w:rsid w:val="00033788"/>
    <w:rsid w:val="00033828"/>
    <w:rsid w:val="000338C1"/>
    <w:rsid w:val="00033921"/>
    <w:rsid w:val="000339C6"/>
    <w:rsid w:val="00033A6F"/>
    <w:rsid w:val="00033AD9"/>
    <w:rsid w:val="00033B10"/>
    <w:rsid w:val="00033B9A"/>
    <w:rsid w:val="00033D17"/>
    <w:rsid w:val="00033EC6"/>
    <w:rsid w:val="00034263"/>
    <w:rsid w:val="000342F2"/>
    <w:rsid w:val="0003436F"/>
    <w:rsid w:val="00034482"/>
    <w:rsid w:val="0003455C"/>
    <w:rsid w:val="000345BB"/>
    <w:rsid w:val="00034680"/>
    <w:rsid w:val="00034819"/>
    <w:rsid w:val="00034955"/>
    <w:rsid w:val="00034A5D"/>
    <w:rsid w:val="00034A8E"/>
    <w:rsid w:val="00034AAC"/>
    <w:rsid w:val="00034AFB"/>
    <w:rsid w:val="00034BBD"/>
    <w:rsid w:val="00034BFD"/>
    <w:rsid w:val="00034C3A"/>
    <w:rsid w:val="00034C60"/>
    <w:rsid w:val="00034CAE"/>
    <w:rsid w:val="00034E25"/>
    <w:rsid w:val="00035086"/>
    <w:rsid w:val="000350A9"/>
    <w:rsid w:val="000350E7"/>
    <w:rsid w:val="0003514E"/>
    <w:rsid w:val="000352AF"/>
    <w:rsid w:val="000353AE"/>
    <w:rsid w:val="00035478"/>
    <w:rsid w:val="0003548F"/>
    <w:rsid w:val="000354D3"/>
    <w:rsid w:val="0003561C"/>
    <w:rsid w:val="00035875"/>
    <w:rsid w:val="000358B6"/>
    <w:rsid w:val="00035FA0"/>
    <w:rsid w:val="00035FDB"/>
    <w:rsid w:val="000360C9"/>
    <w:rsid w:val="000361E9"/>
    <w:rsid w:val="000362F9"/>
    <w:rsid w:val="000365AE"/>
    <w:rsid w:val="00036782"/>
    <w:rsid w:val="000367DD"/>
    <w:rsid w:val="000367EC"/>
    <w:rsid w:val="00036802"/>
    <w:rsid w:val="000369D9"/>
    <w:rsid w:val="000369F3"/>
    <w:rsid w:val="00036ABB"/>
    <w:rsid w:val="00036BEC"/>
    <w:rsid w:val="00036D1E"/>
    <w:rsid w:val="00036D45"/>
    <w:rsid w:val="00037033"/>
    <w:rsid w:val="000370A0"/>
    <w:rsid w:val="000370CC"/>
    <w:rsid w:val="000370DF"/>
    <w:rsid w:val="0003724E"/>
    <w:rsid w:val="000372C3"/>
    <w:rsid w:val="000373CA"/>
    <w:rsid w:val="0003740E"/>
    <w:rsid w:val="00037424"/>
    <w:rsid w:val="00037612"/>
    <w:rsid w:val="000376E3"/>
    <w:rsid w:val="0003775E"/>
    <w:rsid w:val="000377B4"/>
    <w:rsid w:val="000377F3"/>
    <w:rsid w:val="000379D2"/>
    <w:rsid w:val="00037B5D"/>
    <w:rsid w:val="00037BC8"/>
    <w:rsid w:val="00037BF5"/>
    <w:rsid w:val="00037CB5"/>
    <w:rsid w:val="00037CDA"/>
    <w:rsid w:val="00037E75"/>
    <w:rsid w:val="00037F0F"/>
    <w:rsid w:val="00040040"/>
    <w:rsid w:val="000402BD"/>
    <w:rsid w:val="0004032E"/>
    <w:rsid w:val="000403EF"/>
    <w:rsid w:val="0004061C"/>
    <w:rsid w:val="00040640"/>
    <w:rsid w:val="0004099B"/>
    <w:rsid w:val="00040A7C"/>
    <w:rsid w:val="00040A84"/>
    <w:rsid w:val="00040D05"/>
    <w:rsid w:val="00040D7F"/>
    <w:rsid w:val="00040E49"/>
    <w:rsid w:val="00040E61"/>
    <w:rsid w:val="00040E70"/>
    <w:rsid w:val="00040F25"/>
    <w:rsid w:val="00040F6D"/>
    <w:rsid w:val="0004101C"/>
    <w:rsid w:val="0004103C"/>
    <w:rsid w:val="000410A4"/>
    <w:rsid w:val="0004119C"/>
    <w:rsid w:val="00041280"/>
    <w:rsid w:val="000412C3"/>
    <w:rsid w:val="00041374"/>
    <w:rsid w:val="000414D3"/>
    <w:rsid w:val="00041520"/>
    <w:rsid w:val="00041820"/>
    <w:rsid w:val="00041901"/>
    <w:rsid w:val="0004194A"/>
    <w:rsid w:val="00041982"/>
    <w:rsid w:val="00041A2F"/>
    <w:rsid w:val="00041B19"/>
    <w:rsid w:val="00041C66"/>
    <w:rsid w:val="00041DFF"/>
    <w:rsid w:val="00041EA1"/>
    <w:rsid w:val="00041FE4"/>
    <w:rsid w:val="00042033"/>
    <w:rsid w:val="00042066"/>
    <w:rsid w:val="00042169"/>
    <w:rsid w:val="000422A7"/>
    <w:rsid w:val="000423EC"/>
    <w:rsid w:val="00042647"/>
    <w:rsid w:val="00042688"/>
    <w:rsid w:val="000428ED"/>
    <w:rsid w:val="00042946"/>
    <w:rsid w:val="00042969"/>
    <w:rsid w:val="0004297C"/>
    <w:rsid w:val="00042A76"/>
    <w:rsid w:val="00042ADA"/>
    <w:rsid w:val="00042B77"/>
    <w:rsid w:val="00042EF9"/>
    <w:rsid w:val="0004305C"/>
    <w:rsid w:val="000430EE"/>
    <w:rsid w:val="00043311"/>
    <w:rsid w:val="00043356"/>
    <w:rsid w:val="00043384"/>
    <w:rsid w:val="000434A9"/>
    <w:rsid w:val="00043601"/>
    <w:rsid w:val="00043630"/>
    <w:rsid w:val="00043988"/>
    <w:rsid w:val="00043BF4"/>
    <w:rsid w:val="00043DA4"/>
    <w:rsid w:val="00043E3B"/>
    <w:rsid w:val="00043F1A"/>
    <w:rsid w:val="00043F36"/>
    <w:rsid w:val="00043F91"/>
    <w:rsid w:val="000440E0"/>
    <w:rsid w:val="0004411A"/>
    <w:rsid w:val="00044130"/>
    <w:rsid w:val="0004417B"/>
    <w:rsid w:val="000441DE"/>
    <w:rsid w:val="00044242"/>
    <w:rsid w:val="000442FC"/>
    <w:rsid w:val="000443E3"/>
    <w:rsid w:val="000445D1"/>
    <w:rsid w:val="0004471D"/>
    <w:rsid w:val="0004484A"/>
    <w:rsid w:val="00044889"/>
    <w:rsid w:val="0004489C"/>
    <w:rsid w:val="00044B69"/>
    <w:rsid w:val="00044B7A"/>
    <w:rsid w:val="00044C71"/>
    <w:rsid w:val="00044C77"/>
    <w:rsid w:val="00044DB5"/>
    <w:rsid w:val="00044DBB"/>
    <w:rsid w:val="00044F48"/>
    <w:rsid w:val="00045210"/>
    <w:rsid w:val="0004544A"/>
    <w:rsid w:val="00045526"/>
    <w:rsid w:val="00045599"/>
    <w:rsid w:val="00045617"/>
    <w:rsid w:val="0004562E"/>
    <w:rsid w:val="000458ED"/>
    <w:rsid w:val="000458F6"/>
    <w:rsid w:val="00045ABF"/>
    <w:rsid w:val="00045AD0"/>
    <w:rsid w:val="00045B11"/>
    <w:rsid w:val="00045CC7"/>
    <w:rsid w:val="00045DB5"/>
    <w:rsid w:val="00045E25"/>
    <w:rsid w:val="00045F10"/>
    <w:rsid w:val="00045FBE"/>
    <w:rsid w:val="00046052"/>
    <w:rsid w:val="000460D7"/>
    <w:rsid w:val="0004617A"/>
    <w:rsid w:val="00046198"/>
    <w:rsid w:val="000461FD"/>
    <w:rsid w:val="00046369"/>
    <w:rsid w:val="000464EE"/>
    <w:rsid w:val="0004654B"/>
    <w:rsid w:val="000465CF"/>
    <w:rsid w:val="000466B9"/>
    <w:rsid w:val="000466DB"/>
    <w:rsid w:val="00046ABD"/>
    <w:rsid w:val="00046B49"/>
    <w:rsid w:val="00046BE5"/>
    <w:rsid w:val="00046C76"/>
    <w:rsid w:val="00046E33"/>
    <w:rsid w:val="00046E52"/>
    <w:rsid w:val="00046F2B"/>
    <w:rsid w:val="00046F72"/>
    <w:rsid w:val="00046FF0"/>
    <w:rsid w:val="0004716D"/>
    <w:rsid w:val="000472CD"/>
    <w:rsid w:val="000472D0"/>
    <w:rsid w:val="0004733E"/>
    <w:rsid w:val="000474AE"/>
    <w:rsid w:val="000474D3"/>
    <w:rsid w:val="00047557"/>
    <w:rsid w:val="00047618"/>
    <w:rsid w:val="0004763B"/>
    <w:rsid w:val="00047678"/>
    <w:rsid w:val="0004779D"/>
    <w:rsid w:val="000477DD"/>
    <w:rsid w:val="000477F1"/>
    <w:rsid w:val="00047878"/>
    <w:rsid w:val="00047A36"/>
    <w:rsid w:val="00047AC7"/>
    <w:rsid w:val="00047AEE"/>
    <w:rsid w:val="00047B8E"/>
    <w:rsid w:val="00047CD0"/>
    <w:rsid w:val="00047CF5"/>
    <w:rsid w:val="00047CF8"/>
    <w:rsid w:val="00047EAE"/>
    <w:rsid w:val="00047EE8"/>
    <w:rsid w:val="00047F05"/>
    <w:rsid w:val="00050078"/>
    <w:rsid w:val="000501A6"/>
    <w:rsid w:val="00050206"/>
    <w:rsid w:val="00050234"/>
    <w:rsid w:val="00050344"/>
    <w:rsid w:val="00050481"/>
    <w:rsid w:val="000504C9"/>
    <w:rsid w:val="00050568"/>
    <w:rsid w:val="000507B2"/>
    <w:rsid w:val="000509A1"/>
    <w:rsid w:val="00050A52"/>
    <w:rsid w:val="00050DE4"/>
    <w:rsid w:val="00050E05"/>
    <w:rsid w:val="00050EAE"/>
    <w:rsid w:val="00050F29"/>
    <w:rsid w:val="00050F43"/>
    <w:rsid w:val="00050FF0"/>
    <w:rsid w:val="00051085"/>
    <w:rsid w:val="000510CC"/>
    <w:rsid w:val="000510D5"/>
    <w:rsid w:val="000512EA"/>
    <w:rsid w:val="0005139C"/>
    <w:rsid w:val="000513B7"/>
    <w:rsid w:val="00051429"/>
    <w:rsid w:val="0005144F"/>
    <w:rsid w:val="0005148C"/>
    <w:rsid w:val="00051499"/>
    <w:rsid w:val="000514FE"/>
    <w:rsid w:val="00051586"/>
    <w:rsid w:val="000515A9"/>
    <w:rsid w:val="000516E1"/>
    <w:rsid w:val="0005192B"/>
    <w:rsid w:val="0005193B"/>
    <w:rsid w:val="0005199B"/>
    <w:rsid w:val="00051AA0"/>
    <w:rsid w:val="00051BC2"/>
    <w:rsid w:val="00051C92"/>
    <w:rsid w:val="00051ED1"/>
    <w:rsid w:val="00051F05"/>
    <w:rsid w:val="00052024"/>
    <w:rsid w:val="00052204"/>
    <w:rsid w:val="000522A5"/>
    <w:rsid w:val="000523EA"/>
    <w:rsid w:val="00052453"/>
    <w:rsid w:val="000524BD"/>
    <w:rsid w:val="00052813"/>
    <w:rsid w:val="00052839"/>
    <w:rsid w:val="00052914"/>
    <w:rsid w:val="00052988"/>
    <w:rsid w:val="000529F6"/>
    <w:rsid w:val="00052ABB"/>
    <w:rsid w:val="00052B47"/>
    <w:rsid w:val="00052FFF"/>
    <w:rsid w:val="000530C4"/>
    <w:rsid w:val="00053119"/>
    <w:rsid w:val="000531E1"/>
    <w:rsid w:val="00053249"/>
    <w:rsid w:val="000532AF"/>
    <w:rsid w:val="000533FF"/>
    <w:rsid w:val="000534DB"/>
    <w:rsid w:val="0005356D"/>
    <w:rsid w:val="00053588"/>
    <w:rsid w:val="0005367C"/>
    <w:rsid w:val="000536CB"/>
    <w:rsid w:val="00053737"/>
    <w:rsid w:val="000537D3"/>
    <w:rsid w:val="000537DC"/>
    <w:rsid w:val="0005392B"/>
    <w:rsid w:val="00053963"/>
    <w:rsid w:val="00053A01"/>
    <w:rsid w:val="00053AC4"/>
    <w:rsid w:val="00053B6E"/>
    <w:rsid w:val="00053BD6"/>
    <w:rsid w:val="00053DF5"/>
    <w:rsid w:val="00053E02"/>
    <w:rsid w:val="00053E4B"/>
    <w:rsid w:val="00053EC2"/>
    <w:rsid w:val="00053F76"/>
    <w:rsid w:val="000540EA"/>
    <w:rsid w:val="0005413F"/>
    <w:rsid w:val="000541E4"/>
    <w:rsid w:val="000542F6"/>
    <w:rsid w:val="000544EB"/>
    <w:rsid w:val="000545A6"/>
    <w:rsid w:val="00054710"/>
    <w:rsid w:val="00054835"/>
    <w:rsid w:val="0005493A"/>
    <w:rsid w:val="0005496A"/>
    <w:rsid w:val="00054AA4"/>
    <w:rsid w:val="00054BDB"/>
    <w:rsid w:val="00054D27"/>
    <w:rsid w:val="00054DC7"/>
    <w:rsid w:val="00054DD8"/>
    <w:rsid w:val="00054EE1"/>
    <w:rsid w:val="00054EFF"/>
    <w:rsid w:val="00054F98"/>
    <w:rsid w:val="00054FE3"/>
    <w:rsid w:val="000551C0"/>
    <w:rsid w:val="00055237"/>
    <w:rsid w:val="0005527B"/>
    <w:rsid w:val="0005530E"/>
    <w:rsid w:val="0005541A"/>
    <w:rsid w:val="00055438"/>
    <w:rsid w:val="00055513"/>
    <w:rsid w:val="00055568"/>
    <w:rsid w:val="00055586"/>
    <w:rsid w:val="000555B3"/>
    <w:rsid w:val="000555E4"/>
    <w:rsid w:val="000556A7"/>
    <w:rsid w:val="00055B11"/>
    <w:rsid w:val="00055C15"/>
    <w:rsid w:val="00055C25"/>
    <w:rsid w:val="00055D0F"/>
    <w:rsid w:val="00055D73"/>
    <w:rsid w:val="00055ED4"/>
    <w:rsid w:val="00055FB9"/>
    <w:rsid w:val="000560B2"/>
    <w:rsid w:val="0005619B"/>
    <w:rsid w:val="000561FB"/>
    <w:rsid w:val="00056275"/>
    <w:rsid w:val="0005630B"/>
    <w:rsid w:val="00056429"/>
    <w:rsid w:val="000564F6"/>
    <w:rsid w:val="0005654A"/>
    <w:rsid w:val="0005654D"/>
    <w:rsid w:val="0005660F"/>
    <w:rsid w:val="0005668B"/>
    <w:rsid w:val="0005673F"/>
    <w:rsid w:val="00056849"/>
    <w:rsid w:val="00056CA9"/>
    <w:rsid w:val="00056D00"/>
    <w:rsid w:val="00056DB3"/>
    <w:rsid w:val="00056DFA"/>
    <w:rsid w:val="00056E35"/>
    <w:rsid w:val="00056E44"/>
    <w:rsid w:val="00056F2D"/>
    <w:rsid w:val="00056F35"/>
    <w:rsid w:val="00056F5C"/>
    <w:rsid w:val="00057184"/>
    <w:rsid w:val="000571C5"/>
    <w:rsid w:val="00057264"/>
    <w:rsid w:val="00057304"/>
    <w:rsid w:val="00057305"/>
    <w:rsid w:val="00057372"/>
    <w:rsid w:val="00057390"/>
    <w:rsid w:val="000573AA"/>
    <w:rsid w:val="000573AE"/>
    <w:rsid w:val="000573E6"/>
    <w:rsid w:val="00057413"/>
    <w:rsid w:val="000574A0"/>
    <w:rsid w:val="000574F1"/>
    <w:rsid w:val="00057623"/>
    <w:rsid w:val="0005765C"/>
    <w:rsid w:val="000576C6"/>
    <w:rsid w:val="00057767"/>
    <w:rsid w:val="0005782D"/>
    <w:rsid w:val="0005791A"/>
    <w:rsid w:val="00057CF1"/>
    <w:rsid w:val="00057D29"/>
    <w:rsid w:val="00057D4C"/>
    <w:rsid w:val="00057F05"/>
    <w:rsid w:val="00057FD8"/>
    <w:rsid w:val="0005D75A"/>
    <w:rsid w:val="0006024B"/>
    <w:rsid w:val="0006027D"/>
    <w:rsid w:val="0006036B"/>
    <w:rsid w:val="00060421"/>
    <w:rsid w:val="00060452"/>
    <w:rsid w:val="000606DE"/>
    <w:rsid w:val="00060703"/>
    <w:rsid w:val="0006078C"/>
    <w:rsid w:val="00060827"/>
    <w:rsid w:val="0006085D"/>
    <w:rsid w:val="00060978"/>
    <w:rsid w:val="00060B01"/>
    <w:rsid w:val="00060C95"/>
    <w:rsid w:val="00060CB8"/>
    <w:rsid w:val="00060EA1"/>
    <w:rsid w:val="00060EFD"/>
    <w:rsid w:val="00060F88"/>
    <w:rsid w:val="0006106B"/>
    <w:rsid w:val="000610D8"/>
    <w:rsid w:val="00061165"/>
    <w:rsid w:val="0006125B"/>
    <w:rsid w:val="00061270"/>
    <w:rsid w:val="000612ED"/>
    <w:rsid w:val="00061491"/>
    <w:rsid w:val="000614EA"/>
    <w:rsid w:val="00061645"/>
    <w:rsid w:val="0006169C"/>
    <w:rsid w:val="0006174E"/>
    <w:rsid w:val="00061801"/>
    <w:rsid w:val="0006185C"/>
    <w:rsid w:val="0006194F"/>
    <w:rsid w:val="00061A0B"/>
    <w:rsid w:val="00061A94"/>
    <w:rsid w:val="00061B25"/>
    <w:rsid w:val="00061BCF"/>
    <w:rsid w:val="00061BFB"/>
    <w:rsid w:val="00061CBA"/>
    <w:rsid w:val="00061F23"/>
    <w:rsid w:val="00061FE2"/>
    <w:rsid w:val="0006204B"/>
    <w:rsid w:val="000621D5"/>
    <w:rsid w:val="00062223"/>
    <w:rsid w:val="000623F6"/>
    <w:rsid w:val="00062539"/>
    <w:rsid w:val="0006261D"/>
    <w:rsid w:val="000626AB"/>
    <w:rsid w:val="000627A5"/>
    <w:rsid w:val="00062800"/>
    <w:rsid w:val="000628FF"/>
    <w:rsid w:val="00062930"/>
    <w:rsid w:val="00062981"/>
    <w:rsid w:val="00062999"/>
    <w:rsid w:val="00062B73"/>
    <w:rsid w:val="00062BC6"/>
    <w:rsid w:val="00062D1D"/>
    <w:rsid w:val="00062D71"/>
    <w:rsid w:val="00062E32"/>
    <w:rsid w:val="00062E63"/>
    <w:rsid w:val="00062ECC"/>
    <w:rsid w:val="000630A9"/>
    <w:rsid w:val="00063187"/>
    <w:rsid w:val="000631B2"/>
    <w:rsid w:val="00063324"/>
    <w:rsid w:val="00063476"/>
    <w:rsid w:val="0006348B"/>
    <w:rsid w:val="0006353C"/>
    <w:rsid w:val="00063706"/>
    <w:rsid w:val="000637BA"/>
    <w:rsid w:val="0006392A"/>
    <w:rsid w:val="00063A12"/>
    <w:rsid w:val="00063BA6"/>
    <w:rsid w:val="00063C51"/>
    <w:rsid w:val="00063E37"/>
    <w:rsid w:val="00063FB6"/>
    <w:rsid w:val="000641BB"/>
    <w:rsid w:val="0006455D"/>
    <w:rsid w:val="000645CA"/>
    <w:rsid w:val="00064873"/>
    <w:rsid w:val="000648F8"/>
    <w:rsid w:val="00064958"/>
    <w:rsid w:val="0006496E"/>
    <w:rsid w:val="000649C9"/>
    <w:rsid w:val="00064A2B"/>
    <w:rsid w:val="00064AB8"/>
    <w:rsid w:val="00064F78"/>
    <w:rsid w:val="00065002"/>
    <w:rsid w:val="0006501A"/>
    <w:rsid w:val="0006503E"/>
    <w:rsid w:val="0006511D"/>
    <w:rsid w:val="000651E2"/>
    <w:rsid w:val="00065276"/>
    <w:rsid w:val="000652AE"/>
    <w:rsid w:val="000652E3"/>
    <w:rsid w:val="0006536F"/>
    <w:rsid w:val="00065495"/>
    <w:rsid w:val="000654A4"/>
    <w:rsid w:val="00065631"/>
    <w:rsid w:val="00065667"/>
    <w:rsid w:val="00065691"/>
    <w:rsid w:val="00065879"/>
    <w:rsid w:val="000658D9"/>
    <w:rsid w:val="000658ED"/>
    <w:rsid w:val="00065A09"/>
    <w:rsid w:val="00065A32"/>
    <w:rsid w:val="00065C15"/>
    <w:rsid w:val="00065C57"/>
    <w:rsid w:val="00065FD2"/>
    <w:rsid w:val="00065FF1"/>
    <w:rsid w:val="00066066"/>
    <w:rsid w:val="00066306"/>
    <w:rsid w:val="00066314"/>
    <w:rsid w:val="000663C0"/>
    <w:rsid w:val="000664FC"/>
    <w:rsid w:val="00066508"/>
    <w:rsid w:val="0006652F"/>
    <w:rsid w:val="0006659B"/>
    <w:rsid w:val="00066674"/>
    <w:rsid w:val="00066802"/>
    <w:rsid w:val="0006690F"/>
    <w:rsid w:val="00066918"/>
    <w:rsid w:val="0006694A"/>
    <w:rsid w:val="00066A59"/>
    <w:rsid w:val="00066B62"/>
    <w:rsid w:val="00066D43"/>
    <w:rsid w:val="00066F04"/>
    <w:rsid w:val="00066F55"/>
    <w:rsid w:val="00066F7C"/>
    <w:rsid w:val="0006707C"/>
    <w:rsid w:val="000670A4"/>
    <w:rsid w:val="000670BE"/>
    <w:rsid w:val="00067177"/>
    <w:rsid w:val="000673A4"/>
    <w:rsid w:val="000673D0"/>
    <w:rsid w:val="00067590"/>
    <w:rsid w:val="000675B9"/>
    <w:rsid w:val="000677AA"/>
    <w:rsid w:val="000677BB"/>
    <w:rsid w:val="00067820"/>
    <w:rsid w:val="00067870"/>
    <w:rsid w:val="00067931"/>
    <w:rsid w:val="00067A4A"/>
    <w:rsid w:val="00067BAD"/>
    <w:rsid w:val="00067BFD"/>
    <w:rsid w:val="00067C3C"/>
    <w:rsid w:val="00067D1E"/>
    <w:rsid w:val="00067D6E"/>
    <w:rsid w:val="00067EA4"/>
    <w:rsid w:val="00067EE3"/>
    <w:rsid w:val="00067F16"/>
    <w:rsid w:val="00067FB3"/>
    <w:rsid w:val="0007001C"/>
    <w:rsid w:val="0007013C"/>
    <w:rsid w:val="0007024C"/>
    <w:rsid w:val="000703AF"/>
    <w:rsid w:val="000703FB"/>
    <w:rsid w:val="00070511"/>
    <w:rsid w:val="00070532"/>
    <w:rsid w:val="00070695"/>
    <w:rsid w:val="000707DB"/>
    <w:rsid w:val="0007098A"/>
    <w:rsid w:val="000709D8"/>
    <w:rsid w:val="00070B43"/>
    <w:rsid w:val="00070B47"/>
    <w:rsid w:val="00070BD8"/>
    <w:rsid w:val="00070CCD"/>
    <w:rsid w:val="00070D91"/>
    <w:rsid w:val="00070DCA"/>
    <w:rsid w:val="00070ED7"/>
    <w:rsid w:val="00070F0C"/>
    <w:rsid w:val="00071022"/>
    <w:rsid w:val="0007103B"/>
    <w:rsid w:val="000711B5"/>
    <w:rsid w:val="00071227"/>
    <w:rsid w:val="00071235"/>
    <w:rsid w:val="00071266"/>
    <w:rsid w:val="0007145B"/>
    <w:rsid w:val="000715F3"/>
    <w:rsid w:val="00071623"/>
    <w:rsid w:val="0007162F"/>
    <w:rsid w:val="00071666"/>
    <w:rsid w:val="000716B3"/>
    <w:rsid w:val="000716FC"/>
    <w:rsid w:val="00071799"/>
    <w:rsid w:val="00071839"/>
    <w:rsid w:val="0007193D"/>
    <w:rsid w:val="00071966"/>
    <w:rsid w:val="00071A1A"/>
    <w:rsid w:val="00071DDA"/>
    <w:rsid w:val="00071E83"/>
    <w:rsid w:val="00071FE2"/>
    <w:rsid w:val="00071FEA"/>
    <w:rsid w:val="000721F5"/>
    <w:rsid w:val="0007247E"/>
    <w:rsid w:val="0007248C"/>
    <w:rsid w:val="000724F2"/>
    <w:rsid w:val="0007258C"/>
    <w:rsid w:val="000726B9"/>
    <w:rsid w:val="000726C4"/>
    <w:rsid w:val="00072755"/>
    <w:rsid w:val="00072758"/>
    <w:rsid w:val="000727B8"/>
    <w:rsid w:val="000727BA"/>
    <w:rsid w:val="00072973"/>
    <w:rsid w:val="000729BA"/>
    <w:rsid w:val="00072A42"/>
    <w:rsid w:val="00072A56"/>
    <w:rsid w:val="00072BA2"/>
    <w:rsid w:val="00072E0D"/>
    <w:rsid w:val="00072E57"/>
    <w:rsid w:val="00072EF6"/>
    <w:rsid w:val="00072F20"/>
    <w:rsid w:val="00072F72"/>
    <w:rsid w:val="00072FDB"/>
    <w:rsid w:val="0007306C"/>
    <w:rsid w:val="000730D3"/>
    <w:rsid w:val="000731A5"/>
    <w:rsid w:val="000731C7"/>
    <w:rsid w:val="000732FF"/>
    <w:rsid w:val="0007334E"/>
    <w:rsid w:val="0007336F"/>
    <w:rsid w:val="00073535"/>
    <w:rsid w:val="00073609"/>
    <w:rsid w:val="0007367C"/>
    <w:rsid w:val="0007382E"/>
    <w:rsid w:val="0007385B"/>
    <w:rsid w:val="00073863"/>
    <w:rsid w:val="000738B3"/>
    <w:rsid w:val="0007396D"/>
    <w:rsid w:val="000739B9"/>
    <w:rsid w:val="00073AA8"/>
    <w:rsid w:val="00073B2F"/>
    <w:rsid w:val="00073EEB"/>
    <w:rsid w:val="00073FCE"/>
    <w:rsid w:val="000740E6"/>
    <w:rsid w:val="00074210"/>
    <w:rsid w:val="000742AF"/>
    <w:rsid w:val="000742B0"/>
    <w:rsid w:val="00074429"/>
    <w:rsid w:val="000745C4"/>
    <w:rsid w:val="000745D4"/>
    <w:rsid w:val="000745DB"/>
    <w:rsid w:val="00074934"/>
    <w:rsid w:val="00074968"/>
    <w:rsid w:val="00074D4B"/>
    <w:rsid w:val="00074DC1"/>
    <w:rsid w:val="00074DDE"/>
    <w:rsid w:val="00074F95"/>
    <w:rsid w:val="000754CD"/>
    <w:rsid w:val="000754D8"/>
    <w:rsid w:val="00075833"/>
    <w:rsid w:val="0007586A"/>
    <w:rsid w:val="000758B6"/>
    <w:rsid w:val="00075A05"/>
    <w:rsid w:val="00075A4E"/>
    <w:rsid w:val="00075B5B"/>
    <w:rsid w:val="00075B87"/>
    <w:rsid w:val="00075CAB"/>
    <w:rsid w:val="00075DAD"/>
    <w:rsid w:val="00075FCB"/>
    <w:rsid w:val="0007621A"/>
    <w:rsid w:val="00076333"/>
    <w:rsid w:val="00076448"/>
    <w:rsid w:val="0007652D"/>
    <w:rsid w:val="00076601"/>
    <w:rsid w:val="000766F2"/>
    <w:rsid w:val="0007671C"/>
    <w:rsid w:val="000767DE"/>
    <w:rsid w:val="000768CD"/>
    <w:rsid w:val="000769E4"/>
    <w:rsid w:val="00076AF7"/>
    <w:rsid w:val="00076C09"/>
    <w:rsid w:val="00076C32"/>
    <w:rsid w:val="00076D74"/>
    <w:rsid w:val="00076E5F"/>
    <w:rsid w:val="00076F11"/>
    <w:rsid w:val="00076FBA"/>
    <w:rsid w:val="0007703E"/>
    <w:rsid w:val="000770D9"/>
    <w:rsid w:val="0007711F"/>
    <w:rsid w:val="0007713C"/>
    <w:rsid w:val="00077176"/>
    <w:rsid w:val="0007718F"/>
    <w:rsid w:val="000772C5"/>
    <w:rsid w:val="000772CB"/>
    <w:rsid w:val="000772F4"/>
    <w:rsid w:val="000773EB"/>
    <w:rsid w:val="0007747A"/>
    <w:rsid w:val="000774BB"/>
    <w:rsid w:val="00077530"/>
    <w:rsid w:val="000775A2"/>
    <w:rsid w:val="000775C0"/>
    <w:rsid w:val="000775CB"/>
    <w:rsid w:val="000776D1"/>
    <w:rsid w:val="000777DB"/>
    <w:rsid w:val="00077849"/>
    <w:rsid w:val="000778C3"/>
    <w:rsid w:val="00077932"/>
    <w:rsid w:val="00077AB3"/>
    <w:rsid w:val="00077DC8"/>
    <w:rsid w:val="00080027"/>
    <w:rsid w:val="0008028E"/>
    <w:rsid w:val="0008031A"/>
    <w:rsid w:val="000803A9"/>
    <w:rsid w:val="00080425"/>
    <w:rsid w:val="00080472"/>
    <w:rsid w:val="0008054A"/>
    <w:rsid w:val="00080558"/>
    <w:rsid w:val="00080645"/>
    <w:rsid w:val="00080646"/>
    <w:rsid w:val="00080710"/>
    <w:rsid w:val="00080751"/>
    <w:rsid w:val="000807C3"/>
    <w:rsid w:val="0008089F"/>
    <w:rsid w:val="00080951"/>
    <w:rsid w:val="00080B6C"/>
    <w:rsid w:val="00080CB6"/>
    <w:rsid w:val="00080D1E"/>
    <w:rsid w:val="0008109B"/>
    <w:rsid w:val="0008119C"/>
    <w:rsid w:val="0008127C"/>
    <w:rsid w:val="000813CB"/>
    <w:rsid w:val="0008144E"/>
    <w:rsid w:val="00081570"/>
    <w:rsid w:val="00081647"/>
    <w:rsid w:val="000816D9"/>
    <w:rsid w:val="0008179D"/>
    <w:rsid w:val="00081827"/>
    <w:rsid w:val="00081A0F"/>
    <w:rsid w:val="00081A9A"/>
    <w:rsid w:val="00081AF5"/>
    <w:rsid w:val="00081BBF"/>
    <w:rsid w:val="00081BC9"/>
    <w:rsid w:val="00081D19"/>
    <w:rsid w:val="00081D27"/>
    <w:rsid w:val="00081D5E"/>
    <w:rsid w:val="00081DDF"/>
    <w:rsid w:val="00081F5A"/>
    <w:rsid w:val="00082019"/>
    <w:rsid w:val="0008227E"/>
    <w:rsid w:val="0008231D"/>
    <w:rsid w:val="000824F4"/>
    <w:rsid w:val="000825F1"/>
    <w:rsid w:val="00082643"/>
    <w:rsid w:val="00082778"/>
    <w:rsid w:val="00082827"/>
    <w:rsid w:val="000828B0"/>
    <w:rsid w:val="000829B0"/>
    <w:rsid w:val="00082A36"/>
    <w:rsid w:val="00082D3D"/>
    <w:rsid w:val="00082D48"/>
    <w:rsid w:val="00082D8F"/>
    <w:rsid w:val="00082E12"/>
    <w:rsid w:val="00082E88"/>
    <w:rsid w:val="00082EAE"/>
    <w:rsid w:val="00082F5D"/>
    <w:rsid w:val="00082F8B"/>
    <w:rsid w:val="00082FF9"/>
    <w:rsid w:val="000833A3"/>
    <w:rsid w:val="0008342B"/>
    <w:rsid w:val="000835ED"/>
    <w:rsid w:val="00083684"/>
    <w:rsid w:val="000837DD"/>
    <w:rsid w:val="000838C8"/>
    <w:rsid w:val="00083A2D"/>
    <w:rsid w:val="00083AA7"/>
    <w:rsid w:val="00083B54"/>
    <w:rsid w:val="00083BD5"/>
    <w:rsid w:val="00083C9B"/>
    <w:rsid w:val="00083E3C"/>
    <w:rsid w:val="00083E4C"/>
    <w:rsid w:val="00083EC2"/>
    <w:rsid w:val="00083F3B"/>
    <w:rsid w:val="00084240"/>
    <w:rsid w:val="00084275"/>
    <w:rsid w:val="00084351"/>
    <w:rsid w:val="000843FD"/>
    <w:rsid w:val="00084476"/>
    <w:rsid w:val="00084571"/>
    <w:rsid w:val="000845E3"/>
    <w:rsid w:val="000846E9"/>
    <w:rsid w:val="00084A23"/>
    <w:rsid w:val="00084AA1"/>
    <w:rsid w:val="00084AF7"/>
    <w:rsid w:val="00084C64"/>
    <w:rsid w:val="00084D61"/>
    <w:rsid w:val="00084EA8"/>
    <w:rsid w:val="00084F09"/>
    <w:rsid w:val="0008500B"/>
    <w:rsid w:val="000851B6"/>
    <w:rsid w:val="000852C6"/>
    <w:rsid w:val="00085349"/>
    <w:rsid w:val="00085456"/>
    <w:rsid w:val="000855D8"/>
    <w:rsid w:val="00085698"/>
    <w:rsid w:val="00085716"/>
    <w:rsid w:val="0008593D"/>
    <w:rsid w:val="000859C1"/>
    <w:rsid w:val="00085AC0"/>
    <w:rsid w:val="00085AF3"/>
    <w:rsid w:val="00085C37"/>
    <w:rsid w:val="00085CF3"/>
    <w:rsid w:val="00085DDB"/>
    <w:rsid w:val="00085EAA"/>
    <w:rsid w:val="00085EDB"/>
    <w:rsid w:val="0008647B"/>
    <w:rsid w:val="000864AB"/>
    <w:rsid w:val="00086625"/>
    <w:rsid w:val="00086778"/>
    <w:rsid w:val="000868DF"/>
    <w:rsid w:val="0008695C"/>
    <w:rsid w:val="00086ACF"/>
    <w:rsid w:val="00086AE1"/>
    <w:rsid w:val="00086D62"/>
    <w:rsid w:val="00086DAC"/>
    <w:rsid w:val="00086E7B"/>
    <w:rsid w:val="0008713B"/>
    <w:rsid w:val="0008717F"/>
    <w:rsid w:val="00087196"/>
    <w:rsid w:val="000872A4"/>
    <w:rsid w:val="000872C4"/>
    <w:rsid w:val="000873DE"/>
    <w:rsid w:val="0008756A"/>
    <w:rsid w:val="00087618"/>
    <w:rsid w:val="000879D7"/>
    <w:rsid w:val="00087A21"/>
    <w:rsid w:val="00087A39"/>
    <w:rsid w:val="00087D13"/>
    <w:rsid w:val="00087D29"/>
    <w:rsid w:val="00087D91"/>
    <w:rsid w:val="00087EF0"/>
    <w:rsid w:val="00087F54"/>
    <w:rsid w:val="00087F7F"/>
    <w:rsid w:val="00090063"/>
    <w:rsid w:val="000901E8"/>
    <w:rsid w:val="00090271"/>
    <w:rsid w:val="00090384"/>
    <w:rsid w:val="0009042F"/>
    <w:rsid w:val="0009078A"/>
    <w:rsid w:val="0009081A"/>
    <w:rsid w:val="00090A68"/>
    <w:rsid w:val="00090B18"/>
    <w:rsid w:val="00090C50"/>
    <w:rsid w:val="00090C63"/>
    <w:rsid w:val="00090D74"/>
    <w:rsid w:val="00090DA7"/>
    <w:rsid w:val="00090DBD"/>
    <w:rsid w:val="00090E70"/>
    <w:rsid w:val="0009102C"/>
    <w:rsid w:val="00091179"/>
    <w:rsid w:val="000911D6"/>
    <w:rsid w:val="00091304"/>
    <w:rsid w:val="00091332"/>
    <w:rsid w:val="00091544"/>
    <w:rsid w:val="0009162F"/>
    <w:rsid w:val="00091741"/>
    <w:rsid w:val="000917D2"/>
    <w:rsid w:val="0009189D"/>
    <w:rsid w:val="00091938"/>
    <w:rsid w:val="000919DD"/>
    <w:rsid w:val="00091C31"/>
    <w:rsid w:val="00091C40"/>
    <w:rsid w:val="00091C5E"/>
    <w:rsid w:val="00091D2C"/>
    <w:rsid w:val="00091D79"/>
    <w:rsid w:val="00091DB1"/>
    <w:rsid w:val="00091E7F"/>
    <w:rsid w:val="00091F67"/>
    <w:rsid w:val="00092026"/>
    <w:rsid w:val="000920D4"/>
    <w:rsid w:val="00092379"/>
    <w:rsid w:val="000923AE"/>
    <w:rsid w:val="000923BE"/>
    <w:rsid w:val="00092460"/>
    <w:rsid w:val="00092630"/>
    <w:rsid w:val="00092770"/>
    <w:rsid w:val="00092790"/>
    <w:rsid w:val="00092938"/>
    <w:rsid w:val="00092B4B"/>
    <w:rsid w:val="00092C0E"/>
    <w:rsid w:val="00092E95"/>
    <w:rsid w:val="00092F66"/>
    <w:rsid w:val="00093176"/>
    <w:rsid w:val="000933D7"/>
    <w:rsid w:val="0009340D"/>
    <w:rsid w:val="000934F3"/>
    <w:rsid w:val="00093A15"/>
    <w:rsid w:val="00093A65"/>
    <w:rsid w:val="00093BA3"/>
    <w:rsid w:val="00093CC7"/>
    <w:rsid w:val="00094114"/>
    <w:rsid w:val="0009412D"/>
    <w:rsid w:val="00094295"/>
    <w:rsid w:val="00094340"/>
    <w:rsid w:val="00094344"/>
    <w:rsid w:val="0009437D"/>
    <w:rsid w:val="00094554"/>
    <w:rsid w:val="0009458D"/>
    <w:rsid w:val="000945A9"/>
    <w:rsid w:val="00094656"/>
    <w:rsid w:val="0009469A"/>
    <w:rsid w:val="0009474A"/>
    <w:rsid w:val="00094813"/>
    <w:rsid w:val="0009485B"/>
    <w:rsid w:val="00094915"/>
    <w:rsid w:val="00094B7B"/>
    <w:rsid w:val="00094B9F"/>
    <w:rsid w:val="00094D2E"/>
    <w:rsid w:val="00094EB7"/>
    <w:rsid w:val="000950CD"/>
    <w:rsid w:val="000950F9"/>
    <w:rsid w:val="0009510D"/>
    <w:rsid w:val="0009531C"/>
    <w:rsid w:val="000954C5"/>
    <w:rsid w:val="00095504"/>
    <w:rsid w:val="0009556F"/>
    <w:rsid w:val="00095748"/>
    <w:rsid w:val="00095770"/>
    <w:rsid w:val="0009589C"/>
    <w:rsid w:val="00095B29"/>
    <w:rsid w:val="00095C0F"/>
    <w:rsid w:val="00095C24"/>
    <w:rsid w:val="00095EA0"/>
    <w:rsid w:val="000961B8"/>
    <w:rsid w:val="000961CC"/>
    <w:rsid w:val="00096241"/>
    <w:rsid w:val="0009643F"/>
    <w:rsid w:val="00096443"/>
    <w:rsid w:val="0009649B"/>
    <w:rsid w:val="000965DF"/>
    <w:rsid w:val="00096605"/>
    <w:rsid w:val="00096655"/>
    <w:rsid w:val="0009687B"/>
    <w:rsid w:val="00096965"/>
    <w:rsid w:val="000969A8"/>
    <w:rsid w:val="00096A20"/>
    <w:rsid w:val="00096B55"/>
    <w:rsid w:val="00096B9E"/>
    <w:rsid w:val="00096BD0"/>
    <w:rsid w:val="00096CB0"/>
    <w:rsid w:val="00096CE2"/>
    <w:rsid w:val="00097021"/>
    <w:rsid w:val="0009703E"/>
    <w:rsid w:val="000970BB"/>
    <w:rsid w:val="000970DC"/>
    <w:rsid w:val="00097100"/>
    <w:rsid w:val="00097107"/>
    <w:rsid w:val="00097144"/>
    <w:rsid w:val="000971A8"/>
    <w:rsid w:val="00097255"/>
    <w:rsid w:val="00097392"/>
    <w:rsid w:val="000973C5"/>
    <w:rsid w:val="000973C9"/>
    <w:rsid w:val="0009741A"/>
    <w:rsid w:val="000976B6"/>
    <w:rsid w:val="000977C3"/>
    <w:rsid w:val="00097838"/>
    <w:rsid w:val="00097854"/>
    <w:rsid w:val="0009793E"/>
    <w:rsid w:val="000979BA"/>
    <w:rsid w:val="00097AC9"/>
    <w:rsid w:val="00097BA1"/>
    <w:rsid w:val="00097C27"/>
    <w:rsid w:val="00097C8E"/>
    <w:rsid w:val="00097CA7"/>
    <w:rsid w:val="00097CE9"/>
    <w:rsid w:val="00097E38"/>
    <w:rsid w:val="00097E83"/>
    <w:rsid w:val="00097ECF"/>
    <w:rsid w:val="00097F4D"/>
    <w:rsid w:val="00097FDB"/>
    <w:rsid w:val="000A005D"/>
    <w:rsid w:val="000A006F"/>
    <w:rsid w:val="000A0075"/>
    <w:rsid w:val="000A0186"/>
    <w:rsid w:val="000A02FA"/>
    <w:rsid w:val="000A032C"/>
    <w:rsid w:val="000A0359"/>
    <w:rsid w:val="000A064F"/>
    <w:rsid w:val="000A06D3"/>
    <w:rsid w:val="000A09BB"/>
    <w:rsid w:val="000A0AC2"/>
    <w:rsid w:val="000A0C15"/>
    <w:rsid w:val="000A0CC1"/>
    <w:rsid w:val="000A0D1E"/>
    <w:rsid w:val="000A0D8D"/>
    <w:rsid w:val="000A0D90"/>
    <w:rsid w:val="000A0ECD"/>
    <w:rsid w:val="000A0F1C"/>
    <w:rsid w:val="000A1034"/>
    <w:rsid w:val="000A1161"/>
    <w:rsid w:val="000A1228"/>
    <w:rsid w:val="000A1342"/>
    <w:rsid w:val="000A1395"/>
    <w:rsid w:val="000A14A8"/>
    <w:rsid w:val="000A14E6"/>
    <w:rsid w:val="000A1609"/>
    <w:rsid w:val="000A168E"/>
    <w:rsid w:val="000A16F6"/>
    <w:rsid w:val="000A176B"/>
    <w:rsid w:val="000A1798"/>
    <w:rsid w:val="000A180F"/>
    <w:rsid w:val="000A18DF"/>
    <w:rsid w:val="000A18E1"/>
    <w:rsid w:val="000A1A32"/>
    <w:rsid w:val="000A1BAF"/>
    <w:rsid w:val="000A1C3D"/>
    <w:rsid w:val="000A1D20"/>
    <w:rsid w:val="000A1D6C"/>
    <w:rsid w:val="000A1D99"/>
    <w:rsid w:val="000A1DA2"/>
    <w:rsid w:val="000A1EE0"/>
    <w:rsid w:val="000A20BE"/>
    <w:rsid w:val="000A2279"/>
    <w:rsid w:val="000A23A5"/>
    <w:rsid w:val="000A2686"/>
    <w:rsid w:val="000A2735"/>
    <w:rsid w:val="000A284C"/>
    <w:rsid w:val="000A2856"/>
    <w:rsid w:val="000A28F8"/>
    <w:rsid w:val="000A29D8"/>
    <w:rsid w:val="000A2A0E"/>
    <w:rsid w:val="000A2B1F"/>
    <w:rsid w:val="000A2B2C"/>
    <w:rsid w:val="000A2BE8"/>
    <w:rsid w:val="000A2D2A"/>
    <w:rsid w:val="000A2D31"/>
    <w:rsid w:val="000A2E07"/>
    <w:rsid w:val="000A2EAE"/>
    <w:rsid w:val="000A2F46"/>
    <w:rsid w:val="000A2FDC"/>
    <w:rsid w:val="000A3252"/>
    <w:rsid w:val="000A32C0"/>
    <w:rsid w:val="000A3329"/>
    <w:rsid w:val="000A34D4"/>
    <w:rsid w:val="000A35AF"/>
    <w:rsid w:val="000A37DD"/>
    <w:rsid w:val="000A37FE"/>
    <w:rsid w:val="000A3872"/>
    <w:rsid w:val="000A3887"/>
    <w:rsid w:val="000A38B1"/>
    <w:rsid w:val="000A3971"/>
    <w:rsid w:val="000A3B88"/>
    <w:rsid w:val="000A3F5D"/>
    <w:rsid w:val="000A3FA3"/>
    <w:rsid w:val="000A406F"/>
    <w:rsid w:val="000A40A2"/>
    <w:rsid w:val="000A410D"/>
    <w:rsid w:val="000A41BD"/>
    <w:rsid w:val="000A4503"/>
    <w:rsid w:val="000A455C"/>
    <w:rsid w:val="000A45A2"/>
    <w:rsid w:val="000A463B"/>
    <w:rsid w:val="000A49F0"/>
    <w:rsid w:val="000A4A45"/>
    <w:rsid w:val="000A4BA3"/>
    <w:rsid w:val="000A4C49"/>
    <w:rsid w:val="000A4DBC"/>
    <w:rsid w:val="000A4DD0"/>
    <w:rsid w:val="000A4E7B"/>
    <w:rsid w:val="000A4F23"/>
    <w:rsid w:val="000A5084"/>
    <w:rsid w:val="000A50E5"/>
    <w:rsid w:val="000A51AA"/>
    <w:rsid w:val="000A525A"/>
    <w:rsid w:val="000A52C3"/>
    <w:rsid w:val="000A53DF"/>
    <w:rsid w:val="000A5416"/>
    <w:rsid w:val="000A56A0"/>
    <w:rsid w:val="000A56E5"/>
    <w:rsid w:val="000A56EC"/>
    <w:rsid w:val="000A57B2"/>
    <w:rsid w:val="000A57DC"/>
    <w:rsid w:val="000A5879"/>
    <w:rsid w:val="000A589D"/>
    <w:rsid w:val="000A59AA"/>
    <w:rsid w:val="000A59C4"/>
    <w:rsid w:val="000A5B12"/>
    <w:rsid w:val="000A5B3D"/>
    <w:rsid w:val="000A5C2E"/>
    <w:rsid w:val="000A5C51"/>
    <w:rsid w:val="000A61FC"/>
    <w:rsid w:val="000A6220"/>
    <w:rsid w:val="000A62DF"/>
    <w:rsid w:val="000A62ED"/>
    <w:rsid w:val="000A6315"/>
    <w:rsid w:val="000A63C4"/>
    <w:rsid w:val="000A64D5"/>
    <w:rsid w:val="000A6578"/>
    <w:rsid w:val="000A659F"/>
    <w:rsid w:val="000A6642"/>
    <w:rsid w:val="000A6673"/>
    <w:rsid w:val="000A676D"/>
    <w:rsid w:val="000A67F9"/>
    <w:rsid w:val="000A689D"/>
    <w:rsid w:val="000A68F0"/>
    <w:rsid w:val="000A695F"/>
    <w:rsid w:val="000A6A73"/>
    <w:rsid w:val="000A6A80"/>
    <w:rsid w:val="000A6AAF"/>
    <w:rsid w:val="000A6B61"/>
    <w:rsid w:val="000A6C34"/>
    <w:rsid w:val="000A6EC2"/>
    <w:rsid w:val="000A6F23"/>
    <w:rsid w:val="000A70B3"/>
    <w:rsid w:val="000A7307"/>
    <w:rsid w:val="000A74F4"/>
    <w:rsid w:val="000A75FB"/>
    <w:rsid w:val="000A766D"/>
    <w:rsid w:val="000A78AF"/>
    <w:rsid w:val="000A7A37"/>
    <w:rsid w:val="000A7A5E"/>
    <w:rsid w:val="000A7B16"/>
    <w:rsid w:val="000A7B59"/>
    <w:rsid w:val="000A7D29"/>
    <w:rsid w:val="000A7EC3"/>
    <w:rsid w:val="000A7FCF"/>
    <w:rsid w:val="000B00F5"/>
    <w:rsid w:val="000B014F"/>
    <w:rsid w:val="000B0170"/>
    <w:rsid w:val="000B0292"/>
    <w:rsid w:val="000B0438"/>
    <w:rsid w:val="000B048A"/>
    <w:rsid w:val="000B0523"/>
    <w:rsid w:val="000B05AC"/>
    <w:rsid w:val="000B05C9"/>
    <w:rsid w:val="000B0695"/>
    <w:rsid w:val="000B076F"/>
    <w:rsid w:val="000B0A08"/>
    <w:rsid w:val="000B0A7E"/>
    <w:rsid w:val="000B0AB7"/>
    <w:rsid w:val="000B0AF3"/>
    <w:rsid w:val="000B0B4D"/>
    <w:rsid w:val="000B0C36"/>
    <w:rsid w:val="000B0CCA"/>
    <w:rsid w:val="000B0DB1"/>
    <w:rsid w:val="000B0E63"/>
    <w:rsid w:val="000B0F57"/>
    <w:rsid w:val="000B0F6C"/>
    <w:rsid w:val="000B103D"/>
    <w:rsid w:val="000B1115"/>
    <w:rsid w:val="000B1249"/>
    <w:rsid w:val="000B129B"/>
    <w:rsid w:val="000B143F"/>
    <w:rsid w:val="000B14B6"/>
    <w:rsid w:val="000B156A"/>
    <w:rsid w:val="000B157A"/>
    <w:rsid w:val="000B15BD"/>
    <w:rsid w:val="000B16E4"/>
    <w:rsid w:val="000B172E"/>
    <w:rsid w:val="000B173A"/>
    <w:rsid w:val="000B1812"/>
    <w:rsid w:val="000B18CA"/>
    <w:rsid w:val="000B1915"/>
    <w:rsid w:val="000B1949"/>
    <w:rsid w:val="000B195C"/>
    <w:rsid w:val="000B19E2"/>
    <w:rsid w:val="000B1A98"/>
    <w:rsid w:val="000B1C3C"/>
    <w:rsid w:val="000B1D1C"/>
    <w:rsid w:val="000B1EF1"/>
    <w:rsid w:val="000B1FD2"/>
    <w:rsid w:val="000B1FDD"/>
    <w:rsid w:val="000B2027"/>
    <w:rsid w:val="000B2043"/>
    <w:rsid w:val="000B225B"/>
    <w:rsid w:val="000B22BC"/>
    <w:rsid w:val="000B2345"/>
    <w:rsid w:val="000B2349"/>
    <w:rsid w:val="000B23C2"/>
    <w:rsid w:val="000B26DD"/>
    <w:rsid w:val="000B2767"/>
    <w:rsid w:val="000B2A22"/>
    <w:rsid w:val="000B2B26"/>
    <w:rsid w:val="000B2BEE"/>
    <w:rsid w:val="000B2C3C"/>
    <w:rsid w:val="000B2C90"/>
    <w:rsid w:val="000B2D13"/>
    <w:rsid w:val="000B2D92"/>
    <w:rsid w:val="000B2E1A"/>
    <w:rsid w:val="000B2E38"/>
    <w:rsid w:val="000B2E3D"/>
    <w:rsid w:val="000B2EA7"/>
    <w:rsid w:val="000B2F10"/>
    <w:rsid w:val="000B2F19"/>
    <w:rsid w:val="000B2F28"/>
    <w:rsid w:val="000B3093"/>
    <w:rsid w:val="000B30AF"/>
    <w:rsid w:val="000B30B4"/>
    <w:rsid w:val="000B32BF"/>
    <w:rsid w:val="000B33EF"/>
    <w:rsid w:val="000B341E"/>
    <w:rsid w:val="000B3453"/>
    <w:rsid w:val="000B34F7"/>
    <w:rsid w:val="000B35FD"/>
    <w:rsid w:val="000B39E5"/>
    <w:rsid w:val="000B3A85"/>
    <w:rsid w:val="000B3B8A"/>
    <w:rsid w:val="000B3BB6"/>
    <w:rsid w:val="000B3BC1"/>
    <w:rsid w:val="000B3C23"/>
    <w:rsid w:val="000B3E4A"/>
    <w:rsid w:val="000B3E5A"/>
    <w:rsid w:val="000B3E98"/>
    <w:rsid w:val="000B3EE5"/>
    <w:rsid w:val="000B3F8C"/>
    <w:rsid w:val="000B3F94"/>
    <w:rsid w:val="000B3FEA"/>
    <w:rsid w:val="000B43B4"/>
    <w:rsid w:val="000B43E5"/>
    <w:rsid w:val="000B4404"/>
    <w:rsid w:val="000B442C"/>
    <w:rsid w:val="000B44B8"/>
    <w:rsid w:val="000B45AE"/>
    <w:rsid w:val="000B461A"/>
    <w:rsid w:val="000B4693"/>
    <w:rsid w:val="000B46F9"/>
    <w:rsid w:val="000B4702"/>
    <w:rsid w:val="000B473F"/>
    <w:rsid w:val="000B4767"/>
    <w:rsid w:val="000B476B"/>
    <w:rsid w:val="000B49A1"/>
    <w:rsid w:val="000B4AA3"/>
    <w:rsid w:val="000B4ACF"/>
    <w:rsid w:val="000B4B73"/>
    <w:rsid w:val="000B4C6C"/>
    <w:rsid w:val="000B4CA0"/>
    <w:rsid w:val="000B4D11"/>
    <w:rsid w:val="000B4D94"/>
    <w:rsid w:val="000B4EFA"/>
    <w:rsid w:val="000B4F47"/>
    <w:rsid w:val="000B50C5"/>
    <w:rsid w:val="000B50CB"/>
    <w:rsid w:val="000B51AD"/>
    <w:rsid w:val="000B52DE"/>
    <w:rsid w:val="000B533D"/>
    <w:rsid w:val="000B5348"/>
    <w:rsid w:val="000B548D"/>
    <w:rsid w:val="000B54EA"/>
    <w:rsid w:val="000B5568"/>
    <w:rsid w:val="000B588B"/>
    <w:rsid w:val="000B59DD"/>
    <w:rsid w:val="000B5B66"/>
    <w:rsid w:val="000B5C58"/>
    <w:rsid w:val="000B5C5B"/>
    <w:rsid w:val="000B5C76"/>
    <w:rsid w:val="000B5D0E"/>
    <w:rsid w:val="000B5D31"/>
    <w:rsid w:val="000B5D49"/>
    <w:rsid w:val="000B5FB0"/>
    <w:rsid w:val="000B6012"/>
    <w:rsid w:val="000B6173"/>
    <w:rsid w:val="000B6382"/>
    <w:rsid w:val="000B6390"/>
    <w:rsid w:val="000B641A"/>
    <w:rsid w:val="000B645C"/>
    <w:rsid w:val="000B6496"/>
    <w:rsid w:val="000B64C2"/>
    <w:rsid w:val="000B6579"/>
    <w:rsid w:val="000B660F"/>
    <w:rsid w:val="000B6630"/>
    <w:rsid w:val="000B6640"/>
    <w:rsid w:val="000B6819"/>
    <w:rsid w:val="000B68C8"/>
    <w:rsid w:val="000B68D7"/>
    <w:rsid w:val="000B6A58"/>
    <w:rsid w:val="000B6E1F"/>
    <w:rsid w:val="000B6E83"/>
    <w:rsid w:val="000B6F27"/>
    <w:rsid w:val="000B700F"/>
    <w:rsid w:val="000B7036"/>
    <w:rsid w:val="000B7046"/>
    <w:rsid w:val="000B709E"/>
    <w:rsid w:val="000B70D7"/>
    <w:rsid w:val="000B71B3"/>
    <w:rsid w:val="000B7208"/>
    <w:rsid w:val="000B72D6"/>
    <w:rsid w:val="000B72F1"/>
    <w:rsid w:val="000B740A"/>
    <w:rsid w:val="000B74B3"/>
    <w:rsid w:val="000B7678"/>
    <w:rsid w:val="000B7837"/>
    <w:rsid w:val="000B7942"/>
    <w:rsid w:val="000B7A6E"/>
    <w:rsid w:val="000B7AF7"/>
    <w:rsid w:val="000B7BCD"/>
    <w:rsid w:val="000B7BF3"/>
    <w:rsid w:val="000B7D15"/>
    <w:rsid w:val="000B7DED"/>
    <w:rsid w:val="000B7EEA"/>
    <w:rsid w:val="000C020C"/>
    <w:rsid w:val="000C02E4"/>
    <w:rsid w:val="000C031F"/>
    <w:rsid w:val="000C0490"/>
    <w:rsid w:val="000C04B5"/>
    <w:rsid w:val="000C051A"/>
    <w:rsid w:val="000C06E8"/>
    <w:rsid w:val="000C083A"/>
    <w:rsid w:val="000C0A44"/>
    <w:rsid w:val="000C0B10"/>
    <w:rsid w:val="000C0C6C"/>
    <w:rsid w:val="000C0C75"/>
    <w:rsid w:val="000C0CA1"/>
    <w:rsid w:val="000C0CDF"/>
    <w:rsid w:val="000C0E25"/>
    <w:rsid w:val="000C0EE0"/>
    <w:rsid w:val="000C10EF"/>
    <w:rsid w:val="000C1194"/>
    <w:rsid w:val="000C13D6"/>
    <w:rsid w:val="000C1430"/>
    <w:rsid w:val="000C1498"/>
    <w:rsid w:val="000C14B3"/>
    <w:rsid w:val="000C14DB"/>
    <w:rsid w:val="000C1842"/>
    <w:rsid w:val="000C18F6"/>
    <w:rsid w:val="000C1968"/>
    <w:rsid w:val="000C1C11"/>
    <w:rsid w:val="000C1C51"/>
    <w:rsid w:val="000C1C9B"/>
    <w:rsid w:val="000C1D4E"/>
    <w:rsid w:val="000C1E39"/>
    <w:rsid w:val="000C1E7D"/>
    <w:rsid w:val="000C1F4A"/>
    <w:rsid w:val="000C1FDE"/>
    <w:rsid w:val="000C2009"/>
    <w:rsid w:val="000C231C"/>
    <w:rsid w:val="000C2385"/>
    <w:rsid w:val="000C23C2"/>
    <w:rsid w:val="000C2452"/>
    <w:rsid w:val="000C2502"/>
    <w:rsid w:val="000C2573"/>
    <w:rsid w:val="000C2691"/>
    <w:rsid w:val="000C284A"/>
    <w:rsid w:val="000C2855"/>
    <w:rsid w:val="000C296B"/>
    <w:rsid w:val="000C2989"/>
    <w:rsid w:val="000C2A3F"/>
    <w:rsid w:val="000C2ADD"/>
    <w:rsid w:val="000C2D78"/>
    <w:rsid w:val="000C2EED"/>
    <w:rsid w:val="000C2EF9"/>
    <w:rsid w:val="000C2F50"/>
    <w:rsid w:val="000C2FDE"/>
    <w:rsid w:val="000C3052"/>
    <w:rsid w:val="000C31A8"/>
    <w:rsid w:val="000C31DA"/>
    <w:rsid w:val="000C321B"/>
    <w:rsid w:val="000C32BA"/>
    <w:rsid w:val="000C3342"/>
    <w:rsid w:val="000C336A"/>
    <w:rsid w:val="000C336E"/>
    <w:rsid w:val="000C3384"/>
    <w:rsid w:val="000C33AF"/>
    <w:rsid w:val="000C3402"/>
    <w:rsid w:val="000C34E2"/>
    <w:rsid w:val="000C358C"/>
    <w:rsid w:val="000C36AC"/>
    <w:rsid w:val="000C39FC"/>
    <w:rsid w:val="000C3ABF"/>
    <w:rsid w:val="000C3AFF"/>
    <w:rsid w:val="000C3B13"/>
    <w:rsid w:val="000C3B93"/>
    <w:rsid w:val="000C3BE7"/>
    <w:rsid w:val="000C3C6B"/>
    <w:rsid w:val="000C3E55"/>
    <w:rsid w:val="000C3E6B"/>
    <w:rsid w:val="000C3F8E"/>
    <w:rsid w:val="000C3FDA"/>
    <w:rsid w:val="000C419E"/>
    <w:rsid w:val="000C4271"/>
    <w:rsid w:val="000C42AC"/>
    <w:rsid w:val="000C43F6"/>
    <w:rsid w:val="000C43FA"/>
    <w:rsid w:val="000C4486"/>
    <w:rsid w:val="000C44B3"/>
    <w:rsid w:val="000C44F4"/>
    <w:rsid w:val="000C4666"/>
    <w:rsid w:val="000C4686"/>
    <w:rsid w:val="000C472E"/>
    <w:rsid w:val="000C47C3"/>
    <w:rsid w:val="000C4882"/>
    <w:rsid w:val="000C4ACF"/>
    <w:rsid w:val="000C4AD4"/>
    <w:rsid w:val="000C4C70"/>
    <w:rsid w:val="000C4CE4"/>
    <w:rsid w:val="000C4E15"/>
    <w:rsid w:val="000C4EA6"/>
    <w:rsid w:val="000C4F4C"/>
    <w:rsid w:val="000C5078"/>
    <w:rsid w:val="000C50B6"/>
    <w:rsid w:val="000C50CA"/>
    <w:rsid w:val="000C51F8"/>
    <w:rsid w:val="000C52F2"/>
    <w:rsid w:val="000C52F3"/>
    <w:rsid w:val="000C5371"/>
    <w:rsid w:val="000C54A8"/>
    <w:rsid w:val="000C54C2"/>
    <w:rsid w:val="000C54EB"/>
    <w:rsid w:val="000C5631"/>
    <w:rsid w:val="000C5693"/>
    <w:rsid w:val="000C5771"/>
    <w:rsid w:val="000C58E6"/>
    <w:rsid w:val="000C59D6"/>
    <w:rsid w:val="000C5A13"/>
    <w:rsid w:val="000C5A1D"/>
    <w:rsid w:val="000C5A34"/>
    <w:rsid w:val="000C5A62"/>
    <w:rsid w:val="000C5A6F"/>
    <w:rsid w:val="000C5CA2"/>
    <w:rsid w:val="000C5D13"/>
    <w:rsid w:val="000C5E84"/>
    <w:rsid w:val="000C5F16"/>
    <w:rsid w:val="000C5F72"/>
    <w:rsid w:val="000C5FE7"/>
    <w:rsid w:val="000C653A"/>
    <w:rsid w:val="000C6564"/>
    <w:rsid w:val="000C65D5"/>
    <w:rsid w:val="000C660D"/>
    <w:rsid w:val="000C667C"/>
    <w:rsid w:val="000C6790"/>
    <w:rsid w:val="000C6837"/>
    <w:rsid w:val="000C6925"/>
    <w:rsid w:val="000C6959"/>
    <w:rsid w:val="000C697F"/>
    <w:rsid w:val="000C6980"/>
    <w:rsid w:val="000C69D4"/>
    <w:rsid w:val="000C69E7"/>
    <w:rsid w:val="000C6A32"/>
    <w:rsid w:val="000C6A9F"/>
    <w:rsid w:val="000C6AED"/>
    <w:rsid w:val="000C6B61"/>
    <w:rsid w:val="000C6BA4"/>
    <w:rsid w:val="000C6BAE"/>
    <w:rsid w:val="000C6C0B"/>
    <w:rsid w:val="000C6D7F"/>
    <w:rsid w:val="000C6ED6"/>
    <w:rsid w:val="000C6F5D"/>
    <w:rsid w:val="000C712B"/>
    <w:rsid w:val="000C7170"/>
    <w:rsid w:val="000C71C2"/>
    <w:rsid w:val="000C7217"/>
    <w:rsid w:val="000C7403"/>
    <w:rsid w:val="000C756E"/>
    <w:rsid w:val="000C7585"/>
    <w:rsid w:val="000C789A"/>
    <w:rsid w:val="000C793A"/>
    <w:rsid w:val="000C7A62"/>
    <w:rsid w:val="000C7BB2"/>
    <w:rsid w:val="000C7C81"/>
    <w:rsid w:val="000C7CEA"/>
    <w:rsid w:val="000C7D02"/>
    <w:rsid w:val="000C7DC1"/>
    <w:rsid w:val="000C7DD2"/>
    <w:rsid w:val="000C7F7A"/>
    <w:rsid w:val="000D002B"/>
    <w:rsid w:val="000D0173"/>
    <w:rsid w:val="000D02D8"/>
    <w:rsid w:val="000D02E2"/>
    <w:rsid w:val="000D03F9"/>
    <w:rsid w:val="000D0437"/>
    <w:rsid w:val="000D0882"/>
    <w:rsid w:val="000D0E5C"/>
    <w:rsid w:val="000D0E64"/>
    <w:rsid w:val="000D0EE9"/>
    <w:rsid w:val="000D0F01"/>
    <w:rsid w:val="000D0F4D"/>
    <w:rsid w:val="000D0F53"/>
    <w:rsid w:val="000D0F82"/>
    <w:rsid w:val="000D0F8B"/>
    <w:rsid w:val="000D0FEF"/>
    <w:rsid w:val="000D1018"/>
    <w:rsid w:val="000D101B"/>
    <w:rsid w:val="000D103B"/>
    <w:rsid w:val="000D10E0"/>
    <w:rsid w:val="000D1129"/>
    <w:rsid w:val="000D1332"/>
    <w:rsid w:val="000D1339"/>
    <w:rsid w:val="000D14C8"/>
    <w:rsid w:val="000D14E9"/>
    <w:rsid w:val="000D1590"/>
    <w:rsid w:val="000D16A0"/>
    <w:rsid w:val="000D16BB"/>
    <w:rsid w:val="000D171A"/>
    <w:rsid w:val="000D1734"/>
    <w:rsid w:val="000D187A"/>
    <w:rsid w:val="000D19FB"/>
    <w:rsid w:val="000D1BEB"/>
    <w:rsid w:val="000D1D40"/>
    <w:rsid w:val="000D1D79"/>
    <w:rsid w:val="000D1DA1"/>
    <w:rsid w:val="000D1DEE"/>
    <w:rsid w:val="000D1F01"/>
    <w:rsid w:val="000D1FF9"/>
    <w:rsid w:val="000D22C4"/>
    <w:rsid w:val="000D240A"/>
    <w:rsid w:val="000D2446"/>
    <w:rsid w:val="000D257E"/>
    <w:rsid w:val="000D2634"/>
    <w:rsid w:val="000D2643"/>
    <w:rsid w:val="000D26BF"/>
    <w:rsid w:val="000D279A"/>
    <w:rsid w:val="000D299C"/>
    <w:rsid w:val="000D29BD"/>
    <w:rsid w:val="000D2B49"/>
    <w:rsid w:val="000D2B6A"/>
    <w:rsid w:val="000D2BB5"/>
    <w:rsid w:val="000D2BFE"/>
    <w:rsid w:val="000D2C06"/>
    <w:rsid w:val="000D2EA7"/>
    <w:rsid w:val="000D2FA5"/>
    <w:rsid w:val="000D3007"/>
    <w:rsid w:val="000D3073"/>
    <w:rsid w:val="000D30CC"/>
    <w:rsid w:val="000D31CF"/>
    <w:rsid w:val="000D3203"/>
    <w:rsid w:val="000D327E"/>
    <w:rsid w:val="000D350F"/>
    <w:rsid w:val="000D3634"/>
    <w:rsid w:val="000D380A"/>
    <w:rsid w:val="000D3918"/>
    <w:rsid w:val="000D3A45"/>
    <w:rsid w:val="000D3AAC"/>
    <w:rsid w:val="000D3AED"/>
    <w:rsid w:val="000D3B73"/>
    <w:rsid w:val="000D3BF1"/>
    <w:rsid w:val="000D3DC1"/>
    <w:rsid w:val="000D3E1C"/>
    <w:rsid w:val="000D3E32"/>
    <w:rsid w:val="000D3FD0"/>
    <w:rsid w:val="000D41BC"/>
    <w:rsid w:val="000D4362"/>
    <w:rsid w:val="000D4486"/>
    <w:rsid w:val="000D4488"/>
    <w:rsid w:val="000D44F5"/>
    <w:rsid w:val="000D4716"/>
    <w:rsid w:val="000D484E"/>
    <w:rsid w:val="000D48E3"/>
    <w:rsid w:val="000D48E8"/>
    <w:rsid w:val="000D4930"/>
    <w:rsid w:val="000D4ADF"/>
    <w:rsid w:val="000D4BD7"/>
    <w:rsid w:val="000D4C63"/>
    <w:rsid w:val="000D4E8B"/>
    <w:rsid w:val="000D4ED9"/>
    <w:rsid w:val="000D5004"/>
    <w:rsid w:val="000D500C"/>
    <w:rsid w:val="000D506F"/>
    <w:rsid w:val="000D508C"/>
    <w:rsid w:val="000D50A5"/>
    <w:rsid w:val="000D5108"/>
    <w:rsid w:val="000D51DE"/>
    <w:rsid w:val="000D553F"/>
    <w:rsid w:val="000D55DF"/>
    <w:rsid w:val="000D582F"/>
    <w:rsid w:val="000D58F6"/>
    <w:rsid w:val="000D594B"/>
    <w:rsid w:val="000D5A4C"/>
    <w:rsid w:val="000D5B9F"/>
    <w:rsid w:val="000D5CDD"/>
    <w:rsid w:val="000D5DBA"/>
    <w:rsid w:val="000D5DD6"/>
    <w:rsid w:val="000D5ED1"/>
    <w:rsid w:val="000D5F22"/>
    <w:rsid w:val="000D5F8B"/>
    <w:rsid w:val="000D6014"/>
    <w:rsid w:val="000D6061"/>
    <w:rsid w:val="000D609A"/>
    <w:rsid w:val="000D60CF"/>
    <w:rsid w:val="000D63A9"/>
    <w:rsid w:val="000D63F0"/>
    <w:rsid w:val="000D6459"/>
    <w:rsid w:val="000D6A24"/>
    <w:rsid w:val="000D6A37"/>
    <w:rsid w:val="000D6A98"/>
    <w:rsid w:val="000D6B1C"/>
    <w:rsid w:val="000D6B56"/>
    <w:rsid w:val="000D6CFC"/>
    <w:rsid w:val="000D6D37"/>
    <w:rsid w:val="000D6E03"/>
    <w:rsid w:val="000D6EDE"/>
    <w:rsid w:val="000D6F29"/>
    <w:rsid w:val="000D6FC9"/>
    <w:rsid w:val="000D701D"/>
    <w:rsid w:val="000D7073"/>
    <w:rsid w:val="000D71A3"/>
    <w:rsid w:val="000D71F7"/>
    <w:rsid w:val="000D7284"/>
    <w:rsid w:val="000D72AC"/>
    <w:rsid w:val="000D7333"/>
    <w:rsid w:val="000D73B5"/>
    <w:rsid w:val="000D76F2"/>
    <w:rsid w:val="000D7704"/>
    <w:rsid w:val="000D775A"/>
    <w:rsid w:val="000D7793"/>
    <w:rsid w:val="000D783F"/>
    <w:rsid w:val="000D7880"/>
    <w:rsid w:val="000D788E"/>
    <w:rsid w:val="000D7895"/>
    <w:rsid w:val="000D7955"/>
    <w:rsid w:val="000D798F"/>
    <w:rsid w:val="000D79AC"/>
    <w:rsid w:val="000D7A5C"/>
    <w:rsid w:val="000D7C22"/>
    <w:rsid w:val="000D7C48"/>
    <w:rsid w:val="000E015D"/>
    <w:rsid w:val="000E01D7"/>
    <w:rsid w:val="000E01DA"/>
    <w:rsid w:val="000E02F1"/>
    <w:rsid w:val="000E0599"/>
    <w:rsid w:val="000E05FC"/>
    <w:rsid w:val="000E0864"/>
    <w:rsid w:val="000E0953"/>
    <w:rsid w:val="000E0A48"/>
    <w:rsid w:val="000E0ACA"/>
    <w:rsid w:val="000E0CB2"/>
    <w:rsid w:val="000E0CB8"/>
    <w:rsid w:val="000E0CFE"/>
    <w:rsid w:val="000E0F85"/>
    <w:rsid w:val="000E0FC6"/>
    <w:rsid w:val="000E0FD6"/>
    <w:rsid w:val="000E0FD7"/>
    <w:rsid w:val="000E1097"/>
    <w:rsid w:val="000E1188"/>
    <w:rsid w:val="000E1192"/>
    <w:rsid w:val="000E1222"/>
    <w:rsid w:val="000E132E"/>
    <w:rsid w:val="000E13B8"/>
    <w:rsid w:val="000E14ED"/>
    <w:rsid w:val="000E159D"/>
    <w:rsid w:val="000E16D2"/>
    <w:rsid w:val="000E16E4"/>
    <w:rsid w:val="000E19B9"/>
    <w:rsid w:val="000E1AD8"/>
    <w:rsid w:val="000E1AE9"/>
    <w:rsid w:val="000E1B83"/>
    <w:rsid w:val="000E1C40"/>
    <w:rsid w:val="000E1C42"/>
    <w:rsid w:val="000E1D43"/>
    <w:rsid w:val="000E1D4A"/>
    <w:rsid w:val="000E1DBD"/>
    <w:rsid w:val="000E1DF7"/>
    <w:rsid w:val="000E1E6E"/>
    <w:rsid w:val="000E1ED9"/>
    <w:rsid w:val="000E1FB2"/>
    <w:rsid w:val="000E200B"/>
    <w:rsid w:val="000E21A2"/>
    <w:rsid w:val="000E2221"/>
    <w:rsid w:val="000E2225"/>
    <w:rsid w:val="000E2324"/>
    <w:rsid w:val="000E2348"/>
    <w:rsid w:val="000E245C"/>
    <w:rsid w:val="000E272D"/>
    <w:rsid w:val="000E273D"/>
    <w:rsid w:val="000E27DA"/>
    <w:rsid w:val="000E2836"/>
    <w:rsid w:val="000E2991"/>
    <w:rsid w:val="000E2BC7"/>
    <w:rsid w:val="000E2CD6"/>
    <w:rsid w:val="000E2E6D"/>
    <w:rsid w:val="000E2E73"/>
    <w:rsid w:val="000E30FA"/>
    <w:rsid w:val="000E31E8"/>
    <w:rsid w:val="000E31FB"/>
    <w:rsid w:val="000E3212"/>
    <w:rsid w:val="000E35EE"/>
    <w:rsid w:val="000E36C2"/>
    <w:rsid w:val="000E375C"/>
    <w:rsid w:val="000E37FC"/>
    <w:rsid w:val="000E38E3"/>
    <w:rsid w:val="000E38EA"/>
    <w:rsid w:val="000E3974"/>
    <w:rsid w:val="000E39CD"/>
    <w:rsid w:val="000E3A15"/>
    <w:rsid w:val="000E3B5F"/>
    <w:rsid w:val="000E3C6C"/>
    <w:rsid w:val="000E3C97"/>
    <w:rsid w:val="000E3CB6"/>
    <w:rsid w:val="000E3ED9"/>
    <w:rsid w:val="000E3F2B"/>
    <w:rsid w:val="000E403A"/>
    <w:rsid w:val="000E4339"/>
    <w:rsid w:val="000E437C"/>
    <w:rsid w:val="000E44C9"/>
    <w:rsid w:val="000E458E"/>
    <w:rsid w:val="000E45F7"/>
    <w:rsid w:val="000E4621"/>
    <w:rsid w:val="000E4633"/>
    <w:rsid w:val="000E47B5"/>
    <w:rsid w:val="000E4844"/>
    <w:rsid w:val="000E487D"/>
    <w:rsid w:val="000E48C7"/>
    <w:rsid w:val="000E48D4"/>
    <w:rsid w:val="000E4912"/>
    <w:rsid w:val="000E4BA8"/>
    <w:rsid w:val="000E4BC2"/>
    <w:rsid w:val="000E4CDE"/>
    <w:rsid w:val="000E4E15"/>
    <w:rsid w:val="000E4F02"/>
    <w:rsid w:val="000E4FA2"/>
    <w:rsid w:val="000E4FBF"/>
    <w:rsid w:val="000E5019"/>
    <w:rsid w:val="000E51DB"/>
    <w:rsid w:val="000E52AF"/>
    <w:rsid w:val="000E52C2"/>
    <w:rsid w:val="000E52C4"/>
    <w:rsid w:val="000E53BD"/>
    <w:rsid w:val="000E53FB"/>
    <w:rsid w:val="000E5476"/>
    <w:rsid w:val="000E54CE"/>
    <w:rsid w:val="000E5509"/>
    <w:rsid w:val="000E5724"/>
    <w:rsid w:val="000E581F"/>
    <w:rsid w:val="000E587C"/>
    <w:rsid w:val="000E5BAC"/>
    <w:rsid w:val="000E5BC6"/>
    <w:rsid w:val="000E5C6C"/>
    <w:rsid w:val="000E5E55"/>
    <w:rsid w:val="000E5E5D"/>
    <w:rsid w:val="000E5EF7"/>
    <w:rsid w:val="000E5FDE"/>
    <w:rsid w:val="000E61F6"/>
    <w:rsid w:val="000E61FA"/>
    <w:rsid w:val="000E625D"/>
    <w:rsid w:val="000E6267"/>
    <w:rsid w:val="000E647A"/>
    <w:rsid w:val="000E65D8"/>
    <w:rsid w:val="000E6622"/>
    <w:rsid w:val="000E67AA"/>
    <w:rsid w:val="000E68DC"/>
    <w:rsid w:val="000E6900"/>
    <w:rsid w:val="000E6AF0"/>
    <w:rsid w:val="000E6CB7"/>
    <w:rsid w:val="000E6CE7"/>
    <w:rsid w:val="000E6D30"/>
    <w:rsid w:val="000E6E55"/>
    <w:rsid w:val="000E6F10"/>
    <w:rsid w:val="000E6FCC"/>
    <w:rsid w:val="000E6FFC"/>
    <w:rsid w:val="000E71AF"/>
    <w:rsid w:val="000E720D"/>
    <w:rsid w:val="000E721D"/>
    <w:rsid w:val="000E72E3"/>
    <w:rsid w:val="000E737A"/>
    <w:rsid w:val="000E742C"/>
    <w:rsid w:val="000E7556"/>
    <w:rsid w:val="000E7558"/>
    <w:rsid w:val="000E7572"/>
    <w:rsid w:val="000E75DD"/>
    <w:rsid w:val="000E765F"/>
    <w:rsid w:val="000E76E4"/>
    <w:rsid w:val="000E770F"/>
    <w:rsid w:val="000E7896"/>
    <w:rsid w:val="000E79E1"/>
    <w:rsid w:val="000E7ACF"/>
    <w:rsid w:val="000E7CF3"/>
    <w:rsid w:val="000E7D6E"/>
    <w:rsid w:val="000E7E67"/>
    <w:rsid w:val="000E7E83"/>
    <w:rsid w:val="000F0104"/>
    <w:rsid w:val="000F010A"/>
    <w:rsid w:val="000F020C"/>
    <w:rsid w:val="000F0273"/>
    <w:rsid w:val="000F02C2"/>
    <w:rsid w:val="000F02CE"/>
    <w:rsid w:val="000F0321"/>
    <w:rsid w:val="000F0440"/>
    <w:rsid w:val="000F04CA"/>
    <w:rsid w:val="000F0505"/>
    <w:rsid w:val="000F0778"/>
    <w:rsid w:val="000F080F"/>
    <w:rsid w:val="000F08ED"/>
    <w:rsid w:val="000F08F7"/>
    <w:rsid w:val="000F0A66"/>
    <w:rsid w:val="000F0B71"/>
    <w:rsid w:val="000F0B98"/>
    <w:rsid w:val="000F0BD0"/>
    <w:rsid w:val="000F0C32"/>
    <w:rsid w:val="000F0D0E"/>
    <w:rsid w:val="000F0E0C"/>
    <w:rsid w:val="000F0EA2"/>
    <w:rsid w:val="000F0EBA"/>
    <w:rsid w:val="000F0F97"/>
    <w:rsid w:val="000F1137"/>
    <w:rsid w:val="000F11F1"/>
    <w:rsid w:val="000F1243"/>
    <w:rsid w:val="000F12EB"/>
    <w:rsid w:val="000F133A"/>
    <w:rsid w:val="000F134F"/>
    <w:rsid w:val="000F167D"/>
    <w:rsid w:val="000F17CC"/>
    <w:rsid w:val="000F18EC"/>
    <w:rsid w:val="000F1979"/>
    <w:rsid w:val="000F1A20"/>
    <w:rsid w:val="000F1A7F"/>
    <w:rsid w:val="000F1CB9"/>
    <w:rsid w:val="000F1CE1"/>
    <w:rsid w:val="000F1D07"/>
    <w:rsid w:val="000F1DD4"/>
    <w:rsid w:val="000F208E"/>
    <w:rsid w:val="000F2191"/>
    <w:rsid w:val="000F227C"/>
    <w:rsid w:val="000F22E6"/>
    <w:rsid w:val="000F2323"/>
    <w:rsid w:val="000F2404"/>
    <w:rsid w:val="000F24D1"/>
    <w:rsid w:val="000F259C"/>
    <w:rsid w:val="000F2675"/>
    <w:rsid w:val="000F2692"/>
    <w:rsid w:val="000F26A1"/>
    <w:rsid w:val="000F2942"/>
    <w:rsid w:val="000F2A0B"/>
    <w:rsid w:val="000F2B40"/>
    <w:rsid w:val="000F2B89"/>
    <w:rsid w:val="000F2B8B"/>
    <w:rsid w:val="000F2D3F"/>
    <w:rsid w:val="000F2E5F"/>
    <w:rsid w:val="000F2FB0"/>
    <w:rsid w:val="000F301E"/>
    <w:rsid w:val="000F3190"/>
    <w:rsid w:val="000F31E5"/>
    <w:rsid w:val="000F33E9"/>
    <w:rsid w:val="000F3408"/>
    <w:rsid w:val="000F34A9"/>
    <w:rsid w:val="000F34E8"/>
    <w:rsid w:val="000F36A0"/>
    <w:rsid w:val="000F36DC"/>
    <w:rsid w:val="000F385E"/>
    <w:rsid w:val="000F388A"/>
    <w:rsid w:val="000F3905"/>
    <w:rsid w:val="000F39A0"/>
    <w:rsid w:val="000F3BFB"/>
    <w:rsid w:val="000F3CF2"/>
    <w:rsid w:val="000F3D38"/>
    <w:rsid w:val="000F3DDF"/>
    <w:rsid w:val="000F4072"/>
    <w:rsid w:val="000F414A"/>
    <w:rsid w:val="000F41C1"/>
    <w:rsid w:val="000F4268"/>
    <w:rsid w:val="000F42D2"/>
    <w:rsid w:val="000F437C"/>
    <w:rsid w:val="000F455E"/>
    <w:rsid w:val="000F47CA"/>
    <w:rsid w:val="000F480A"/>
    <w:rsid w:val="000F48E3"/>
    <w:rsid w:val="000F4906"/>
    <w:rsid w:val="000F4A01"/>
    <w:rsid w:val="000F4BDC"/>
    <w:rsid w:val="000F4C2A"/>
    <w:rsid w:val="000F4C8E"/>
    <w:rsid w:val="000F4E2D"/>
    <w:rsid w:val="000F4EDE"/>
    <w:rsid w:val="000F50A8"/>
    <w:rsid w:val="000F528E"/>
    <w:rsid w:val="000F52E4"/>
    <w:rsid w:val="000F534B"/>
    <w:rsid w:val="000F537C"/>
    <w:rsid w:val="000F539A"/>
    <w:rsid w:val="000F551A"/>
    <w:rsid w:val="000F5716"/>
    <w:rsid w:val="000F5846"/>
    <w:rsid w:val="000F5958"/>
    <w:rsid w:val="000F5990"/>
    <w:rsid w:val="000F5A8E"/>
    <w:rsid w:val="000F5CF7"/>
    <w:rsid w:val="000F5D6F"/>
    <w:rsid w:val="000F5E1F"/>
    <w:rsid w:val="000F5EAE"/>
    <w:rsid w:val="000F5F18"/>
    <w:rsid w:val="000F6047"/>
    <w:rsid w:val="000F609D"/>
    <w:rsid w:val="000F6160"/>
    <w:rsid w:val="000F6164"/>
    <w:rsid w:val="000F6186"/>
    <w:rsid w:val="000F61AB"/>
    <w:rsid w:val="000F61E3"/>
    <w:rsid w:val="000F6220"/>
    <w:rsid w:val="000F63B2"/>
    <w:rsid w:val="000F63C2"/>
    <w:rsid w:val="000F64F2"/>
    <w:rsid w:val="000F6717"/>
    <w:rsid w:val="000F675B"/>
    <w:rsid w:val="000F67F9"/>
    <w:rsid w:val="000F6868"/>
    <w:rsid w:val="000F687B"/>
    <w:rsid w:val="000F6A12"/>
    <w:rsid w:val="000F6B2D"/>
    <w:rsid w:val="000F6CD6"/>
    <w:rsid w:val="000F6D22"/>
    <w:rsid w:val="000F6D45"/>
    <w:rsid w:val="000F6DDA"/>
    <w:rsid w:val="000F6E15"/>
    <w:rsid w:val="000F71E4"/>
    <w:rsid w:val="000F7287"/>
    <w:rsid w:val="000F72BB"/>
    <w:rsid w:val="000F7463"/>
    <w:rsid w:val="000F770D"/>
    <w:rsid w:val="000F77D4"/>
    <w:rsid w:val="000F77EC"/>
    <w:rsid w:val="000F7885"/>
    <w:rsid w:val="000F795F"/>
    <w:rsid w:val="000F7B65"/>
    <w:rsid w:val="000F7CC5"/>
    <w:rsid w:val="000F7CCF"/>
    <w:rsid w:val="000F7D91"/>
    <w:rsid w:val="000F7FEE"/>
    <w:rsid w:val="0010016C"/>
    <w:rsid w:val="0010019E"/>
    <w:rsid w:val="001003F7"/>
    <w:rsid w:val="00100411"/>
    <w:rsid w:val="00100437"/>
    <w:rsid w:val="0010063C"/>
    <w:rsid w:val="001006D2"/>
    <w:rsid w:val="00100790"/>
    <w:rsid w:val="0010089B"/>
    <w:rsid w:val="00100ADE"/>
    <w:rsid w:val="00100AE7"/>
    <w:rsid w:val="00100D24"/>
    <w:rsid w:val="00100D65"/>
    <w:rsid w:val="00100DA1"/>
    <w:rsid w:val="00100EEA"/>
    <w:rsid w:val="00100FBD"/>
    <w:rsid w:val="00100FD1"/>
    <w:rsid w:val="001011AE"/>
    <w:rsid w:val="00101371"/>
    <w:rsid w:val="001013E1"/>
    <w:rsid w:val="0010152B"/>
    <w:rsid w:val="00101568"/>
    <w:rsid w:val="001015DD"/>
    <w:rsid w:val="001015EC"/>
    <w:rsid w:val="0010161C"/>
    <w:rsid w:val="001016E3"/>
    <w:rsid w:val="00101745"/>
    <w:rsid w:val="00101950"/>
    <w:rsid w:val="001019B8"/>
    <w:rsid w:val="00101A90"/>
    <w:rsid w:val="00101AEF"/>
    <w:rsid w:val="00101B47"/>
    <w:rsid w:val="00101B8F"/>
    <w:rsid w:val="00101C16"/>
    <w:rsid w:val="00101C4A"/>
    <w:rsid w:val="00101C86"/>
    <w:rsid w:val="00101C9B"/>
    <w:rsid w:val="00101E74"/>
    <w:rsid w:val="00101FE8"/>
    <w:rsid w:val="0010201F"/>
    <w:rsid w:val="0010202C"/>
    <w:rsid w:val="00102090"/>
    <w:rsid w:val="001020D3"/>
    <w:rsid w:val="00102230"/>
    <w:rsid w:val="001022E8"/>
    <w:rsid w:val="0010234E"/>
    <w:rsid w:val="0010240C"/>
    <w:rsid w:val="0010269A"/>
    <w:rsid w:val="00102789"/>
    <w:rsid w:val="001028AC"/>
    <w:rsid w:val="0010296F"/>
    <w:rsid w:val="001029A8"/>
    <w:rsid w:val="00102D92"/>
    <w:rsid w:val="00102DBC"/>
    <w:rsid w:val="00103074"/>
    <w:rsid w:val="0010308D"/>
    <w:rsid w:val="00103120"/>
    <w:rsid w:val="00103140"/>
    <w:rsid w:val="0010321E"/>
    <w:rsid w:val="00103222"/>
    <w:rsid w:val="00103285"/>
    <w:rsid w:val="00103372"/>
    <w:rsid w:val="00103417"/>
    <w:rsid w:val="00103457"/>
    <w:rsid w:val="00103469"/>
    <w:rsid w:val="001035BE"/>
    <w:rsid w:val="0010363E"/>
    <w:rsid w:val="00103731"/>
    <w:rsid w:val="00103800"/>
    <w:rsid w:val="00103811"/>
    <w:rsid w:val="00103886"/>
    <w:rsid w:val="001038BB"/>
    <w:rsid w:val="001038CE"/>
    <w:rsid w:val="00103981"/>
    <w:rsid w:val="001039EF"/>
    <w:rsid w:val="00103A57"/>
    <w:rsid w:val="00103BBE"/>
    <w:rsid w:val="00103CE3"/>
    <w:rsid w:val="00103D75"/>
    <w:rsid w:val="00103DFD"/>
    <w:rsid w:val="00103E0F"/>
    <w:rsid w:val="00104128"/>
    <w:rsid w:val="00104201"/>
    <w:rsid w:val="00104240"/>
    <w:rsid w:val="00104729"/>
    <w:rsid w:val="0010473D"/>
    <w:rsid w:val="0010474A"/>
    <w:rsid w:val="00104794"/>
    <w:rsid w:val="00104822"/>
    <w:rsid w:val="00104880"/>
    <w:rsid w:val="00104B95"/>
    <w:rsid w:val="00104CBC"/>
    <w:rsid w:val="00104EB0"/>
    <w:rsid w:val="00104EC7"/>
    <w:rsid w:val="00104F2C"/>
    <w:rsid w:val="0010507F"/>
    <w:rsid w:val="00105107"/>
    <w:rsid w:val="0010516D"/>
    <w:rsid w:val="0010520E"/>
    <w:rsid w:val="00105276"/>
    <w:rsid w:val="001054B5"/>
    <w:rsid w:val="001056AD"/>
    <w:rsid w:val="001056B0"/>
    <w:rsid w:val="00105765"/>
    <w:rsid w:val="001057A2"/>
    <w:rsid w:val="001058BD"/>
    <w:rsid w:val="0010591F"/>
    <w:rsid w:val="00105AC8"/>
    <w:rsid w:val="00105C1D"/>
    <w:rsid w:val="00105C44"/>
    <w:rsid w:val="00105CC8"/>
    <w:rsid w:val="00105CEC"/>
    <w:rsid w:val="00105D3A"/>
    <w:rsid w:val="00105DED"/>
    <w:rsid w:val="00105DFC"/>
    <w:rsid w:val="00105E46"/>
    <w:rsid w:val="00105FBD"/>
    <w:rsid w:val="001060D3"/>
    <w:rsid w:val="001060D6"/>
    <w:rsid w:val="001061DA"/>
    <w:rsid w:val="001061FB"/>
    <w:rsid w:val="00106214"/>
    <w:rsid w:val="001065B3"/>
    <w:rsid w:val="0010667D"/>
    <w:rsid w:val="001066AB"/>
    <w:rsid w:val="001066B7"/>
    <w:rsid w:val="00106882"/>
    <w:rsid w:val="001068C6"/>
    <w:rsid w:val="001069C1"/>
    <w:rsid w:val="00106A3D"/>
    <w:rsid w:val="00106B02"/>
    <w:rsid w:val="00106B35"/>
    <w:rsid w:val="00106D78"/>
    <w:rsid w:val="00106DCB"/>
    <w:rsid w:val="00106EF8"/>
    <w:rsid w:val="001070DD"/>
    <w:rsid w:val="0010715E"/>
    <w:rsid w:val="001071A4"/>
    <w:rsid w:val="00107297"/>
    <w:rsid w:val="00107308"/>
    <w:rsid w:val="0010732D"/>
    <w:rsid w:val="001073FF"/>
    <w:rsid w:val="00107483"/>
    <w:rsid w:val="0010750C"/>
    <w:rsid w:val="00107570"/>
    <w:rsid w:val="001075F2"/>
    <w:rsid w:val="00107682"/>
    <w:rsid w:val="001076ED"/>
    <w:rsid w:val="0010777E"/>
    <w:rsid w:val="0010788D"/>
    <w:rsid w:val="001078DC"/>
    <w:rsid w:val="0010791E"/>
    <w:rsid w:val="001079B8"/>
    <w:rsid w:val="00107A4C"/>
    <w:rsid w:val="00107C42"/>
    <w:rsid w:val="00107CAF"/>
    <w:rsid w:val="00107CBC"/>
    <w:rsid w:val="00107DFA"/>
    <w:rsid w:val="00107E03"/>
    <w:rsid w:val="00107E98"/>
    <w:rsid w:val="00107FEB"/>
    <w:rsid w:val="0011007E"/>
    <w:rsid w:val="00110154"/>
    <w:rsid w:val="00110321"/>
    <w:rsid w:val="001104E9"/>
    <w:rsid w:val="0011052C"/>
    <w:rsid w:val="001105ED"/>
    <w:rsid w:val="001105F0"/>
    <w:rsid w:val="0011067C"/>
    <w:rsid w:val="001106C5"/>
    <w:rsid w:val="001107C7"/>
    <w:rsid w:val="0011081C"/>
    <w:rsid w:val="0011084B"/>
    <w:rsid w:val="001108F3"/>
    <w:rsid w:val="00110AC2"/>
    <w:rsid w:val="00110B03"/>
    <w:rsid w:val="00110B91"/>
    <w:rsid w:val="00110C2B"/>
    <w:rsid w:val="00110D1D"/>
    <w:rsid w:val="00110DA9"/>
    <w:rsid w:val="00110F40"/>
    <w:rsid w:val="00111004"/>
    <w:rsid w:val="001111FC"/>
    <w:rsid w:val="001112B2"/>
    <w:rsid w:val="00111323"/>
    <w:rsid w:val="0011132D"/>
    <w:rsid w:val="0011132F"/>
    <w:rsid w:val="00111369"/>
    <w:rsid w:val="001113FB"/>
    <w:rsid w:val="00111AA7"/>
    <w:rsid w:val="00111AE2"/>
    <w:rsid w:val="00111D48"/>
    <w:rsid w:val="00111DAF"/>
    <w:rsid w:val="00111DB6"/>
    <w:rsid w:val="00111E79"/>
    <w:rsid w:val="00111E8D"/>
    <w:rsid w:val="00111EE5"/>
    <w:rsid w:val="00111EFB"/>
    <w:rsid w:val="00111F32"/>
    <w:rsid w:val="0011200F"/>
    <w:rsid w:val="00112062"/>
    <w:rsid w:val="00112083"/>
    <w:rsid w:val="00112089"/>
    <w:rsid w:val="001121B3"/>
    <w:rsid w:val="0011225D"/>
    <w:rsid w:val="00112294"/>
    <w:rsid w:val="001122E9"/>
    <w:rsid w:val="00112378"/>
    <w:rsid w:val="001123FF"/>
    <w:rsid w:val="0011241D"/>
    <w:rsid w:val="001124A3"/>
    <w:rsid w:val="001124BA"/>
    <w:rsid w:val="001124F5"/>
    <w:rsid w:val="001127BF"/>
    <w:rsid w:val="001127D6"/>
    <w:rsid w:val="00112801"/>
    <w:rsid w:val="00112818"/>
    <w:rsid w:val="0011287A"/>
    <w:rsid w:val="00112888"/>
    <w:rsid w:val="00112A7B"/>
    <w:rsid w:val="00112A8E"/>
    <w:rsid w:val="00112C0C"/>
    <w:rsid w:val="00112C2F"/>
    <w:rsid w:val="00112EDB"/>
    <w:rsid w:val="0011311F"/>
    <w:rsid w:val="001132AB"/>
    <w:rsid w:val="00113527"/>
    <w:rsid w:val="00113626"/>
    <w:rsid w:val="00113923"/>
    <w:rsid w:val="00113974"/>
    <w:rsid w:val="00113A65"/>
    <w:rsid w:val="00113A93"/>
    <w:rsid w:val="00113BC1"/>
    <w:rsid w:val="00113C2E"/>
    <w:rsid w:val="00113E9E"/>
    <w:rsid w:val="00114096"/>
    <w:rsid w:val="00114130"/>
    <w:rsid w:val="001141C6"/>
    <w:rsid w:val="001141E7"/>
    <w:rsid w:val="00114295"/>
    <w:rsid w:val="001142F5"/>
    <w:rsid w:val="001144CE"/>
    <w:rsid w:val="00114649"/>
    <w:rsid w:val="0011466D"/>
    <w:rsid w:val="0011468F"/>
    <w:rsid w:val="00114718"/>
    <w:rsid w:val="00114DFB"/>
    <w:rsid w:val="00114E20"/>
    <w:rsid w:val="00114EB9"/>
    <w:rsid w:val="00114F24"/>
    <w:rsid w:val="001150F1"/>
    <w:rsid w:val="001152C1"/>
    <w:rsid w:val="001152E2"/>
    <w:rsid w:val="00115435"/>
    <w:rsid w:val="001154A1"/>
    <w:rsid w:val="001154FD"/>
    <w:rsid w:val="001155D2"/>
    <w:rsid w:val="001155E1"/>
    <w:rsid w:val="001158BC"/>
    <w:rsid w:val="001158F4"/>
    <w:rsid w:val="00115DBA"/>
    <w:rsid w:val="00115E79"/>
    <w:rsid w:val="00115F3A"/>
    <w:rsid w:val="00115F4B"/>
    <w:rsid w:val="00116063"/>
    <w:rsid w:val="00116078"/>
    <w:rsid w:val="001160A0"/>
    <w:rsid w:val="0011630A"/>
    <w:rsid w:val="00116323"/>
    <w:rsid w:val="0011645C"/>
    <w:rsid w:val="001164E2"/>
    <w:rsid w:val="001164EA"/>
    <w:rsid w:val="001164FB"/>
    <w:rsid w:val="0011678A"/>
    <w:rsid w:val="001168BB"/>
    <w:rsid w:val="00116950"/>
    <w:rsid w:val="001169D8"/>
    <w:rsid w:val="00116B24"/>
    <w:rsid w:val="00116C45"/>
    <w:rsid w:val="00116F90"/>
    <w:rsid w:val="00117047"/>
    <w:rsid w:val="0011704F"/>
    <w:rsid w:val="00117078"/>
    <w:rsid w:val="00117178"/>
    <w:rsid w:val="001172E7"/>
    <w:rsid w:val="001172F2"/>
    <w:rsid w:val="00117400"/>
    <w:rsid w:val="001175FE"/>
    <w:rsid w:val="00117680"/>
    <w:rsid w:val="00117770"/>
    <w:rsid w:val="00117848"/>
    <w:rsid w:val="0011787E"/>
    <w:rsid w:val="00117B38"/>
    <w:rsid w:val="00117B9F"/>
    <w:rsid w:val="00117BD2"/>
    <w:rsid w:val="00117C38"/>
    <w:rsid w:val="00117CCF"/>
    <w:rsid w:val="00117D66"/>
    <w:rsid w:val="00117DE7"/>
    <w:rsid w:val="00117E1F"/>
    <w:rsid w:val="00117ED1"/>
    <w:rsid w:val="0012028C"/>
    <w:rsid w:val="00120335"/>
    <w:rsid w:val="001203A6"/>
    <w:rsid w:val="00120466"/>
    <w:rsid w:val="001204EB"/>
    <w:rsid w:val="001205AB"/>
    <w:rsid w:val="00120605"/>
    <w:rsid w:val="0012065F"/>
    <w:rsid w:val="001207F8"/>
    <w:rsid w:val="0012090D"/>
    <w:rsid w:val="00120959"/>
    <w:rsid w:val="00120996"/>
    <w:rsid w:val="00120BB3"/>
    <w:rsid w:val="00120C42"/>
    <w:rsid w:val="00120C87"/>
    <w:rsid w:val="00120C93"/>
    <w:rsid w:val="00120CF7"/>
    <w:rsid w:val="00120D3A"/>
    <w:rsid w:val="00120E23"/>
    <w:rsid w:val="0012102B"/>
    <w:rsid w:val="001210C6"/>
    <w:rsid w:val="00121235"/>
    <w:rsid w:val="00121394"/>
    <w:rsid w:val="001214A0"/>
    <w:rsid w:val="00121500"/>
    <w:rsid w:val="00121617"/>
    <w:rsid w:val="00121690"/>
    <w:rsid w:val="001216D9"/>
    <w:rsid w:val="0012171A"/>
    <w:rsid w:val="00121917"/>
    <w:rsid w:val="00121A26"/>
    <w:rsid w:val="00121C57"/>
    <w:rsid w:val="00121CD2"/>
    <w:rsid w:val="00121DE3"/>
    <w:rsid w:val="00121E54"/>
    <w:rsid w:val="00121E7D"/>
    <w:rsid w:val="00121F39"/>
    <w:rsid w:val="0012200C"/>
    <w:rsid w:val="00122024"/>
    <w:rsid w:val="001221C2"/>
    <w:rsid w:val="001221DD"/>
    <w:rsid w:val="00122240"/>
    <w:rsid w:val="0012231A"/>
    <w:rsid w:val="00122383"/>
    <w:rsid w:val="001224D1"/>
    <w:rsid w:val="00122960"/>
    <w:rsid w:val="0012296E"/>
    <w:rsid w:val="00122CDD"/>
    <w:rsid w:val="00122E30"/>
    <w:rsid w:val="00122FB2"/>
    <w:rsid w:val="0012324E"/>
    <w:rsid w:val="001232A6"/>
    <w:rsid w:val="001233C6"/>
    <w:rsid w:val="001233DA"/>
    <w:rsid w:val="001233DC"/>
    <w:rsid w:val="001234D2"/>
    <w:rsid w:val="0012352D"/>
    <w:rsid w:val="0012374E"/>
    <w:rsid w:val="00123753"/>
    <w:rsid w:val="0012375A"/>
    <w:rsid w:val="0012395F"/>
    <w:rsid w:val="00123991"/>
    <w:rsid w:val="001239F8"/>
    <w:rsid w:val="00123A0D"/>
    <w:rsid w:val="00123BF1"/>
    <w:rsid w:val="00123C11"/>
    <w:rsid w:val="00123CA1"/>
    <w:rsid w:val="00123CE6"/>
    <w:rsid w:val="00123D21"/>
    <w:rsid w:val="00123D24"/>
    <w:rsid w:val="00123D66"/>
    <w:rsid w:val="00123DDE"/>
    <w:rsid w:val="00123FB7"/>
    <w:rsid w:val="0012400E"/>
    <w:rsid w:val="001240DC"/>
    <w:rsid w:val="00124165"/>
    <w:rsid w:val="001241F0"/>
    <w:rsid w:val="001242B2"/>
    <w:rsid w:val="001242C1"/>
    <w:rsid w:val="001242CD"/>
    <w:rsid w:val="001243A6"/>
    <w:rsid w:val="0012444F"/>
    <w:rsid w:val="00124484"/>
    <w:rsid w:val="00124515"/>
    <w:rsid w:val="00124539"/>
    <w:rsid w:val="001245EE"/>
    <w:rsid w:val="00124634"/>
    <w:rsid w:val="001247E4"/>
    <w:rsid w:val="00124909"/>
    <w:rsid w:val="001249E3"/>
    <w:rsid w:val="00124B05"/>
    <w:rsid w:val="00124C78"/>
    <w:rsid w:val="00124CFC"/>
    <w:rsid w:val="00124DAE"/>
    <w:rsid w:val="00124DB7"/>
    <w:rsid w:val="00124E44"/>
    <w:rsid w:val="00124F99"/>
    <w:rsid w:val="00125132"/>
    <w:rsid w:val="00125213"/>
    <w:rsid w:val="00125385"/>
    <w:rsid w:val="001253C6"/>
    <w:rsid w:val="0012551A"/>
    <w:rsid w:val="0012567D"/>
    <w:rsid w:val="00125746"/>
    <w:rsid w:val="00125803"/>
    <w:rsid w:val="001258BC"/>
    <w:rsid w:val="0012597F"/>
    <w:rsid w:val="00125ADF"/>
    <w:rsid w:val="00125B3D"/>
    <w:rsid w:val="00125C43"/>
    <w:rsid w:val="00125F7D"/>
    <w:rsid w:val="0012617D"/>
    <w:rsid w:val="001261AF"/>
    <w:rsid w:val="00126339"/>
    <w:rsid w:val="0012644D"/>
    <w:rsid w:val="001264A5"/>
    <w:rsid w:val="001266B8"/>
    <w:rsid w:val="0012670D"/>
    <w:rsid w:val="001268A1"/>
    <w:rsid w:val="00126905"/>
    <w:rsid w:val="0012697C"/>
    <w:rsid w:val="00126A92"/>
    <w:rsid w:val="00126AB0"/>
    <w:rsid w:val="00126B23"/>
    <w:rsid w:val="00126B35"/>
    <w:rsid w:val="00126C9F"/>
    <w:rsid w:val="00126D7C"/>
    <w:rsid w:val="00126E94"/>
    <w:rsid w:val="00126E9F"/>
    <w:rsid w:val="00126F5E"/>
    <w:rsid w:val="00126F72"/>
    <w:rsid w:val="00126F7A"/>
    <w:rsid w:val="00126F9F"/>
    <w:rsid w:val="00127055"/>
    <w:rsid w:val="00127366"/>
    <w:rsid w:val="001273BF"/>
    <w:rsid w:val="00127713"/>
    <w:rsid w:val="00127720"/>
    <w:rsid w:val="00127777"/>
    <w:rsid w:val="0012789D"/>
    <w:rsid w:val="001278C9"/>
    <w:rsid w:val="00127B0A"/>
    <w:rsid w:val="00127C90"/>
    <w:rsid w:val="00127C9C"/>
    <w:rsid w:val="0013010E"/>
    <w:rsid w:val="001301FA"/>
    <w:rsid w:val="00130235"/>
    <w:rsid w:val="00130236"/>
    <w:rsid w:val="001302C1"/>
    <w:rsid w:val="001302CC"/>
    <w:rsid w:val="001302FF"/>
    <w:rsid w:val="001303B5"/>
    <w:rsid w:val="001303B7"/>
    <w:rsid w:val="00130484"/>
    <w:rsid w:val="00130491"/>
    <w:rsid w:val="00130567"/>
    <w:rsid w:val="00130586"/>
    <w:rsid w:val="001305B6"/>
    <w:rsid w:val="0013064C"/>
    <w:rsid w:val="00130749"/>
    <w:rsid w:val="001307B0"/>
    <w:rsid w:val="0013099F"/>
    <w:rsid w:val="00130AC8"/>
    <w:rsid w:val="00130B30"/>
    <w:rsid w:val="00130C34"/>
    <w:rsid w:val="00130CD1"/>
    <w:rsid w:val="00130CD7"/>
    <w:rsid w:val="00130F16"/>
    <w:rsid w:val="00130F34"/>
    <w:rsid w:val="00130FBF"/>
    <w:rsid w:val="001310E2"/>
    <w:rsid w:val="001311A8"/>
    <w:rsid w:val="0013128D"/>
    <w:rsid w:val="001312CD"/>
    <w:rsid w:val="00131339"/>
    <w:rsid w:val="0013136A"/>
    <w:rsid w:val="001314C3"/>
    <w:rsid w:val="00131569"/>
    <w:rsid w:val="001316DC"/>
    <w:rsid w:val="00131882"/>
    <w:rsid w:val="00131AC1"/>
    <w:rsid w:val="00131B5A"/>
    <w:rsid w:val="00131C81"/>
    <w:rsid w:val="00131C92"/>
    <w:rsid w:val="00132071"/>
    <w:rsid w:val="00132140"/>
    <w:rsid w:val="00132270"/>
    <w:rsid w:val="001323E3"/>
    <w:rsid w:val="0013240E"/>
    <w:rsid w:val="0013249D"/>
    <w:rsid w:val="0013277F"/>
    <w:rsid w:val="001327CA"/>
    <w:rsid w:val="00132900"/>
    <w:rsid w:val="0013293C"/>
    <w:rsid w:val="00132967"/>
    <w:rsid w:val="00132B50"/>
    <w:rsid w:val="00132B9D"/>
    <w:rsid w:val="00132C6A"/>
    <w:rsid w:val="00132C79"/>
    <w:rsid w:val="00132D07"/>
    <w:rsid w:val="0013301B"/>
    <w:rsid w:val="00133059"/>
    <w:rsid w:val="00133168"/>
    <w:rsid w:val="00133188"/>
    <w:rsid w:val="00133283"/>
    <w:rsid w:val="0013328D"/>
    <w:rsid w:val="00133455"/>
    <w:rsid w:val="001334F0"/>
    <w:rsid w:val="00133505"/>
    <w:rsid w:val="001337D2"/>
    <w:rsid w:val="001339C2"/>
    <w:rsid w:val="001339FD"/>
    <w:rsid w:val="00133BD8"/>
    <w:rsid w:val="00133BDD"/>
    <w:rsid w:val="00133BF6"/>
    <w:rsid w:val="00133C37"/>
    <w:rsid w:val="00133D53"/>
    <w:rsid w:val="00133E03"/>
    <w:rsid w:val="00133FAF"/>
    <w:rsid w:val="00134047"/>
    <w:rsid w:val="001341ED"/>
    <w:rsid w:val="0013429A"/>
    <w:rsid w:val="00134330"/>
    <w:rsid w:val="00134354"/>
    <w:rsid w:val="00134475"/>
    <w:rsid w:val="00134495"/>
    <w:rsid w:val="00134505"/>
    <w:rsid w:val="00134507"/>
    <w:rsid w:val="0013489C"/>
    <w:rsid w:val="0013493F"/>
    <w:rsid w:val="00134C0D"/>
    <w:rsid w:val="00134D61"/>
    <w:rsid w:val="00134D63"/>
    <w:rsid w:val="00134D8D"/>
    <w:rsid w:val="00134EF6"/>
    <w:rsid w:val="00134F96"/>
    <w:rsid w:val="00135053"/>
    <w:rsid w:val="001350F6"/>
    <w:rsid w:val="0013516A"/>
    <w:rsid w:val="001351AF"/>
    <w:rsid w:val="001351BF"/>
    <w:rsid w:val="00135207"/>
    <w:rsid w:val="001353D7"/>
    <w:rsid w:val="00135409"/>
    <w:rsid w:val="00135411"/>
    <w:rsid w:val="00135487"/>
    <w:rsid w:val="00135528"/>
    <w:rsid w:val="001355C7"/>
    <w:rsid w:val="001358AB"/>
    <w:rsid w:val="001358CB"/>
    <w:rsid w:val="0013590D"/>
    <w:rsid w:val="00135A6B"/>
    <w:rsid w:val="00135ADA"/>
    <w:rsid w:val="00135E32"/>
    <w:rsid w:val="00135E83"/>
    <w:rsid w:val="001360F4"/>
    <w:rsid w:val="001361C4"/>
    <w:rsid w:val="001361E1"/>
    <w:rsid w:val="0013622E"/>
    <w:rsid w:val="001362F2"/>
    <w:rsid w:val="00136412"/>
    <w:rsid w:val="0013655B"/>
    <w:rsid w:val="001365CE"/>
    <w:rsid w:val="00136962"/>
    <w:rsid w:val="001369AE"/>
    <w:rsid w:val="00136A09"/>
    <w:rsid w:val="00136AAD"/>
    <w:rsid w:val="00136BC7"/>
    <w:rsid w:val="00136D3F"/>
    <w:rsid w:val="00136DB5"/>
    <w:rsid w:val="00136E09"/>
    <w:rsid w:val="00136E9A"/>
    <w:rsid w:val="00136EF4"/>
    <w:rsid w:val="00136FAC"/>
    <w:rsid w:val="00137173"/>
    <w:rsid w:val="00137187"/>
    <w:rsid w:val="0013729B"/>
    <w:rsid w:val="0013732A"/>
    <w:rsid w:val="00137436"/>
    <w:rsid w:val="001374A5"/>
    <w:rsid w:val="001374D4"/>
    <w:rsid w:val="00137569"/>
    <w:rsid w:val="0013767A"/>
    <w:rsid w:val="00137702"/>
    <w:rsid w:val="00137754"/>
    <w:rsid w:val="0013778B"/>
    <w:rsid w:val="0013784C"/>
    <w:rsid w:val="001378B0"/>
    <w:rsid w:val="001378F1"/>
    <w:rsid w:val="00137941"/>
    <w:rsid w:val="00137AE6"/>
    <w:rsid w:val="00137C84"/>
    <w:rsid w:val="00137D16"/>
    <w:rsid w:val="00137DB3"/>
    <w:rsid w:val="00137E37"/>
    <w:rsid w:val="00137EF5"/>
    <w:rsid w:val="00137F3C"/>
    <w:rsid w:val="00140101"/>
    <w:rsid w:val="00140180"/>
    <w:rsid w:val="00140320"/>
    <w:rsid w:val="0014035B"/>
    <w:rsid w:val="0014038C"/>
    <w:rsid w:val="00140417"/>
    <w:rsid w:val="001404E5"/>
    <w:rsid w:val="0014061D"/>
    <w:rsid w:val="00140624"/>
    <w:rsid w:val="0014064F"/>
    <w:rsid w:val="001407CA"/>
    <w:rsid w:val="001408D8"/>
    <w:rsid w:val="00140945"/>
    <w:rsid w:val="00140951"/>
    <w:rsid w:val="001409B0"/>
    <w:rsid w:val="00140AAC"/>
    <w:rsid w:val="00140ADB"/>
    <w:rsid w:val="00140B18"/>
    <w:rsid w:val="00140B28"/>
    <w:rsid w:val="00140D63"/>
    <w:rsid w:val="00140DDB"/>
    <w:rsid w:val="00140EEE"/>
    <w:rsid w:val="00141140"/>
    <w:rsid w:val="00141242"/>
    <w:rsid w:val="00141246"/>
    <w:rsid w:val="00141389"/>
    <w:rsid w:val="001413A2"/>
    <w:rsid w:val="00141414"/>
    <w:rsid w:val="00141425"/>
    <w:rsid w:val="001415F0"/>
    <w:rsid w:val="0014167F"/>
    <w:rsid w:val="00141698"/>
    <w:rsid w:val="0014183D"/>
    <w:rsid w:val="001418C4"/>
    <w:rsid w:val="0014190E"/>
    <w:rsid w:val="00141A21"/>
    <w:rsid w:val="00141AD3"/>
    <w:rsid w:val="00141AD9"/>
    <w:rsid w:val="00141C0C"/>
    <w:rsid w:val="00141C7D"/>
    <w:rsid w:val="00141D01"/>
    <w:rsid w:val="001420C8"/>
    <w:rsid w:val="001423D6"/>
    <w:rsid w:val="001423EB"/>
    <w:rsid w:val="0014243A"/>
    <w:rsid w:val="001424E9"/>
    <w:rsid w:val="001425AA"/>
    <w:rsid w:val="0014273A"/>
    <w:rsid w:val="001427A6"/>
    <w:rsid w:val="001428E7"/>
    <w:rsid w:val="00142962"/>
    <w:rsid w:val="00142AB5"/>
    <w:rsid w:val="00142B16"/>
    <w:rsid w:val="00142B7E"/>
    <w:rsid w:val="00142B9B"/>
    <w:rsid w:val="00142BA7"/>
    <w:rsid w:val="00142BBB"/>
    <w:rsid w:val="00142C09"/>
    <w:rsid w:val="00142C8E"/>
    <w:rsid w:val="00142CF9"/>
    <w:rsid w:val="00142DE7"/>
    <w:rsid w:val="00142DEF"/>
    <w:rsid w:val="00142E39"/>
    <w:rsid w:val="00142E3D"/>
    <w:rsid w:val="00142F22"/>
    <w:rsid w:val="001430B5"/>
    <w:rsid w:val="001431F9"/>
    <w:rsid w:val="0014337B"/>
    <w:rsid w:val="00143488"/>
    <w:rsid w:val="0014369A"/>
    <w:rsid w:val="0014376D"/>
    <w:rsid w:val="0014391D"/>
    <w:rsid w:val="001439F1"/>
    <w:rsid w:val="001439F8"/>
    <w:rsid w:val="00143AEF"/>
    <w:rsid w:val="00143CC6"/>
    <w:rsid w:val="00143D74"/>
    <w:rsid w:val="00143DDF"/>
    <w:rsid w:val="00143E07"/>
    <w:rsid w:val="00143E9B"/>
    <w:rsid w:val="00143F9B"/>
    <w:rsid w:val="00143FDD"/>
    <w:rsid w:val="001442DE"/>
    <w:rsid w:val="001443F8"/>
    <w:rsid w:val="00144471"/>
    <w:rsid w:val="001444B7"/>
    <w:rsid w:val="00144517"/>
    <w:rsid w:val="001445AF"/>
    <w:rsid w:val="001445CF"/>
    <w:rsid w:val="0014462F"/>
    <w:rsid w:val="0014477B"/>
    <w:rsid w:val="0014497F"/>
    <w:rsid w:val="00144AB8"/>
    <w:rsid w:val="00144B2C"/>
    <w:rsid w:val="00144B4D"/>
    <w:rsid w:val="00144BF8"/>
    <w:rsid w:val="00144C3B"/>
    <w:rsid w:val="00144C53"/>
    <w:rsid w:val="00144C91"/>
    <w:rsid w:val="00144D57"/>
    <w:rsid w:val="00144D85"/>
    <w:rsid w:val="00144F84"/>
    <w:rsid w:val="00144F91"/>
    <w:rsid w:val="0014502A"/>
    <w:rsid w:val="00145086"/>
    <w:rsid w:val="001451D2"/>
    <w:rsid w:val="00145203"/>
    <w:rsid w:val="00145272"/>
    <w:rsid w:val="001452BD"/>
    <w:rsid w:val="001453F9"/>
    <w:rsid w:val="00145428"/>
    <w:rsid w:val="0014551F"/>
    <w:rsid w:val="001456C4"/>
    <w:rsid w:val="00145714"/>
    <w:rsid w:val="0014572F"/>
    <w:rsid w:val="00145811"/>
    <w:rsid w:val="00145B96"/>
    <w:rsid w:val="00145CB9"/>
    <w:rsid w:val="00145D0E"/>
    <w:rsid w:val="00145D81"/>
    <w:rsid w:val="00145EA3"/>
    <w:rsid w:val="0014622A"/>
    <w:rsid w:val="0014638D"/>
    <w:rsid w:val="00146482"/>
    <w:rsid w:val="0014648C"/>
    <w:rsid w:val="0014649F"/>
    <w:rsid w:val="00146502"/>
    <w:rsid w:val="00146538"/>
    <w:rsid w:val="00146583"/>
    <w:rsid w:val="001465C7"/>
    <w:rsid w:val="0014671F"/>
    <w:rsid w:val="00146765"/>
    <w:rsid w:val="00146A36"/>
    <w:rsid w:val="00146B4B"/>
    <w:rsid w:val="00146B67"/>
    <w:rsid w:val="00146B8A"/>
    <w:rsid w:val="00146BA9"/>
    <w:rsid w:val="00146C08"/>
    <w:rsid w:val="00146C34"/>
    <w:rsid w:val="00146C6A"/>
    <w:rsid w:val="00146CB6"/>
    <w:rsid w:val="00146CBA"/>
    <w:rsid w:val="00146F31"/>
    <w:rsid w:val="00147015"/>
    <w:rsid w:val="00147391"/>
    <w:rsid w:val="0014747A"/>
    <w:rsid w:val="00147675"/>
    <w:rsid w:val="001476A6"/>
    <w:rsid w:val="001476F2"/>
    <w:rsid w:val="001477B4"/>
    <w:rsid w:val="00147D01"/>
    <w:rsid w:val="00147D79"/>
    <w:rsid w:val="00147F6F"/>
    <w:rsid w:val="00147FDE"/>
    <w:rsid w:val="00150096"/>
    <w:rsid w:val="0015012D"/>
    <w:rsid w:val="001501AE"/>
    <w:rsid w:val="00150241"/>
    <w:rsid w:val="0015027B"/>
    <w:rsid w:val="0015031B"/>
    <w:rsid w:val="0015032B"/>
    <w:rsid w:val="00150464"/>
    <w:rsid w:val="0015052C"/>
    <w:rsid w:val="001508A3"/>
    <w:rsid w:val="001508EC"/>
    <w:rsid w:val="00150AC1"/>
    <w:rsid w:val="00150B50"/>
    <w:rsid w:val="00150C31"/>
    <w:rsid w:val="00150C86"/>
    <w:rsid w:val="00150F49"/>
    <w:rsid w:val="00151001"/>
    <w:rsid w:val="00151044"/>
    <w:rsid w:val="0015120C"/>
    <w:rsid w:val="00151529"/>
    <w:rsid w:val="00151866"/>
    <w:rsid w:val="001518E5"/>
    <w:rsid w:val="00151B3D"/>
    <w:rsid w:val="00151BEF"/>
    <w:rsid w:val="00151D8B"/>
    <w:rsid w:val="00151ED9"/>
    <w:rsid w:val="00151EFF"/>
    <w:rsid w:val="00151F86"/>
    <w:rsid w:val="00151F9D"/>
    <w:rsid w:val="00152098"/>
    <w:rsid w:val="00152112"/>
    <w:rsid w:val="00152146"/>
    <w:rsid w:val="0015223E"/>
    <w:rsid w:val="00152260"/>
    <w:rsid w:val="00152401"/>
    <w:rsid w:val="0015242D"/>
    <w:rsid w:val="001524E3"/>
    <w:rsid w:val="001525DE"/>
    <w:rsid w:val="001525E9"/>
    <w:rsid w:val="001526EC"/>
    <w:rsid w:val="0015270D"/>
    <w:rsid w:val="00152A08"/>
    <w:rsid w:val="00152A11"/>
    <w:rsid w:val="00152B5C"/>
    <w:rsid w:val="00152BEB"/>
    <w:rsid w:val="00152C56"/>
    <w:rsid w:val="00152C79"/>
    <w:rsid w:val="00152D73"/>
    <w:rsid w:val="00152F7C"/>
    <w:rsid w:val="00152FAA"/>
    <w:rsid w:val="00153039"/>
    <w:rsid w:val="001533AD"/>
    <w:rsid w:val="0015343F"/>
    <w:rsid w:val="00153612"/>
    <w:rsid w:val="001538ED"/>
    <w:rsid w:val="0015390F"/>
    <w:rsid w:val="00153926"/>
    <w:rsid w:val="001539BD"/>
    <w:rsid w:val="00153A24"/>
    <w:rsid w:val="00153A28"/>
    <w:rsid w:val="00153D0A"/>
    <w:rsid w:val="00153DCC"/>
    <w:rsid w:val="00153E40"/>
    <w:rsid w:val="00153E5A"/>
    <w:rsid w:val="00153ED7"/>
    <w:rsid w:val="0015421E"/>
    <w:rsid w:val="001542AE"/>
    <w:rsid w:val="00154329"/>
    <w:rsid w:val="001544F6"/>
    <w:rsid w:val="00154563"/>
    <w:rsid w:val="00154564"/>
    <w:rsid w:val="00154575"/>
    <w:rsid w:val="0015457F"/>
    <w:rsid w:val="001545F0"/>
    <w:rsid w:val="00154618"/>
    <w:rsid w:val="00154671"/>
    <w:rsid w:val="001546D6"/>
    <w:rsid w:val="00154712"/>
    <w:rsid w:val="00154A8D"/>
    <w:rsid w:val="00154AD7"/>
    <w:rsid w:val="00154AFF"/>
    <w:rsid w:val="00154B8D"/>
    <w:rsid w:val="00154C68"/>
    <w:rsid w:val="00154D0B"/>
    <w:rsid w:val="00154DC8"/>
    <w:rsid w:val="00154E68"/>
    <w:rsid w:val="00154F2C"/>
    <w:rsid w:val="00154F77"/>
    <w:rsid w:val="0015509E"/>
    <w:rsid w:val="0015513C"/>
    <w:rsid w:val="00155234"/>
    <w:rsid w:val="001553B1"/>
    <w:rsid w:val="0015556A"/>
    <w:rsid w:val="001555C2"/>
    <w:rsid w:val="00155651"/>
    <w:rsid w:val="00155687"/>
    <w:rsid w:val="001557CE"/>
    <w:rsid w:val="0015590E"/>
    <w:rsid w:val="001559A9"/>
    <w:rsid w:val="001559EA"/>
    <w:rsid w:val="00155A5D"/>
    <w:rsid w:val="00155AAA"/>
    <w:rsid w:val="00155BCF"/>
    <w:rsid w:val="00155C55"/>
    <w:rsid w:val="00156046"/>
    <w:rsid w:val="001560D5"/>
    <w:rsid w:val="00156113"/>
    <w:rsid w:val="00156157"/>
    <w:rsid w:val="00156188"/>
    <w:rsid w:val="00156366"/>
    <w:rsid w:val="0015646B"/>
    <w:rsid w:val="00156514"/>
    <w:rsid w:val="00156672"/>
    <w:rsid w:val="00156688"/>
    <w:rsid w:val="0015668D"/>
    <w:rsid w:val="00156971"/>
    <w:rsid w:val="00156A1C"/>
    <w:rsid w:val="00156B4C"/>
    <w:rsid w:val="00156C84"/>
    <w:rsid w:val="00156D57"/>
    <w:rsid w:val="00156E2E"/>
    <w:rsid w:val="00156EC2"/>
    <w:rsid w:val="00156F43"/>
    <w:rsid w:val="00157016"/>
    <w:rsid w:val="0015703C"/>
    <w:rsid w:val="00157065"/>
    <w:rsid w:val="00157184"/>
    <w:rsid w:val="001572D3"/>
    <w:rsid w:val="00157579"/>
    <w:rsid w:val="0015763D"/>
    <w:rsid w:val="00157643"/>
    <w:rsid w:val="001576EC"/>
    <w:rsid w:val="00157853"/>
    <w:rsid w:val="00157DE9"/>
    <w:rsid w:val="00157F64"/>
    <w:rsid w:val="00157F7F"/>
    <w:rsid w:val="0016008C"/>
    <w:rsid w:val="0016016B"/>
    <w:rsid w:val="00160249"/>
    <w:rsid w:val="0016024B"/>
    <w:rsid w:val="0016041D"/>
    <w:rsid w:val="00160428"/>
    <w:rsid w:val="00160462"/>
    <w:rsid w:val="00160477"/>
    <w:rsid w:val="0016063F"/>
    <w:rsid w:val="0016082C"/>
    <w:rsid w:val="001609CF"/>
    <w:rsid w:val="001609FC"/>
    <w:rsid w:val="00160B83"/>
    <w:rsid w:val="00160B8E"/>
    <w:rsid w:val="00160BFB"/>
    <w:rsid w:val="00160C0C"/>
    <w:rsid w:val="00160C1A"/>
    <w:rsid w:val="00160E52"/>
    <w:rsid w:val="00160F16"/>
    <w:rsid w:val="00161086"/>
    <w:rsid w:val="00161306"/>
    <w:rsid w:val="00161491"/>
    <w:rsid w:val="001614E3"/>
    <w:rsid w:val="001615C5"/>
    <w:rsid w:val="00161646"/>
    <w:rsid w:val="00161674"/>
    <w:rsid w:val="00161769"/>
    <w:rsid w:val="00161AF2"/>
    <w:rsid w:val="00161C9D"/>
    <w:rsid w:val="00161D2B"/>
    <w:rsid w:val="00161E48"/>
    <w:rsid w:val="00162070"/>
    <w:rsid w:val="00162082"/>
    <w:rsid w:val="00162182"/>
    <w:rsid w:val="001621D2"/>
    <w:rsid w:val="0016245C"/>
    <w:rsid w:val="0016245F"/>
    <w:rsid w:val="001624B7"/>
    <w:rsid w:val="001624D2"/>
    <w:rsid w:val="0016251C"/>
    <w:rsid w:val="001626FF"/>
    <w:rsid w:val="00162720"/>
    <w:rsid w:val="001628CF"/>
    <w:rsid w:val="00162A97"/>
    <w:rsid w:val="00162C33"/>
    <w:rsid w:val="00162C7B"/>
    <w:rsid w:val="00162DD3"/>
    <w:rsid w:val="00162DE6"/>
    <w:rsid w:val="00162F1A"/>
    <w:rsid w:val="0016301A"/>
    <w:rsid w:val="001630C6"/>
    <w:rsid w:val="0016310D"/>
    <w:rsid w:val="001631ED"/>
    <w:rsid w:val="001631F7"/>
    <w:rsid w:val="0016321D"/>
    <w:rsid w:val="00163233"/>
    <w:rsid w:val="001633D8"/>
    <w:rsid w:val="00163584"/>
    <w:rsid w:val="0016379B"/>
    <w:rsid w:val="001637A6"/>
    <w:rsid w:val="00163816"/>
    <w:rsid w:val="0016385D"/>
    <w:rsid w:val="00163945"/>
    <w:rsid w:val="0016399A"/>
    <w:rsid w:val="00163AB5"/>
    <w:rsid w:val="00163B30"/>
    <w:rsid w:val="00163BB1"/>
    <w:rsid w:val="00163BD7"/>
    <w:rsid w:val="00163D4B"/>
    <w:rsid w:val="00163D6A"/>
    <w:rsid w:val="00163DE1"/>
    <w:rsid w:val="00163F9A"/>
    <w:rsid w:val="00163FB5"/>
    <w:rsid w:val="001640B0"/>
    <w:rsid w:val="001643B3"/>
    <w:rsid w:val="001644B0"/>
    <w:rsid w:val="001645A3"/>
    <w:rsid w:val="001646CC"/>
    <w:rsid w:val="001646EF"/>
    <w:rsid w:val="001646FB"/>
    <w:rsid w:val="00164739"/>
    <w:rsid w:val="00164778"/>
    <w:rsid w:val="00164858"/>
    <w:rsid w:val="001649C0"/>
    <w:rsid w:val="00164A7E"/>
    <w:rsid w:val="00164AB9"/>
    <w:rsid w:val="00164AFC"/>
    <w:rsid w:val="00164C8A"/>
    <w:rsid w:val="00164FC0"/>
    <w:rsid w:val="001652E6"/>
    <w:rsid w:val="0016540E"/>
    <w:rsid w:val="00165584"/>
    <w:rsid w:val="001655D3"/>
    <w:rsid w:val="001656FC"/>
    <w:rsid w:val="00165711"/>
    <w:rsid w:val="00165736"/>
    <w:rsid w:val="001657D7"/>
    <w:rsid w:val="001657DF"/>
    <w:rsid w:val="001657EC"/>
    <w:rsid w:val="0016583A"/>
    <w:rsid w:val="001659DD"/>
    <w:rsid w:val="00165B61"/>
    <w:rsid w:val="00165B99"/>
    <w:rsid w:val="00165C70"/>
    <w:rsid w:val="00165D1C"/>
    <w:rsid w:val="00165EAE"/>
    <w:rsid w:val="00165F19"/>
    <w:rsid w:val="0016601D"/>
    <w:rsid w:val="0016602E"/>
    <w:rsid w:val="0016610B"/>
    <w:rsid w:val="001661C9"/>
    <w:rsid w:val="0016623F"/>
    <w:rsid w:val="0016624A"/>
    <w:rsid w:val="0016634B"/>
    <w:rsid w:val="00166384"/>
    <w:rsid w:val="001663CC"/>
    <w:rsid w:val="001664D2"/>
    <w:rsid w:val="00166567"/>
    <w:rsid w:val="001666C3"/>
    <w:rsid w:val="001667F7"/>
    <w:rsid w:val="0016684E"/>
    <w:rsid w:val="001669DD"/>
    <w:rsid w:val="00166A03"/>
    <w:rsid w:val="00166A96"/>
    <w:rsid w:val="00166C43"/>
    <w:rsid w:val="00166D37"/>
    <w:rsid w:val="00166E2B"/>
    <w:rsid w:val="00166EE3"/>
    <w:rsid w:val="00167001"/>
    <w:rsid w:val="00167020"/>
    <w:rsid w:val="00167132"/>
    <w:rsid w:val="0016719B"/>
    <w:rsid w:val="001671A5"/>
    <w:rsid w:val="0016732D"/>
    <w:rsid w:val="00167366"/>
    <w:rsid w:val="001675AC"/>
    <w:rsid w:val="001675ED"/>
    <w:rsid w:val="0016771F"/>
    <w:rsid w:val="0016777F"/>
    <w:rsid w:val="001678CC"/>
    <w:rsid w:val="001678DB"/>
    <w:rsid w:val="001678F4"/>
    <w:rsid w:val="00167B6B"/>
    <w:rsid w:val="00167B85"/>
    <w:rsid w:val="00167C0C"/>
    <w:rsid w:val="00167CDA"/>
    <w:rsid w:val="00167E55"/>
    <w:rsid w:val="00167F0A"/>
    <w:rsid w:val="00167F8C"/>
    <w:rsid w:val="001701A7"/>
    <w:rsid w:val="00170294"/>
    <w:rsid w:val="0017037E"/>
    <w:rsid w:val="00170407"/>
    <w:rsid w:val="001704C0"/>
    <w:rsid w:val="001704D1"/>
    <w:rsid w:val="0017057F"/>
    <w:rsid w:val="00170587"/>
    <w:rsid w:val="00170625"/>
    <w:rsid w:val="0017067C"/>
    <w:rsid w:val="001706C6"/>
    <w:rsid w:val="001707CD"/>
    <w:rsid w:val="00170944"/>
    <w:rsid w:val="00170B01"/>
    <w:rsid w:val="00170BC1"/>
    <w:rsid w:val="00170C4D"/>
    <w:rsid w:val="00170C85"/>
    <w:rsid w:val="00170D12"/>
    <w:rsid w:val="00170DAE"/>
    <w:rsid w:val="00170DF7"/>
    <w:rsid w:val="00170E30"/>
    <w:rsid w:val="00170ED7"/>
    <w:rsid w:val="00170F5D"/>
    <w:rsid w:val="001710AA"/>
    <w:rsid w:val="0017157D"/>
    <w:rsid w:val="001715F6"/>
    <w:rsid w:val="00171659"/>
    <w:rsid w:val="00171823"/>
    <w:rsid w:val="00171858"/>
    <w:rsid w:val="00171897"/>
    <w:rsid w:val="001718FB"/>
    <w:rsid w:val="00171A5E"/>
    <w:rsid w:val="00171BFD"/>
    <w:rsid w:val="00171DC7"/>
    <w:rsid w:val="00171E45"/>
    <w:rsid w:val="00171E6B"/>
    <w:rsid w:val="00171F21"/>
    <w:rsid w:val="00171F8B"/>
    <w:rsid w:val="00171F9E"/>
    <w:rsid w:val="00172110"/>
    <w:rsid w:val="00172130"/>
    <w:rsid w:val="00172240"/>
    <w:rsid w:val="001724FA"/>
    <w:rsid w:val="00172512"/>
    <w:rsid w:val="001726E0"/>
    <w:rsid w:val="001727E8"/>
    <w:rsid w:val="00172862"/>
    <w:rsid w:val="0017299A"/>
    <w:rsid w:val="00172A16"/>
    <w:rsid w:val="00172B3E"/>
    <w:rsid w:val="00172BA1"/>
    <w:rsid w:val="00172C49"/>
    <w:rsid w:val="00172C7A"/>
    <w:rsid w:val="00172C84"/>
    <w:rsid w:val="00172CA3"/>
    <w:rsid w:val="00172E0E"/>
    <w:rsid w:val="00172EBB"/>
    <w:rsid w:val="00172EEA"/>
    <w:rsid w:val="00172F6B"/>
    <w:rsid w:val="00172FE8"/>
    <w:rsid w:val="0017304F"/>
    <w:rsid w:val="00173064"/>
    <w:rsid w:val="0017311D"/>
    <w:rsid w:val="00173190"/>
    <w:rsid w:val="001731B1"/>
    <w:rsid w:val="00173282"/>
    <w:rsid w:val="001732FA"/>
    <w:rsid w:val="00173429"/>
    <w:rsid w:val="00173513"/>
    <w:rsid w:val="001736CA"/>
    <w:rsid w:val="0017373F"/>
    <w:rsid w:val="00173750"/>
    <w:rsid w:val="001737ED"/>
    <w:rsid w:val="00173A29"/>
    <w:rsid w:val="00173A9A"/>
    <w:rsid w:val="00173AAD"/>
    <w:rsid w:val="00173B8F"/>
    <w:rsid w:val="00173C45"/>
    <w:rsid w:val="00173CD0"/>
    <w:rsid w:val="00173D16"/>
    <w:rsid w:val="00173D7E"/>
    <w:rsid w:val="00173EFB"/>
    <w:rsid w:val="0017405B"/>
    <w:rsid w:val="00174074"/>
    <w:rsid w:val="0017421F"/>
    <w:rsid w:val="00174265"/>
    <w:rsid w:val="001742EA"/>
    <w:rsid w:val="001743D5"/>
    <w:rsid w:val="0017462D"/>
    <w:rsid w:val="00174663"/>
    <w:rsid w:val="00174909"/>
    <w:rsid w:val="00174970"/>
    <w:rsid w:val="001749DF"/>
    <w:rsid w:val="00174A8E"/>
    <w:rsid w:val="00174BA3"/>
    <w:rsid w:val="00174D99"/>
    <w:rsid w:val="00174E14"/>
    <w:rsid w:val="00174EE1"/>
    <w:rsid w:val="00174EE7"/>
    <w:rsid w:val="00174F9E"/>
    <w:rsid w:val="001751A0"/>
    <w:rsid w:val="0017536F"/>
    <w:rsid w:val="001753DC"/>
    <w:rsid w:val="00175576"/>
    <w:rsid w:val="0017567C"/>
    <w:rsid w:val="001756C4"/>
    <w:rsid w:val="00175877"/>
    <w:rsid w:val="001758AC"/>
    <w:rsid w:val="0017590A"/>
    <w:rsid w:val="001759B1"/>
    <w:rsid w:val="00175F87"/>
    <w:rsid w:val="00175FDC"/>
    <w:rsid w:val="0017607D"/>
    <w:rsid w:val="00176107"/>
    <w:rsid w:val="001761E6"/>
    <w:rsid w:val="001762E1"/>
    <w:rsid w:val="0017637B"/>
    <w:rsid w:val="001763CF"/>
    <w:rsid w:val="0017646F"/>
    <w:rsid w:val="001764C0"/>
    <w:rsid w:val="00176520"/>
    <w:rsid w:val="001765C8"/>
    <w:rsid w:val="0017661F"/>
    <w:rsid w:val="00176697"/>
    <w:rsid w:val="00176758"/>
    <w:rsid w:val="00176825"/>
    <w:rsid w:val="00176834"/>
    <w:rsid w:val="001768D6"/>
    <w:rsid w:val="00176987"/>
    <w:rsid w:val="001769AB"/>
    <w:rsid w:val="001769E2"/>
    <w:rsid w:val="00176A52"/>
    <w:rsid w:val="00176A81"/>
    <w:rsid w:val="00176B41"/>
    <w:rsid w:val="00176B72"/>
    <w:rsid w:val="00176B8A"/>
    <w:rsid w:val="00176BAB"/>
    <w:rsid w:val="00176C39"/>
    <w:rsid w:val="00176C50"/>
    <w:rsid w:val="00176F5B"/>
    <w:rsid w:val="00177186"/>
    <w:rsid w:val="00177478"/>
    <w:rsid w:val="00177581"/>
    <w:rsid w:val="001775B2"/>
    <w:rsid w:val="001775D0"/>
    <w:rsid w:val="00177602"/>
    <w:rsid w:val="00177895"/>
    <w:rsid w:val="001778BE"/>
    <w:rsid w:val="00177973"/>
    <w:rsid w:val="00177C3A"/>
    <w:rsid w:val="00177C66"/>
    <w:rsid w:val="00177D3A"/>
    <w:rsid w:val="00180013"/>
    <w:rsid w:val="001803A1"/>
    <w:rsid w:val="00180530"/>
    <w:rsid w:val="001805C6"/>
    <w:rsid w:val="001806B5"/>
    <w:rsid w:val="001806D9"/>
    <w:rsid w:val="001807BF"/>
    <w:rsid w:val="00180829"/>
    <w:rsid w:val="00180872"/>
    <w:rsid w:val="00180895"/>
    <w:rsid w:val="00180A1C"/>
    <w:rsid w:val="00180BE8"/>
    <w:rsid w:val="00180D0D"/>
    <w:rsid w:val="00180D2D"/>
    <w:rsid w:val="00180D4D"/>
    <w:rsid w:val="00180E45"/>
    <w:rsid w:val="00180EFE"/>
    <w:rsid w:val="0018104E"/>
    <w:rsid w:val="00181096"/>
    <w:rsid w:val="001812A5"/>
    <w:rsid w:val="001812AA"/>
    <w:rsid w:val="001812FD"/>
    <w:rsid w:val="001813F5"/>
    <w:rsid w:val="001819DE"/>
    <w:rsid w:val="00181A08"/>
    <w:rsid w:val="00181A60"/>
    <w:rsid w:val="00181A64"/>
    <w:rsid w:val="00181B0D"/>
    <w:rsid w:val="00181B5B"/>
    <w:rsid w:val="00181C82"/>
    <w:rsid w:val="00181CA3"/>
    <w:rsid w:val="00181D34"/>
    <w:rsid w:val="001821A9"/>
    <w:rsid w:val="001821E2"/>
    <w:rsid w:val="00182209"/>
    <w:rsid w:val="00182295"/>
    <w:rsid w:val="0018231B"/>
    <w:rsid w:val="00182467"/>
    <w:rsid w:val="001824BA"/>
    <w:rsid w:val="001824BE"/>
    <w:rsid w:val="0018251C"/>
    <w:rsid w:val="0018267D"/>
    <w:rsid w:val="001826A8"/>
    <w:rsid w:val="0018272D"/>
    <w:rsid w:val="00182735"/>
    <w:rsid w:val="001827B8"/>
    <w:rsid w:val="001827BD"/>
    <w:rsid w:val="001827D5"/>
    <w:rsid w:val="00182819"/>
    <w:rsid w:val="00182820"/>
    <w:rsid w:val="0018286B"/>
    <w:rsid w:val="00182B54"/>
    <w:rsid w:val="00182BFF"/>
    <w:rsid w:val="00182C57"/>
    <w:rsid w:val="00182C65"/>
    <w:rsid w:val="00182D32"/>
    <w:rsid w:val="00182E5D"/>
    <w:rsid w:val="00183230"/>
    <w:rsid w:val="0018334D"/>
    <w:rsid w:val="0018339E"/>
    <w:rsid w:val="0018344C"/>
    <w:rsid w:val="0018349F"/>
    <w:rsid w:val="00183524"/>
    <w:rsid w:val="0018355E"/>
    <w:rsid w:val="001835F0"/>
    <w:rsid w:val="0018361E"/>
    <w:rsid w:val="00183703"/>
    <w:rsid w:val="00183764"/>
    <w:rsid w:val="0018381C"/>
    <w:rsid w:val="00183910"/>
    <w:rsid w:val="001839CE"/>
    <w:rsid w:val="00183A23"/>
    <w:rsid w:val="00183B3C"/>
    <w:rsid w:val="00183B75"/>
    <w:rsid w:val="00183D36"/>
    <w:rsid w:val="00183EBB"/>
    <w:rsid w:val="00184153"/>
    <w:rsid w:val="001841BD"/>
    <w:rsid w:val="00184240"/>
    <w:rsid w:val="00184462"/>
    <w:rsid w:val="001844A6"/>
    <w:rsid w:val="001844B8"/>
    <w:rsid w:val="00184517"/>
    <w:rsid w:val="001845CB"/>
    <w:rsid w:val="0018460B"/>
    <w:rsid w:val="00184691"/>
    <w:rsid w:val="00184776"/>
    <w:rsid w:val="001847D7"/>
    <w:rsid w:val="00184A80"/>
    <w:rsid w:val="00184B74"/>
    <w:rsid w:val="00184B7C"/>
    <w:rsid w:val="00184DEE"/>
    <w:rsid w:val="00184FCB"/>
    <w:rsid w:val="00185157"/>
    <w:rsid w:val="001853A4"/>
    <w:rsid w:val="0018541A"/>
    <w:rsid w:val="00185426"/>
    <w:rsid w:val="00185521"/>
    <w:rsid w:val="001856AF"/>
    <w:rsid w:val="0018578B"/>
    <w:rsid w:val="00185874"/>
    <w:rsid w:val="001858AF"/>
    <w:rsid w:val="001859A2"/>
    <w:rsid w:val="001859E1"/>
    <w:rsid w:val="00185A23"/>
    <w:rsid w:val="00185AD9"/>
    <w:rsid w:val="00185BCA"/>
    <w:rsid w:val="00185CA1"/>
    <w:rsid w:val="00185DF7"/>
    <w:rsid w:val="00185E81"/>
    <w:rsid w:val="00185EE9"/>
    <w:rsid w:val="00185F96"/>
    <w:rsid w:val="00185FBA"/>
    <w:rsid w:val="001860AD"/>
    <w:rsid w:val="00186134"/>
    <w:rsid w:val="00186135"/>
    <w:rsid w:val="00186275"/>
    <w:rsid w:val="00186510"/>
    <w:rsid w:val="001865A1"/>
    <w:rsid w:val="00186614"/>
    <w:rsid w:val="0018664C"/>
    <w:rsid w:val="00186693"/>
    <w:rsid w:val="00186703"/>
    <w:rsid w:val="0018675F"/>
    <w:rsid w:val="001867D1"/>
    <w:rsid w:val="001867FB"/>
    <w:rsid w:val="00186830"/>
    <w:rsid w:val="00186875"/>
    <w:rsid w:val="00186931"/>
    <w:rsid w:val="0018697D"/>
    <w:rsid w:val="001869A5"/>
    <w:rsid w:val="00186B5B"/>
    <w:rsid w:val="00186B87"/>
    <w:rsid w:val="00186D07"/>
    <w:rsid w:val="00186E78"/>
    <w:rsid w:val="00186FF2"/>
    <w:rsid w:val="0018705C"/>
    <w:rsid w:val="0018710D"/>
    <w:rsid w:val="001872D0"/>
    <w:rsid w:val="001872D4"/>
    <w:rsid w:val="0018778B"/>
    <w:rsid w:val="00187964"/>
    <w:rsid w:val="001879D0"/>
    <w:rsid w:val="00187A0D"/>
    <w:rsid w:val="00187A12"/>
    <w:rsid w:val="00187A63"/>
    <w:rsid w:val="00187A88"/>
    <w:rsid w:val="00187C1A"/>
    <w:rsid w:val="00187CC5"/>
    <w:rsid w:val="00187D01"/>
    <w:rsid w:val="00187E8D"/>
    <w:rsid w:val="0019001C"/>
    <w:rsid w:val="00190240"/>
    <w:rsid w:val="00190254"/>
    <w:rsid w:val="001904D9"/>
    <w:rsid w:val="00190547"/>
    <w:rsid w:val="001905F0"/>
    <w:rsid w:val="00190635"/>
    <w:rsid w:val="001906BD"/>
    <w:rsid w:val="001906F7"/>
    <w:rsid w:val="0019082A"/>
    <w:rsid w:val="00190912"/>
    <w:rsid w:val="001909B6"/>
    <w:rsid w:val="00190A63"/>
    <w:rsid w:val="00190B44"/>
    <w:rsid w:val="00190BBB"/>
    <w:rsid w:val="00190C1F"/>
    <w:rsid w:val="00190DCB"/>
    <w:rsid w:val="00190E16"/>
    <w:rsid w:val="00190E88"/>
    <w:rsid w:val="00190F1B"/>
    <w:rsid w:val="00190F23"/>
    <w:rsid w:val="00190F76"/>
    <w:rsid w:val="00190FB7"/>
    <w:rsid w:val="00190FD4"/>
    <w:rsid w:val="00191076"/>
    <w:rsid w:val="001910CE"/>
    <w:rsid w:val="00191133"/>
    <w:rsid w:val="001913FC"/>
    <w:rsid w:val="00191498"/>
    <w:rsid w:val="00191788"/>
    <w:rsid w:val="00191809"/>
    <w:rsid w:val="00191883"/>
    <w:rsid w:val="001918CC"/>
    <w:rsid w:val="0019197F"/>
    <w:rsid w:val="00191A2D"/>
    <w:rsid w:val="00191B2C"/>
    <w:rsid w:val="00191BF9"/>
    <w:rsid w:val="00191D21"/>
    <w:rsid w:val="00191F9C"/>
    <w:rsid w:val="00192137"/>
    <w:rsid w:val="00192240"/>
    <w:rsid w:val="0019249F"/>
    <w:rsid w:val="0019250D"/>
    <w:rsid w:val="00192561"/>
    <w:rsid w:val="00192643"/>
    <w:rsid w:val="0019294F"/>
    <w:rsid w:val="00192969"/>
    <w:rsid w:val="00192A87"/>
    <w:rsid w:val="00192B64"/>
    <w:rsid w:val="00192BA6"/>
    <w:rsid w:val="00192BDE"/>
    <w:rsid w:val="00192D5E"/>
    <w:rsid w:val="00192DE5"/>
    <w:rsid w:val="00192E97"/>
    <w:rsid w:val="00192F13"/>
    <w:rsid w:val="00192F49"/>
    <w:rsid w:val="00192F75"/>
    <w:rsid w:val="00192F7D"/>
    <w:rsid w:val="00192F85"/>
    <w:rsid w:val="00192F96"/>
    <w:rsid w:val="00192F97"/>
    <w:rsid w:val="00193002"/>
    <w:rsid w:val="00193145"/>
    <w:rsid w:val="00193158"/>
    <w:rsid w:val="001931CA"/>
    <w:rsid w:val="001931EE"/>
    <w:rsid w:val="001933ED"/>
    <w:rsid w:val="0019342D"/>
    <w:rsid w:val="00193490"/>
    <w:rsid w:val="00193586"/>
    <w:rsid w:val="001936C5"/>
    <w:rsid w:val="001936E5"/>
    <w:rsid w:val="00193A10"/>
    <w:rsid w:val="00193CD3"/>
    <w:rsid w:val="00193EC6"/>
    <w:rsid w:val="0019410C"/>
    <w:rsid w:val="0019419D"/>
    <w:rsid w:val="001942FB"/>
    <w:rsid w:val="0019431B"/>
    <w:rsid w:val="001943B8"/>
    <w:rsid w:val="00194471"/>
    <w:rsid w:val="001945F6"/>
    <w:rsid w:val="0019470C"/>
    <w:rsid w:val="0019474A"/>
    <w:rsid w:val="00194835"/>
    <w:rsid w:val="001949E6"/>
    <w:rsid w:val="00194A7B"/>
    <w:rsid w:val="00194B72"/>
    <w:rsid w:val="00194B77"/>
    <w:rsid w:val="00194BDD"/>
    <w:rsid w:val="00194C2B"/>
    <w:rsid w:val="00194C5F"/>
    <w:rsid w:val="00194F05"/>
    <w:rsid w:val="00194FF0"/>
    <w:rsid w:val="00194FF4"/>
    <w:rsid w:val="00195198"/>
    <w:rsid w:val="001951C6"/>
    <w:rsid w:val="00195291"/>
    <w:rsid w:val="001952AC"/>
    <w:rsid w:val="001954A0"/>
    <w:rsid w:val="001954CD"/>
    <w:rsid w:val="001954D5"/>
    <w:rsid w:val="00195579"/>
    <w:rsid w:val="00195679"/>
    <w:rsid w:val="00195689"/>
    <w:rsid w:val="00195772"/>
    <w:rsid w:val="00195797"/>
    <w:rsid w:val="001957DB"/>
    <w:rsid w:val="001958F5"/>
    <w:rsid w:val="00195B03"/>
    <w:rsid w:val="00195B08"/>
    <w:rsid w:val="00195CDF"/>
    <w:rsid w:val="00195E42"/>
    <w:rsid w:val="00195F41"/>
    <w:rsid w:val="001960A3"/>
    <w:rsid w:val="0019621A"/>
    <w:rsid w:val="001962AF"/>
    <w:rsid w:val="00196457"/>
    <w:rsid w:val="00196480"/>
    <w:rsid w:val="0019660A"/>
    <w:rsid w:val="0019691C"/>
    <w:rsid w:val="0019693D"/>
    <w:rsid w:val="00196A9D"/>
    <w:rsid w:val="00196AAA"/>
    <w:rsid w:val="00196BE0"/>
    <w:rsid w:val="00196CDD"/>
    <w:rsid w:val="00196E55"/>
    <w:rsid w:val="00196E9B"/>
    <w:rsid w:val="00196EE9"/>
    <w:rsid w:val="00196F88"/>
    <w:rsid w:val="001971F7"/>
    <w:rsid w:val="001973AA"/>
    <w:rsid w:val="001973D9"/>
    <w:rsid w:val="00197475"/>
    <w:rsid w:val="001974A9"/>
    <w:rsid w:val="001977A1"/>
    <w:rsid w:val="001977A9"/>
    <w:rsid w:val="00197959"/>
    <w:rsid w:val="00197A3A"/>
    <w:rsid w:val="00197A3B"/>
    <w:rsid w:val="00197B7F"/>
    <w:rsid w:val="00197F5B"/>
    <w:rsid w:val="001A0049"/>
    <w:rsid w:val="001A0059"/>
    <w:rsid w:val="001A0296"/>
    <w:rsid w:val="001A02AE"/>
    <w:rsid w:val="001A030E"/>
    <w:rsid w:val="001A0519"/>
    <w:rsid w:val="001A06D7"/>
    <w:rsid w:val="001A079D"/>
    <w:rsid w:val="001A083C"/>
    <w:rsid w:val="001A08A8"/>
    <w:rsid w:val="001A08B7"/>
    <w:rsid w:val="001A0952"/>
    <w:rsid w:val="001A0A9F"/>
    <w:rsid w:val="001A0AA2"/>
    <w:rsid w:val="001A0AF6"/>
    <w:rsid w:val="001A0B69"/>
    <w:rsid w:val="001A0D14"/>
    <w:rsid w:val="001A0D18"/>
    <w:rsid w:val="001A0E5B"/>
    <w:rsid w:val="001A0EF9"/>
    <w:rsid w:val="001A10D9"/>
    <w:rsid w:val="001A10DC"/>
    <w:rsid w:val="001A1113"/>
    <w:rsid w:val="001A12A8"/>
    <w:rsid w:val="001A1436"/>
    <w:rsid w:val="001A1471"/>
    <w:rsid w:val="001A1601"/>
    <w:rsid w:val="001A163B"/>
    <w:rsid w:val="001A1654"/>
    <w:rsid w:val="001A17B9"/>
    <w:rsid w:val="001A18E5"/>
    <w:rsid w:val="001A1947"/>
    <w:rsid w:val="001A1A27"/>
    <w:rsid w:val="001A1B02"/>
    <w:rsid w:val="001A1B16"/>
    <w:rsid w:val="001A1B50"/>
    <w:rsid w:val="001A1C59"/>
    <w:rsid w:val="001A1C8A"/>
    <w:rsid w:val="001A1D08"/>
    <w:rsid w:val="001A1DD9"/>
    <w:rsid w:val="001A20BB"/>
    <w:rsid w:val="001A212C"/>
    <w:rsid w:val="001A2263"/>
    <w:rsid w:val="001A23A2"/>
    <w:rsid w:val="001A23DB"/>
    <w:rsid w:val="001A24E9"/>
    <w:rsid w:val="001A2745"/>
    <w:rsid w:val="001A27BA"/>
    <w:rsid w:val="001A29B3"/>
    <w:rsid w:val="001A2BCA"/>
    <w:rsid w:val="001A2C87"/>
    <w:rsid w:val="001A2D28"/>
    <w:rsid w:val="001A2D9E"/>
    <w:rsid w:val="001A2F03"/>
    <w:rsid w:val="001A2F7D"/>
    <w:rsid w:val="001A2FB0"/>
    <w:rsid w:val="001A30C8"/>
    <w:rsid w:val="001A3117"/>
    <w:rsid w:val="001A3184"/>
    <w:rsid w:val="001A3298"/>
    <w:rsid w:val="001A333C"/>
    <w:rsid w:val="001A33B5"/>
    <w:rsid w:val="001A33D1"/>
    <w:rsid w:val="001A3571"/>
    <w:rsid w:val="001A3599"/>
    <w:rsid w:val="001A3720"/>
    <w:rsid w:val="001A37E3"/>
    <w:rsid w:val="001A39B7"/>
    <w:rsid w:val="001A39D2"/>
    <w:rsid w:val="001A39EC"/>
    <w:rsid w:val="001A3ACE"/>
    <w:rsid w:val="001A3BD1"/>
    <w:rsid w:val="001A3CFE"/>
    <w:rsid w:val="001A3DCE"/>
    <w:rsid w:val="001A3E95"/>
    <w:rsid w:val="001A3EC5"/>
    <w:rsid w:val="001A3FBC"/>
    <w:rsid w:val="001A40F1"/>
    <w:rsid w:val="001A4282"/>
    <w:rsid w:val="001A44E2"/>
    <w:rsid w:val="001A4686"/>
    <w:rsid w:val="001A496B"/>
    <w:rsid w:val="001A49DA"/>
    <w:rsid w:val="001A4B1A"/>
    <w:rsid w:val="001A4D09"/>
    <w:rsid w:val="001A4E21"/>
    <w:rsid w:val="001A4F3E"/>
    <w:rsid w:val="001A4F55"/>
    <w:rsid w:val="001A5087"/>
    <w:rsid w:val="001A5169"/>
    <w:rsid w:val="001A5172"/>
    <w:rsid w:val="001A5274"/>
    <w:rsid w:val="001A52C0"/>
    <w:rsid w:val="001A5307"/>
    <w:rsid w:val="001A53AB"/>
    <w:rsid w:val="001A5631"/>
    <w:rsid w:val="001A567E"/>
    <w:rsid w:val="001A57B2"/>
    <w:rsid w:val="001A5807"/>
    <w:rsid w:val="001A598A"/>
    <w:rsid w:val="001A5B23"/>
    <w:rsid w:val="001A5CA8"/>
    <w:rsid w:val="001A5D9B"/>
    <w:rsid w:val="001A5E38"/>
    <w:rsid w:val="001A5F03"/>
    <w:rsid w:val="001A6039"/>
    <w:rsid w:val="001A608A"/>
    <w:rsid w:val="001A6315"/>
    <w:rsid w:val="001A6357"/>
    <w:rsid w:val="001A65B1"/>
    <w:rsid w:val="001A6737"/>
    <w:rsid w:val="001A69D4"/>
    <w:rsid w:val="001A6A31"/>
    <w:rsid w:val="001A6AC5"/>
    <w:rsid w:val="001A7131"/>
    <w:rsid w:val="001A7151"/>
    <w:rsid w:val="001A71C1"/>
    <w:rsid w:val="001A71CE"/>
    <w:rsid w:val="001A7478"/>
    <w:rsid w:val="001A751D"/>
    <w:rsid w:val="001A7609"/>
    <w:rsid w:val="001A7797"/>
    <w:rsid w:val="001A77D0"/>
    <w:rsid w:val="001A787F"/>
    <w:rsid w:val="001A79AB"/>
    <w:rsid w:val="001A79C5"/>
    <w:rsid w:val="001A7A53"/>
    <w:rsid w:val="001A7A62"/>
    <w:rsid w:val="001A7B38"/>
    <w:rsid w:val="001A7BFE"/>
    <w:rsid w:val="001A7C5A"/>
    <w:rsid w:val="001A7CC3"/>
    <w:rsid w:val="001B000D"/>
    <w:rsid w:val="001B037A"/>
    <w:rsid w:val="001B042B"/>
    <w:rsid w:val="001B0623"/>
    <w:rsid w:val="001B08B5"/>
    <w:rsid w:val="001B0B16"/>
    <w:rsid w:val="001B0B3E"/>
    <w:rsid w:val="001B0FAD"/>
    <w:rsid w:val="001B1048"/>
    <w:rsid w:val="001B11E2"/>
    <w:rsid w:val="001B11EE"/>
    <w:rsid w:val="001B120F"/>
    <w:rsid w:val="001B1242"/>
    <w:rsid w:val="001B12C6"/>
    <w:rsid w:val="001B136A"/>
    <w:rsid w:val="001B13E3"/>
    <w:rsid w:val="001B13E4"/>
    <w:rsid w:val="001B1410"/>
    <w:rsid w:val="001B1674"/>
    <w:rsid w:val="001B1751"/>
    <w:rsid w:val="001B1934"/>
    <w:rsid w:val="001B19C9"/>
    <w:rsid w:val="001B1B1F"/>
    <w:rsid w:val="001B1B31"/>
    <w:rsid w:val="001B1B48"/>
    <w:rsid w:val="001B1BE3"/>
    <w:rsid w:val="001B1C5C"/>
    <w:rsid w:val="001B1C71"/>
    <w:rsid w:val="001B1DC2"/>
    <w:rsid w:val="001B1E55"/>
    <w:rsid w:val="001B1F77"/>
    <w:rsid w:val="001B1FDA"/>
    <w:rsid w:val="001B1FEF"/>
    <w:rsid w:val="001B200D"/>
    <w:rsid w:val="001B2017"/>
    <w:rsid w:val="001B2126"/>
    <w:rsid w:val="001B22A8"/>
    <w:rsid w:val="001B23C6"/>
    <w:rsid w:val="001B25E6"/>
    <w:rsid w:val="001B2662"/>
    <w:rsid w:val="001B278B"/>
    <w:rsid w:val="001B2823"/>
    <w:rsid w:val="001B2838"/>
    <w:rsid w:val="001B2D0C"/>
    <w:rsid w:val="001B2F71"/>
    <w:rsid w:val="001B3020"/>
    <w:rsid w:val="001B3314"/>
    <w:rsid w:val="001B3349"/>
    <w:rsid w:val="001B3362"/>
    <w:rsid w:val="001B336A"/>
    <w:rsid w:val="001B3461"/>
    <w:rsid w:val="001B34C1"/>
    <w:rsid w:val="001B34FA"/>
    <w:rsid w:val="001B3561"/>
    <w:rsid w:val="001B36E4"/>
    <w:rsid w:val="001B394A"/>
    <w:rsid w:val="001B39AE"/>
    <w:rsid w:val="001B39CB"/>
    <w:rsid w:val="001B3A12"/>
    <w:rsid w:val="001B3AFD"/>
    <w:rsid w:val="001B3B1E"/>
    <w:rsid w:val="001B3C79"/>
    <w:rsid w:val="001B3DB3"/>
    <w:rsid w:val="001B3E30"/>
    <w:rsid w:val="001B3EE0"/>
    <w:rsid w:val="001B3F05"/>
    <w:rsid w:val="001B413B"/>
    <w:rsid w:val="001B4393"/>
    <w:rsid w:val="001B4458"/>
    <w:rsid w:val="001B4529"/>
    <w:rsid w:val="001B4547"/>
    <w:rsid w:val="001B45D1"/>
    <w:rsid w:val="001B473E"/>
    <w:rsid w:val="001B47A5"/>
    <w:rsid w:val="001B47F5"/>
    <w:rsid w:val="001B494C"/>
    <w:rsid w:val="001B498A"/>
    <w:rsid w:val="001B49E0"/>
    <w:rsid w:val="001B4A08"/>
    <w:rsid w:val="001B4ACF"/>
    <w:rsid w:val="001B4B93"/>
    <w:rsid w:val="001B4BCF"/>
    <w:rsid w:val="001B4C59"/>
    <w:rsid w:val="001B4CCD"/>
    <w:rsid w:val="001B4E28"/>
    <w:rsid w:val="001B4EA6"/>
    <w:rsid w:val="001B508C"/>
    <w:rsid w:val="001B542A"/>
    <w:rsid w:val="001B54EA"/>
    <w:rsid w:val="001B55D9"/>
    <w:rsid w:val="001B55FE"/>
    <w:rsid w:val="001B566B"/>
    <w:rsid w:val="001B56A5"/>
    <w:rsid w:val="001B5814"/>
    <w:rsid w:val="001B584F"/>
    <w:rsid w:val="001B58A2"/>
    <w:rsid w:val="001B59DF"/>
    <w:rsid w:val="001B5A55"/>
    <w:rsid w:val="001B5A7A"/>
    <w:rsid w:val="001B5D98"/>
    <w:rsid w:val="001B5D9F"/>
    <w:rsid w:val="001B6134"/>
    <w:rsid w:val="001B6249"/>
    <w:rsid w:val="001B62FC"/>
    <w:rsid w:val="001B635A"/>
    <w:rsid w:val="001B644A"/>
    <w:rsid w:val="001B6690"/>
    <w:rsid w:val="001B6724"/>
    <w:rsid w:val="001B683D"/>
    <w:rsid w:val="001B68EC"/>
    <w:rsid w:val="001B69B2"/>
    <w:rsid w:val="001B6B84"/>
    <w:rsid w:val="001B6C4B"/>
    <w:rsid w:val="001B6E85"/>
    <w:rsid w:val="001B6EC0"/>
    <w:rsid w:val="001B6F16"/>
    <w:rsid w:val="001B6F98"/>
    <w:rsid w:val="001B7064"/>
    <w:rsid w:val="001B71DD"/>
    <w:rsid w:val="001B736F"/>
    <w:rsid w:val="001B749A"/>
    <w:rsid w:val="001B74E7"/>
    <w:rsid w:val="001B74FE"/>
    <w:rsid w:val="001B75B0"/>
    <w:rsid w:val="001B776B"/>
    <w:rsid w:val="001B7781"/>
    <w:rsid w:val="001B7798"/>
    <w:rsid w:val="001B78DE"/>
    <w:rsid w:val="001B79C4"/>
    <w:rsid w:val="001B7A4B"/>
    <w:rsid w:val="001B7B8F"/>
    <w:rsid w:val="001B7BDB"/>
    <w:rsid w:val="001B7C5C"/>
    <w:rsid w:val="001B7CC5"/>
    <w:rsid w:val="001B7CCA"/>
    <w:rsid w:val="001B7DA9"/>
    <w:rsid w:val="001B7E4C"/>
    <w:rsid w:val="001B7F77"/>
    <w:rsid w:val="001B7FBB"/>
    <w:rsid w:val="001C006A"/>
    <w:rsid w:val="001C0104"/>
    <w:rsid w:val="001C030F"/>
    <w:rsid w:val="001C0374"/>
    <w:rsid w:val="001C048B"/>
    <w:rsid w:val="001C05EE"/>
    <w:rsid w:val="001C06F5"/>
    <w:rsid w:val="001C07AE"/>
    <w:rsid w:val="001C0843"/>
    <w:rsid w:val="001C084F"/>
    <w:rsid w:val="001C0868"/>
    <w:rsid w:val="001C09E2"/>
    <w:rsid w:val="001C09E6"/>
    <w:rsid w:val="001C0B86"/>
    <w:rsid w:val="001C0CB5"/>
    <w:rsid w:val="001C0CD1"/>
    <w:rsid w:val="001C0D25"/>
    <w:rsid w:val="001C0E20"/>
    <w:rsid w:val="001C0F03"/>
    <w:rsid w:val="001C0F3A"/>
    <w:rsid w:val="001C0F7D"/>
    <w:rsid w:val="001C1022"/>
    <w:rsid w:val="001C1043"/>
    <w:rsid w:val="001C1190"/>
    <w:rsid w:val="001C135A"/>
    <w:rsid w:val="001C1488"/>
    <w:rsid w:val="001C159B"/>
    <w:rsid w:val="001C160F"/>
    <w:rsid w:val="001C162A"/>
    <w:rsid w:val="001C1722"/>
    <w:rsid w:val="001C1731"/>
    <w:rsid w:val="001C17C4"/>
    <w:rsid w:val="001C1893"/>
    <w:rsid w:val="001C18F8"/>
    <w:rsid w:val="001C19FB"/>
    <w:rsid w:val="001C1A00"/>
    <w:rsid w:val="001C1A9F"/>
    <w:rsid w:val="001C1B4C"/>
    <w:rsid w:val="001C1B86"/>
    <w:rsid w:val="001C1BCD"/>
    <w:rsid w:val="001C1C49"/>
    <w:rsid w:val="001C1D08"/>
    <w:rsid w:val="001C1F4F"/>
    <w:rsid w:val="001C20D2"/>
    <w:rsid w:val="001C21F0"/>
    <w:rsid w:val="001C2235"/>
    <w:rsid w:val="001C22D2"/>
    <w:rsid w:val="001C2450"/>
    <w:rsid w:val="001C26C2"/>
    <w:rsid w:val="001C26FD"/>
    <w:rsid w:val="001C27A9"/>
    <w:rsid w:val="001C2873"/>
    <w:rsid w:val="001C296C"/>
    <w:rsid w:val="001C2995"/>
    <w:rsid w:val="001C2BBC"/>
    <w:rsid w:val="001C2BFA"/>
    <w:rsid w:val="001C2C55"/>
    <w:rsid w:val="001C2CFB"/>
    <w:rsid w:val="001C2D4F"/>
    <w:rsid w:val="001C2EC8"/>
    <w:rsid w:val="001C2F0A"/>
    <w:rsid w:val="001C2F73"/>
    <w:rsid w:val="001C30CB"/>
    <w:rsid w:val="001C30E6"/>
    <w:rsid w:val="001C3189"/>
    <w:rsid w:val="001C324B"/>
    <w:rsid w:val="001C3275"/>
    <w:rsid w:val="001C3458"/>
    <w:rsid w:val="001C347E"/>
    <w:rsid w:val="001C35A7"/>
    <w:rsid w:val="001C3625"/>
    <w:rsid w:val="001C3710"/>
    <w:rsid w:val="001C3977"/>
    <w:rsid w:val="001C399A"/>
    <w:rsid w:val="001C3B4D"/>
    <w:rsid w:val="001C3B4F"/>
    <w:rsid w:val="001C3B5C"/>
    <w:rsid w:val="001C3B75"/>
    <w:rsid w:val="001C3C16"/>
    <w:rsid w:val="001C3C18"/>
    <w:rsid w:val="001C3C60"/>
    <w:rsid w:val="001C3E1F"/>
    <w:rsid w:val="001C3F82"/>
    <w:rsid w:val="001C3F93"/>
    <w:rsid w:val="001C3FDD"/>
    <w:rsid w:val="001C4042"/>
    <w:rsid w:val="001C40D6"/>
    <w:rsid w:val="001C40E2"/>
    <w:rsid w:val="001C40E9"/>
    <w:rsid w:val="001C40EC"/>
    <w:rsid w:val="001C4158"/>
    <w:rsid w:val="001C416F"/>
    <w:rsid w:val="001C4255"/>
    <w:rsid w:val="001C4299"/>
    <w:rsid w:val="001C431A"/>
    <w:rsid w:val="001C43DA"/>
    <w:rsid w:val="001C43E0"/>
    <w:rsid w:val="001C440E"/>
    <w:rsid w:val="001C44A3"/>
    <w:rsid w:val="001C44AF"/>
    <w:rsid w:val="001C44E3"/>
    <w:rsid w:val="001C47B5"/>
    <w:rsid w:val="001C484C"/>
    <w:rsid w:val="001C48D0"/>
    <w:rsid w:val="001C4900"/>
    <w:rsid w:val="001C4B29"/>
    <w:rsid w:val="001C4BB0"/>
    <w:rsid w:val="001C4BB7"/>
    <w:rsid w:val="001C4C5C"/>
    <w:rsid w:val="001C4C9F"/>
    <w:rsid w:val="001C4CDD"/>
    <w:rsid w:val="001C4D14"/>
    <w:rsid w:val="001C4D95"/>
    <w:rsid w:val="001C4DDD"/>
    <w:rsid w:val="001C4DFD"/>
    <w:rsid w:val="001C4E86"/>
    <w:rsid w:val="001C5026"/>
    <w:rsid w:val="001C518A"/>
    <w:rsid w:val="001C51FA"/>
    <w:rsid w:val="001C5245"/>
    <w:rsid w:val="001C535B"/>
    <w:rsid w:val="001C53D9"/>
    <w:rsid w:val="001C55C4"/>
    <w:rsid w:val="001C55D7"/>
    <w:rsid w:val="001C5729"/>
    <w:rsid w:val="001C5992"/>
    <w:rsid w:val="001C5B02"/>
    <w:rsid w:val="001C5C06"/>
    <w:rsid w:val="001C5DDA"/>
    <w:rsid w:val="001C5DDB"/>
    <w:rsid w:val="001C5E55"/>
    <w:rsid w:val="001C5E76"/>
    <w:rsid w:val="001C5EB6"/>
    <w:rsid w:val="001C6098"/>
    <w:rsid w:val="001C6107"/>
    <w:rsid w:val="001C63ED"/>
    <w:rsid w:val="001C6567"/>
    <w:rsid w:val="001C6572"/>
    <w:rsid w:val="001C6611"/>
    <w:rsid w:val="001C6625"/>
    <w:rsid w:val="001C6657"/>
    <w:rsid w:val="001C6801"/>
    <w:rsid w:val="001C682E"/>
    <w:rsid w:val="001C6923"/>
    <w:rsid w:val="001C69CD"/>
    <w:rsid w:val="001C6B0F"/>
    <w:rsid w:val="001C6B13"/>
    <w:rsid w:val="001C6BDD"/>
    <w:rsid w:val="001C6E19"/>
    <w:rsid w:val="001C6EF7"/>
    <w:rsid w:val="001C6EFD"/>
    <w:rsid w:val="001C701C"/>
    <w:rsid w:val="001C70E5"/>
    <w:rsid w:val="001C7163"/>
    <w:rsid w:val="001C7194"/>
    <w:rsid w:val="001C71CC"/>
    <w:rsid w:val="001C71DF"/>
    <w:rsid w:val="001C7353"/>
    <w:rsid w:val="001C7802"/>
    <w:rsid w:val="001C7999"/>
    <w:rsid w:val="001C79E5"/>
    <w:rsid w:val="001C7C54"/>
    <w:rsid w:val="001C7CDD"/>
    <w:rsid w:val="001C7E0D"/>
    <w:rsid w:val="001D001B"/>
    <w:rsid w:val="001D0153"/>
    <w:rsid w:val="001D025A"/>
    <w:rsid w:val="001D05C1"/>
    <w:rsid w:val="001D074D"/>
    <w:rsid w:val="001D07B7"/>
    <w:rsid w:val="001D08FD"/>
    <w:rsid w:val="001D0BE7"/>
    <w:rsid w:val="001D0C18"/>
    <w:rsid w:val="001D0F87"/>
    <w:rsid w:val="001D0F9F"/>
    <w:rsid w:val="001D0FA4"/>
    <w:rsid w:val="001D1292"/>
    <w:rsid w:val="001D132D"/>
    <w:rsid w:val="001D135F"/>
    <w:rsid w:val="001D1581"/>
    <w:rsid w:val="001D158B"/>
    <w:rsid w:val="001D1655"/>
    <w:rsid w:val="001D176A"/>
    <w:rsid w:val="001D19EA"/>
    <w:rsid w:val="001D1A5C"/>
    <w:rsid w:val="001D1AAA"/>
    <w:rsid w:val="001D1DD1"/>
    <w:rsid w:val="001D1E1D"/>
    <w:rsid w:val="001D1E42"/>
    <w:rsid w:val="001D1E8A"/>
    <w:rsid w:val="001D20EB"/>
    <w:rsid w:val="001D2201"/>
    <w:rsid w:val="001D223B"/>
    <w:rsid w:val="001D230B"/>
    <w:rsid w:val="001D233F"/>
    <w:rsid w:val="001D2473"/>
    <w:rsid w:val="001D24ED"/>
    <w:rsid w:val="001D2512"/>
    <w:rsid w:val="001D25BA"/>
    <w:rsid w:val="001D26D8"/>
    <w:rsid w:val="001D26DC"/>
    <w:rsid w:val="001D27F1"/>
    <w:rsid w:val="001D2852"/>
    <w:rsid w:val="001D28C0"/>
    <w:rsid w:val="001D2A36"/>
    <w:rsid w:val="001D2AB3"/>
    <w:rsid w:val="001D2C19"/>
    <w:rsid w:val="001D2E30"/>
    <w:rsid w:val="001D2E5D"/>
    <w:rsid w:val="001D2F05"/>
    <w:rsid w:val="001D30B3"/>
    <w:rsid w:val="001D3151"/>
    <w:rsid w:val="001D321B"/>
    <w:rsid w:val="001D3302"/>
    <w:rsid w:val="001D365A"/>
    <w:rsid w:val="001D366F"/>
    <w:rsid w:val="001D3707"/>
    <w:rsid w:val="001D37F9"/>
    <w:rsid w:val="001D3806"/>
    <w:rsid w:val="001D3892"/>
    <w:rsid w:val="001D3906"/>
    <w:rsid w:val="001D3AF9"/>
    <w:rsid w:val="001D3B5A"/>
    <w:rsid w:val="001D3BAF"/>
    <w:rsid w:val="001D3C33"/>
    <w:rsid w:val="001D3CA7"/>
    <w:rsid w:val="001D3DE3"/>
    <w:rsid w:val="001D3F0F"/>
    <w:rsid w:val="001D3FCA"/>
    <w:rsid w:val="001D4282"/>
    <w:rsid w:val="001D43FE"/>
    <w:rsid w:val="001D4552"/>
    <w:rsid w:val="001D4683"/>
    <w:rsid w:val="001D4B01"/>
    <w:rsid w:val="001D4C2F"/>
    <w:rsid w:val="001D4CBC"/>
    <w:rsid w:val="001D4E1D"/>
    <w:rsid w:val="001D4E37"/>
    <w:rsid w:val="001D504F"/>
    <w:rsid w:val="001D50A9"/>
    <w:rsid w:val="001D50D9"/>
    <w:rsid w:val="001D50DF"/>
    <w:rsid w:val="001D516E"/>
    <w:rsid w:val="001D519B"/>
    <w:rsid w:val="001D5487"/>
    <w:rsid w:val="001D57E0"/>
    <w:rsid w:val="001D59F9"/>
    <w:rsid w:val="001D5AF2"/>
    <w:rsid w:val="001D5B9B"/>
    <w:rsid w:val="001D5C00"/>
    <w:rsid w:val="001D5CA8"/>
    <w:rsid w:val="001D5D94"/>
    <w:rsid w:val="001D5F48"/>
    <w:rsid w:val="001D6015"/>
    <w:rsid w:val="001D6039"/>
    <w:rsid w:val="001D6147"/>
    <w:rsid w:val="001D618D"/>
    <w:rsid w:val="001D6194"/>
    <w:rsid w:val="001D61B0"/>
    <w:rsid w:val="001D61BF"/>
    <w:rsid w:val="001D61E7"/>
    <w:rsid w:val="001D626C"/>
    <w:rsid w:val="001D65BD"/>
    <w:rsid w:val="001D6661"/>
    <w:rsid w:val="001D6665"/>
    <w:rsid w:val="001D6784"/>
    <w:rsid w:val="001D6826"/>
    <w:rsid w:val="001D6887"/>
    <w:rsid w:val="001D6925"/>
    <w:rsid w:val="001D6B52"/>
    <w:rsid w:val="001D6B85"/>
    <w:rsid w:val="001D6C2D"/>
    <w:rsid w:val="001D6D2D"/>
    <w:rsid w:val="001D70E8"/>
    <w:rsid w:val="001D7274"/>
    <w:rsid w:val="001D7373"/>
    <w:rsid w:val="001D73D2"/>
    <w:rsid w:val="001D73DB"/>
    <w:rsid w:val="001D7404"/>
    <w:rsid w:val="001D74A1"/>
    <w:rsid w:val="001D7664"/>
    <w:rsid w:val="001D76C8"/>
    <w:rsid w:val="001D77CE"/>
    <w:rsid w:val="001D77E5"/>
    <w:rsid w:val="001D77E6"/>
    <w:rsid w:val="001D786A"/>
    <w:rsid w:val="001D79CC"/>
    <w:rsid w:val="001D7B8B"/>
    <w:rsid w:val="001D7B98"/>
    <w:rsid w:val="001D7BC7"/>
    <w:rsid w:val="001D7CC1"/>
    <w:rsid w:val="001D7F25"/>
    <w:rsid w:val="001E004E"/>
    <w:rsid w:val="001E0147"/>
    <w:rsid w:val="001E015F"/>
    <w:rsid w:val="001E0387"/>
    <w:rsid w:val="001E03FA"/>
    <w:rsid w:val="001E0449"/>
    <w:rsid w:val="001E046C"/>
    <w:rsid w:val="001E08AD"/>
    <w:rsid w:val="001E08FC"/>
    <w:rsid w:val="001E095A"/>
    <w:rsid w:val="001E0AA2"/>
    <w:rsid w:val="001E0C15"/>
    <w:rsid w:val="001E0C16"/>
    <w:rsid w:val="001E0C73"/>
    <w:rsid w:val="001E0C92"/>
    <w:rsid w:val="001E0DC4"/>
    <w:rsid w:val="001E0E1D"/>
    <w:rsid w:val="001E0E9D"/>
    <w:rsid w:val="001E0F1E"/>
    <w:rsid w:val="001E103F"/>
    <w:rsid w:val="001E111B"/>
    <w:rsid w:val="001E1189"/>
    <w:rsid w:val="001E1252"/>
    <w:rsid w:val="001E1307"/>
    <w:rsid w:val="001E13BC"/>
    <w:rsid w:val="001E1510"/>
    <w:rsid w:val="001E1529"/>
    <w:rsid w:val="001E1840"/>
    <w:rsid w:val="001E19ED"/>
    <w:rsid w:val="001E1AE1"/>
    <w:rsid w:val="001E1BD1"/>
    <w:rsid w:val="001E1C11"/>
    <w:rsid w:val="001E1C1A"/>
    <w:rsid w:val="001E1F0A"/>
    <w:rsid w:val="001E1F8F"/>
    <w:rsid w:val="001E1FB4"/>
    <w:rsid w:val="001E1FD9"/>
    <w:rsid w:val="001E2048"/>
    <w:rsid w:val="001E21F6"/>
    <w:rsid w:val="001E22DA"/>
    <w:rsid w:val="001E2449"/>
    <w:rsid w:val="001E2467"/>
    <w:rsid w:val="001E24E8"/>
    <w:rsid w:val="001E2676"/>
    <w:rsid w:val="001E2726"/>
    <w:rsid w:val="001E2800"/>
    <w:rsid w:val="001E28B6"/>
    <w:rsid w:val="001E2974"/>
    <w:rsid w:val="001E2AA1"/>
    <w:rsid w:val="001E2AF2"/>
    <w:rsid w:val="001E2D03"/>
    <w:rsid w:val="001E2DD7"/>
    <w:rsid w:val="001E2E50"/>
    <w:rsid w:val="001E2EFA"/>
    <w:rsid w:val="001E2F31"/>
    <w:rsid w:val="001E3031"/>
    <w:rsid w:val="001E31AE"/>
    <w:rsid w:val="001E32CD"/>
    <w:rsid w:val="001E33E4"/>
    <w:rsid w:val="001E369F"/>
    <w:rsid w:val="001E36AA"/>
    <w:rsid w:val="001E36DD"/>
    <w:rsid w:val="001E38AE"/>
    <w:rsid w:val="001E3A7A"/>
    <w:rsid w:val="001E3A92"/>
    <w:rsid w:val="001E3ACE"/>
    <w:rsid w:val="001E3B05"/>
    <w:rsid w:val="001E3CC1"/>
    <w:rsid w:val="001E3D56"/>
    <w:rsid w:val="001E3DA3"/>
    <w:rsid w:val="001E40BC"/>
    <w:rsid w:val="001E444F"/>
    <w:rsid w:val="001E4662"/>
    <w:rsid w:val="001E468E"/>
    <w:rsid w:val="001E469A"/>
    <w:rsid w:val="001E46C6"/>
    <w:rsid w:val="001E4866"/>
    <w:rsid w:val="001E4AE8"/>
    <w:rsid w:val="001E4BA7"/>
    <w:rsid w:val="001E4C07"/>
    <w:rsid w:val="001E4CBA"/>
    <w:rsid w:val="001E4D04"/>
    <w:rsid w:val="001E4D52"/>
    <w:rsid w:val="001E4DD0"/>
    <w:rsid w:val="001E4E81"/>
    <w:rsid w:val="001E4ED0"/>
    <w:rsid w:val="001E4F0E"/>
    <w:rsid w:val="001E4F57"/>
    <w:rsid w:val="001E4F6B"/>
    <w:rsid w:val="001E51AA"/>
    <w:rsid w:val="001E52E6"/>
    <w:rsid w:val="001E538A"/>
    <w:rsid w:val="001E539E"/>
    <w:rsid w:val="001E5409"/>
    <w:rsid w:val="001E5503"/>
    <w:rsid w:val="001E553C"/>
    <w:rsid w:val="001E562B"/>
    <w:rsid w:val="001E57EA"/>
    <w:rsid w:val="001E59D4"/>
    <w:rsid w:val="001E5BB2"/>
    <w:rsid w:val="001E5BED"/>
    <w:rsid w:val="001E5C1B"/>
    <w:rsid w:val="001E5C21"/>
    <w:rsid w:val="001E5C59"/>
    <w:rsid w:val="001E5DF9"/>
    <w:rsid w:val="001E5E1C"/>
    <w:rsid w:val="001E5E2D"/>
    <w:rsid w:val="001E5E30"/>
    <w:rsid w:val="001E5F5A"/>
    <w:rsid w:val="001E6135"/>
    <w:rsid w:val="001E61FE"/>
    <w:rsid w:val="001E6261"/>
    <w:rsid w:val="001E627D"/>
    <w:rsid w:val="001E62AF"/>
    <w:rsid w:val="001E64C0"/>
    <w:rsid w:val="001E653C"/>
    <w:rsid w:val="001E66E6"/>
    <w:rsid w:val="001E6880"/>
    <w:rsid w:val="001E6998"/>
    <w:rsid w:val="001E6A8E"/>
    <w:rsid w:val="001E6B31"/>
    <w:rsid w:val="001E6BDF"/>
    <w:rsid w:val="001E6C12"/>
    <w:rsid w:val="001E6CE3"/>
    <w:rsid w:val="001E6E04"/>
    <w:rsid w:val="001E70AC"/>
    <w:rsid w:val="001E7111"/>
    <w:rsid w:val="001E7172"/>
    <w:rsid w:val="001E731E"/>
    <w:rsid w:val="001E745D"/>
    <w:rsid w:val="001E748A"/>
    <w:rsid w:val="001E74F7"/>
    <w:rsid w:val="001E7510"/>
    <w:rsid w:val="001E76A9"/>
    <w:rsid w:val="001E7733"/>
    <w:rsid w:val="001E78CE"/>
    <w:rsid w:val="001E78D6"/>
    <w:rsid w:val="001E78F3"/>
    <w:rsid w:val="001E794A"/>
    <w:rsid w:val="001E79C5"/>
    <w:rsid w:val="001E7C52"/>
    <w:rsid w:val="001E7C89"/>
    <w:rsid w:val="001E7D66"/>
    <w:rsid w:val="001E7DBF"/>
    <w:rsid w:val="001E7DD6"/>
    <w:rsid w:val="001E7F67"/>
    <w:rsid w:val="001E7F8D"/>
    <w:rsid w:val="001F0095"/>
    <w:rsid w:val="001F00D5"/>
    <w:rsid w:val="001F01EB"/>
    <w:rsid w:val="001F03D4"/>
    <w:rsid w:val="001F057E"/>
    <w:rsid w:val="001F0597"/>
    <w:rsid w:val="001F06E9"/>
    <w:rsid w:val="001F07A3"/>
    <w:rsid w:val="001F085F"/>
    <w:rsid w:val="001F08E5"/>
    <w:rsid w:val="001F0AD6"/>
    <w:rsid w:val="001F0B06"/>
    <w:rsid w:val="001F0BBF"/>
    <w:rsid w:val="001F0D01"/>
    <w:rsid w:val="001F0D37"/>
    <w:rsid w:val="001F0EC0"/>
    <w:rsid w:val="001F0F0B"/>
    <w:rsid w:val="001F0F73"/>
    <w:rsid w:val="001F1021"/>
    <w:rsid w:val="001F10B8"/>
    <w:rsid w:val="001F11E7"/>
    <w:rsid w:val="001F129C"/>
    <w:rsid w:val="001F1358"/>
    <w:rsid w:val="001F1388"/>
    <w:rsid w:val="001F1495"/>
    <w:rsid w:val="001F150A"/>
    <w:rsid w:val="001F1582"/>
    <w:rsid w:val="001F15A6"/>
    <w:rsid w:val="001F15D8"/>
    <w:rsid w:val="001F16B9"/>
    <w:rsid w:val="001F175C"/>
    <w:rsid w:val="001F1BAE"/>
    <w:rsid w:val="001F1BFE"/>
    <w:rsid w:val="001F1CD0"/>
    <w:rsid w:val="001F1CF2"/>
    <w:rsid w:val="001F1F26"/>
    <w:rsid w:val="001F1F63"/>
    <w:rsid w:val="001F2068"/>
    <w:rsid w:val="001F2221"/>
    <w:rsid w:val="001F230D"/>
    <w:rsid w:val="001F2465"/>
    <w:rsid w:val="001F2484"/>
    <w:rsid w:val="001F24A6"/>
    <w:rsid w:val="001F2500"/>
    <w:rsid w:val="001F2515"/>
    <w:rsid w:val="001F265E"/>
    <w:rsid w:val="001F274D"/>
    <w:rsid w:val="001F275A"/>
    <w:rsid w:val="001F279E"/>
    <w:rsid w:val="001F27E1"/>
    <w:rsid w:val="001F2807"/>
    <w:rsid w:val="001F2ACF"/>
    <w:rsid w:val="001F2C02"/>
    <w:rsid w:val="001F2CB2"/>
    <w:rsid w:val="001F2DEB"/>
    <w:rsid w:val="001F2E1C"/>
    <w:rsid w:val="001F2E25"/>
    <w:rsid w:val="001F2E62"/>
    <w:rsid w:val="001F2EDE"/>
    <w:rsid w:val="001F2F00"/>
    <w:rsid w:val="001F322E"/>
    <w:rsid w:val="001F3259"/>
    <w:rsid w:val="001F3357"/>
    <w:rsid w:val="001F338A"/>
    <w:rsid w:val="001F33A9"/>
    <w:rsid w:val="001F3515"/>
    <w:rsid w:val="001F369A"/>
    <w:rsid w:val="001F37A5"/>
    <w:rsid w:val="001F38AA"/>
    <w:rsid w:val="001F39C0"/>
    <w:rsid w:val="001F3ACA"/>
    <w:rsid w:val="001F3BED"/>
    <w:rsid w:val="001F3DED"/>
    <w:rsid w:val="001F3DF1"/>
    <w:rsid w:val="001F3FB2"/>
    <w:rsid w:val="001F402F"/>
    <w:rsid w:val="001F4037"/>
    <w:rsid w:val="001F41DF"/>
    <w:rsid w:val="001F4257"/>
    <w:rsid w:val="001F42C6"/>
    <w:rsid w:val="001F439B"/>
    <w:rsid w:val="001F450C"/>
    <w:rsid w:val="001F47AF"/>
    <w:rsid w:val="001F486B"/>
    <w:rsid w:val="001F4981"/>
    <w:rsid w:val="001F499D"/>
    <w:rsid w:val="001F49EF"/>
    <w:rsid w:val="001F4D82"/>
    <w:rsid w:val="001F4DB9"/>
    <w:rsid w:val="001F4EA9"/>
    <w:rsid w:val="001F4FB7"/>
    <w:rsid w:val="001F4FD1"/>
    <w:rsid w:val="001F5006"/>
    <w:rsid w:val="001F5034"/>
    <w:rsid w:val="001F50FA"/>
    <w:rsid w:val="001F517B"/>
    <w:rsid w:val="001F52C4"/>
    <w:rsid w:val="001F53DB"/>
    <w:rsid w:val="001F5639"/>
    <w:rsid w:val="001F585C"/>
    <w:rsid w:val="001F588D"/>
    <w:rsid w:val="001F5900"/>
    <w:rsid w:val="001F596B"/>
    <w:rsid w:val="001F59E4"/>
    <w:rsid w:val="001F5A5B"/>
    <w:rsid w:val="001F5B65"/>
    <w:rsid w:val="001F5BCB"/>
    <w:rsid w:val="001F5CCE"/>
    <w:rsid w:val="001F5CD7"/>
    <w:rsid w:val="001F5D4E"/>
    <w:rsid w:val="001F5E20"/>
    <w:rsid w:val="001F5F0D"/>
    <w:rsid w:val="001F5F33"/>
    <w:rsid w:val="001F60BD"/>
    <w:rsid w:val="001F629A"/>
    <w:rsid w:val="001F6750"/>
    <w:rsid w:val="001F6850"/>
    <w:rsid w:val="001F68E8"/>
    <w:rsid w:val="001F69C5"/>
    <w:rsid w:val="001F6A43"/>
    <w:rsid w:val="001F6AC8"/>
    <w:rsid w:val="001F6BA8"/>
    <w:rsid w:val="001F6C0F"/>
    <w:rsid w:val="001F6C97"/>
    <w:rsid w:val="001F6E2B"/>
    <w:rsid w:val="001F6E69"/>
    <w:rsid w:val="001F6FEE"/>
    <w:rsid w:val="001F7293"/>
    <w:rsid w:val="001F72A4"/>
    <w:rsid w:val="001F735B"/>
    <w:rsid w:val="001F7368"/>
    <w:rsid w:val="001F73A9"/>
    <w:rsid w:val="001F74CA"/>
    <w:rsid w:val="001F7531"/>
    <w:rsid w:val="001F7554"/>
    <w:rsid w:val="001F7641"/>
    <w:rsid w:val="001F76F8"/>
    <w:rsid w:val="001F772E"/>
    <w:rsid w:val="001F7C86"/>
    <w:rsid w:val="001F7C9E"/>
    <w:rsid w:val="001F7D16"/>
    <w:rsid w:val="001F7E1A"/>
    <w:rsid w:val="001F7E86"/>
    <w:rsid w:val="001F7FA4"/>
    <w:rsid w:val="001F7FEA"/>
    <w:rsid w:val="002000F1"/>
    <w:rsid w:val="002000F2"/>
    <w:rsid w:val="0020023E"/>
    <w:rsid w:val="0020026D"/>
    <w:rsid w:val="002002C9"/>
    <w:rsid w:val="00200306"/>
    <w:rsid w:val="002003A5"/>
    <w:rsid w:val="00200469"/>
    <w:rsid w:val="002006BD"/>
    <w:rsid w:val="00200709"/>
    <w:rsid w:val="0020078A"/>
    <w:rsid w:val="002007C9"/>
    <w:rsid w:val="0020090E"/>
    <w:rsid w:val="00200A1E"/>
    <w:rsid w:val="00200A71"/>
    <w:rsid w:val="00200B69"/>
    <w:rsid w:val="00200BC4"/>
    <w:rsid w:val="00200BF2"/>
    <w:rsid w:val="00200EB2"/>
    <w:rsid w:val="00200F05"/>
    <w:rsid w:val="00201030"/>
    <w:rsid w:val="002010BB"/>
    <w:rsid w:val="00201118"/>
    <w:rsid w:val="002013DE"/>
    <w:rsid w:val="00201418"/>
    <w:rsid w:val="002014CD"/>
    <w:rsid w:val="002014F7"/>
    <w:rsid w:val="00201525"/>
    <w:rsid w:val="00201586"/>
    <w:rsid w:val="002015B5"/>
    <w:rsid w:val="002015CB"/>
    <w:rsid w:val="00201726"/>
    <w:rsid w:val="00201763"/>
    <w:rsid w:val="002018DF"/>
    <w:rsid w:val="00201A64"/>
    <w:rsid w:val="00201A81"/>
    <w:rsid w:val="00201B8A"/>
    <w:rsid w:val="00201C3E"/>
    <w:rsid w:val="002020D3"/>
    <w:rsid w:val="002022BC"/>
    <w:rsid w:val="002022F5"/>
    <w:rsid w:val="00202441"/>
    <w:rsid w:val="002024D3"/>
    <w:rsid w:val="0020253A"/>
    <w:rsid w:val="00202657"/>
    <w:rsid w:val="0020266A"/>
    <w:rsid w:val="00202701"/>
    <w:rsid w:val="002027EA"/>
    <w:rsid w:val="00202884"/>
    <w:rsid w:val="002029F3"/>
    <w:rsid w:val="00202A79"/>
    <w:rsid w:val="00202B99"/>
    <w:rsid w:val="00202D35"/>
    <w:rsid w:val="00202D57"/>
    <w:rsid w:val="00202DDD"/>
    <w:rsid w:val="00202E02"/>
    <w:rsid w:val="00202F34"/>
    <w:rsid w:val="00202FFD"/>
    <w:rsid w:val="0020304E"/>
    <w:rsid w:val="0020316F"/>
    <w:rsid w:val="002032F2"/>
    <w:rsid w:val="002032F8"/>
    <w:rsid w:val="0020334D"/>
    <w:rsid w:val="002033A6"/>
    <w:rsid w:val="0020346D"/>
    <w:rsid w:val="002034F9"/>
    <w:rsid w:val="002035EF"/>
    <w:rsid w:val="002036CE"/>
    <w:rsid w:val="00203704"/>
    <w:rsid w:val="002037A1"/>
    <w:rsid w:val="002037C4"/>
    <w:rsid w:val="002037C5"/>
    <w:rsid w:val="00203B1C"/>
    <w:rsid w:val="00203CD9"/>
    <w:rsid w:val="00203EA3"/>
    <w:rsid w:val="00203EB0"/>
    <w:rsid w:val="00203EF3"/>
    <w:rsid w:val="00203F0E"/>
    <w:rsid w:val="00203F9C"/>
    <w:rsid w:val="002040CE"/>
    <w:rsid w:val="00204232"/>
    <w:rsid w:val="002042DC"/>
    <w:rsid w:val="002042F2"/>
    <w:rsid w:val="002043A0"/>
    <w:rsid w:val="0020440E"/>
    <w:rsid w:val="00204417"/>
    <w:rsid w:val="0020441D"/>
    <w:rsid w:val="00204438"/>
    <w:rsid w:val="0020445D"/>
    <w:rsid w:val="0020458C"/>
    <w:rsid w:val="00204660"/>
    <w:rsid w:val="002047A4"/>
    <w:rsid w:val="002048B1"/>
    <w:rsid w:val="002049A1"/>
    <w:rsid w:val="002049B6"/>
    <w:rsid w:val="002049E1"/>
    <w:rsid w:val="00204BDE"/>
    <w:rsid w:val="00204D0A"/>
    <w:rsid w:val="00204E5F"/>
    <w:rsid w:val="00204EC3"/>
    <w:rsid w:val="00205007"/>
    <w:rsid w:val="00205131"/>
    <w:rsid w:val="002051B8"/>
    <w:rsid w:val="002051C7"/>
    <w:rsid w:val="00205237"/>
    <w:rsid w:val="00205324"/>
    <w:rsid w:val="0020537B"/>
    <w:rsid w:val="00205398"/>
    <w:rsid w:val="0020544A"/>
    <w:rsid w:val="002054AD"/>
    <w:rsid w:val="002054F7"/>
    <w:rsid w:val="0020560A"/>
    <w:rsid w:val="002058B0"/>
    <w:rsid w:val="0020598C"/>
    <w:rsid w:val="00205A50"/>
    <w:rsid w:val="00205ADB"/>
    <w:rsid w:val="00205C07"/>
    <w:rsid w:val="00205C70"/>
    <w:rsid w:val="00205CD9"/>
    <w:rsid w:val="00205D05"/>
    <w:rsid w:val="00205D6B"/>
    <w:rsid w:val="00205F05"/>
    <w:rsid w:val="00205F9E"/>
    <w:rsid w:val="002060E3"/>
    <w:rsid w:val="0020613A"/>
    <w:rsid w:val="0020619D"/>
    <w:rsid w:val="0020625B"/>
    <w:rsid w:val="00206283"/>
    <w:rsid w:val="002062D4"/>
    <w:rsid w:val="002063A0"/>
    <w:rsid w:val="002063A5"/>
    <w:rsid w:val="00206412"/>
    <w:rsid w:val="002064B9"/>
    <w:rsid w:val="002065D1"/>
    <w:rsid w:val="00206715"/>
    <w:rsid w:val="00206864"/>
    <w:rsid w:val="002068A7"/>
    <w:rsid w:val="00206B1F"/>
    <w:rsid w:val="00206B82"/>
    <w:rsid w:val="00206BD5"/>
    <w:rsid w:val="00206C67"/>
    <w:rsid w:val="00206DC1"/>
    <w:rsid w:val="00206E1A"/>
    <w:rsid w:val="00206ECE"/>
    <w:rsid w:val="00207016"/>
    <w:rsid w:val="0020711A"/>
    <w:rsid w:val="0020713B"/>
    <w:rsid w:val="00207152"/>
    <w:rsid w:val="00207191"/>
    <w:rsid w:val="002071C0"/>
    <w:rsid w:val="002071E1"/>
    <w:rsid w:val="00207290"/>
    <w:rsid w:val="00207338"/>
    <w:rsid w:val="002073B2"/>
    <w:rsid w:val="002074D9"/>
    <w:rsid w:val="00207610"/>
    <w:rsid w:val="002076A0"/>
    <w:rsid w:val="002078A3"/>
    <w:rsid w:val="002078D7"/>
    <w:rsid w:val="00207969"/>
    <w:rsid w:val="00207A7B"/>
    <w:rsid w:val="00207A82"/>
    <w:rsid w:val="00207B34"/>
    <w:rsid w:val="00207EA3"/>
    <w:rsid w:val="00207EE6"/>
    <w:rsid w:val="00207EFF"/>
    <w:rsid w:val="00207F29"/>
    <w:rsid w:val="00207F80"/>
    <w:rsid w:val="0021004A"/>
    <w:rsid w:val="002101AF"/>
    <w:rsid w:val="00210253"/>
    <w:rsid w:val="002102D4"/>
    <w:rsid w:val="00210370"/>
    <w:rsid w:val="002104F5"/>
    <w:rsid w:val="0021057A"/>
    <w:rsid w:val="002107DB"/>
    <w:rsid w:val="002108DD"/>
    <w:rsid w:val="0021090B"/>
    <w:rsid w:val="00210E15"/>
    <w:rsid w:val="00210F03"/>
    <w:rsid w:val="00211156"/>
    <w:rsid w:val="002112DC"/>
    <w:rsid w:val="00211370"/>
    <w:rsid w:val="0021145C"/>
    <w:rsid w:val="002114E6"/>
    <w:rsid w:val="00211691"/>
    <w:rsid w:val="0021196D"/>
    <w:rsid w:val="00211A41"/>
    <w:rsid w:val="00211A60"/>
    <w:rsid w:val="00211A98"/>
    <w:rsid w:val="00211BE5"/>
    <w:rsid w:val="00211BEB"/>
    <w:rsid w:val="00211D64"/>
    <w:rsid w:val="00211E8C"/>
    <w:rsid w:val="00211ED3"/>
    <w:rsid w:val="00211EF5"/>
    <w:rsid w:val="00211FFA"/>
    <w:rsid w:val="00212230"/>
    <w:rsid w:val="00212299"/>
    <w:rsid w:val="002122BF"/>
    <w:rsid w:val="002122D0"/>
    <w:rsid w:val="00212446"/>
    <w:rsid w:val="0021253C"/>
    <w:rsid w:val="00212732"/>
    <w:rsid w:val="0021279D"/>
    <w:rsid w:val="00212851"/>
    <w:rsid w:val="002129DD"/>
    <w:rsid w:val="002129F4"/>
    <w:rsid w:val="00212A0E"/>
    <w:rsid w:val="00212AED"/>
    <w:rsid w:val="00212BE1"/>
    <w:rsid w:val="00212C68"/>
    <w:rsid w:val="00212E0C"/>
    <w:rsid w:val="00212E17"/>
    <w:rsid w:val="00213030"/>
    <w:rsid w:val="00213083"/>
    <w:rsid w:val="002130A6"/>
    <w:rsid w:val="002132A2"/>
    <w:rsid w:val="002133FE"/>
    <w:rsid w:val="00213434"/>
    <w:rsid w:val="0021343E"/>
    <w:rsid w:val="00213458"/>
    <w:rsid w:val="00213667"/>
    <w:rsid w:val="0021368A"/>
    <w:rsid w:val="0021369D"/>
    <w:rsid w:val="00213917"/>
    <w:rsid w:val="00213B5F"/>
    <w:rsid w:val="00213C87"/>
    <w:rsid w:val="00213CD4"/>
    <w:rsid w:val="00213EAC"/>
    <w:rsid w:val="00213F64"/>
    <w:rsid w:val="00214091"/>
    <w:rsid w:val="002141DC"/>
    <w:rsid w:val="00214381"/>
    <w:rsid w:val="002143F9"/>
    <w:rsid w:val="00214434"/>
    <w:rsid w:val="002146E8"/>
    <w:rsid w:val="0021472C"/>
    <w:rsid w:val="00214786"/>
    <w:rsid w:val="002147C2"/>
    <w:rsid w:val="0021481B"/>
    <w:rsid w:val="002148DF"/>
    <w:rsid w:val="002148EF"/>
    <w:rsid w:val="0021491E"/>
    <w:rsid w:val="0021499E"/>
    <w:rsid w:val="00214A2F"/>
    <w:rsid w:val="00214C22"/>
    <w:rsid w:val="00214CA3"/>
    <w:rsid w:val="00214DEC"/>
    <w:rsid w:val="00214E43"/>
    <w:rsid w:val="00214E5C"/>
    <w:rsid w:val="00214EF4"/>
    <w:rsid w:val="00214F4A"/>
    <w:rsid w:val="0021506E"/>
    <w:rsid w:val="00215159"/>
    <w:rsid w:val="002151B5"/>
    <w:rsid w:val="002152C1"/>
    <w:rsid w:val="002152D4"/>
    <w:rsid w:val="00215535"/>
    <w:rsid w:val="0021556A"/>
    <w:rsid w:val="002155AC"/>
    <w:rsid w:val="002155B3"/>
    <w:rsid w:val="0021561F"/>
    <w:rsid w:val="0021567E"/>
    <w:rsid w:val="002156D5"/>
    <w:rsid w:val="00215764"/>
    <w:rsid w:val="0021580C"/>
    <w:rsid w:val="00215813"/>
    <w:rsid w:val="0021582C"/>
    <w:rsid w:val="00215A81"/>
    <w:rsid w:val="00215AAB"/>
    <w:rsid w:val="00215B1D"/>
    <w:rsid w:val="00215B31"/>
    <w:rsid w:val="00215C0F"/>
    <w:rsid w:val="00215C48"/>
    <w:rsid w:val="00215CCF"/>
    <w:rsid w:val="00215DD0"/>
    <w:rsid w:val="00215F99"/>
    <w:rsid w:val="00216041"/>
    <w:rsid w:val="00216096"/>
    <w:rsid w:val="002160AF"/>
    <w:rsid w:val="002160B3"/>
    <w:rsid w:val="00216236"/>
    <w:rsid w:val="00216472"/>
    <w:rsid w:val="00216477"/>
    <w:rsid w:val="00216542"/>
    <w:rsid w:val="002165B5"/>
    <w:rsid w:val="00216603"/>
    <w:rsid w:val="00216799"/>
    <w:rsid w:val="002167EA"/>
    <w:rsid w:val="002168E9"/>
    <w:rsid w:val="002168FA"/>
    <w:rsid w:val="0021694E"/>
    <w:rsid w:val="00216AE3"/>
    <w:rsid w:val="00216AEE"/>
    <w:rsid w:val="00216D1C"/>
    <w:rsid w:val="00216E40"/>
    <w:rsid w:val="00216E44"/>
    <w:rsid w:val="002171E0"/>
    <w:rsid w:val="002172B0"/>
    <w:rsid w:val="00217394"/>
    <w:rsid w:val="002173BE"/>
    <w:rsid w:val="00217410"/>
    <w:rsid w:val="00217412"/>
    <w:rsid w:val="00217527"/>
    <w:rsid w:val="002175D3"/>
    <w:rsid w:val="002177FA"/>
    <w:rsid w:val="0021783E"/>
    <w:rsid w:val="00217AE9"/>
    <w:rsid w:val="00217BEA"/>
    <w:rsid w:val="00217D06"/>
    <w:rsid w:val="00217D2A"/>
    <w:rsid w:val="00217D46"/>
    <w:rsid w:val="00217F26"/>
    <w:rsid w:val="0022007F"/>
    <w:rsid w:val="00220334"/>
    <w:rsid w:val="002204BC"/>
    <w:rsid w:val="002204CA"/>
    <w:rsid w:val="002204E5"/>
    <w:rsid w:val="00220523"/>
    <w:rsid w:val="00220639"/>
    <w:rsid w:val="0022068B"/>
    <w:rsid w:val="00220722"/>
    <w:rsid w:val="00220950"/>
    <w:rsid w:val="002209B2"/>
    <w:rsid w:val="00220DFE"/>
    <w:rsid w:val="00220EEB"/>
    <w:rsid w:val="00220F99"/>
    <w:rsid w:val="002210D2"/>
    <w:rsid w:val="0022126F"/>
    <w:rsid w:val="0022129C"/>
    <w:rsid w:val="002212DB"/>
    <w:rsid w:val="002212F3"/>
    <w:rsid w:val="0022141F"/>
    <w:rsid w:val="00221433"/>
    <w:rsid w:val="0022148A"/>
    <w:rsid w:val="00221533"/>
    <w:rsid w:val="0022167F"/>
    <w:rsid w:val="00221682"/>
    <w:rsid w:val="00221766"/>
    <w:rsid w:val="002218D5"/>
    <w:rsid w:val="0022194C"/>
    <w:rsid w:val="002219A5"/>
    <w:rsid w:val="002219FC"/>
    <w:rsid w:val="00221BA8"/>
    <w:rsid w:val="00221C99"/>
    <w:rsid w:val="00221CA2"/>
    <w:rsid w:val="00221E2F"/>
    <w:rsid w:val="00221F87"/>
    <w:rsid w:val="00222067"/>
    <w:rsid w:val="002222B8"/>
    <w:rsid w:val="002222FD"/>
    <w:rsid w:val="00222519"/>
    <w:rsid w:val="0022253A"/>
    <w:rsid w:val="0022255A"/>
    <w:rsid w:val="002225F6"/>
    <w:rsid w:val="0022263C"/>
    <w:rsid w:val="002226B5"/>
    <w:rsid w:val="00222817"/>
    <w:rsid w:val="00222829"/>
    <w:rsid w:val="00222841"/>
    <w:rsid w:val="00222AC4"/>
    <w:rsid w:val="00222B1E"/>
    <w:rsid w:val="00222B47"/>
    <w:rsid w:val="00222BFF"/>
    <w:rsid w:val="00222CAD"/>
    <w:rsid w:val="00222CC4"/>
    <w:rsid w:val="00222DE2"/>
    <w:rsid w:val="00222F4A"/>
    <w:rsid w:val="00222F87"/>
    <w:rsid w:val="002230AA"/>
    <w:rsid w:val="0022310A"/>
    <w:rsid w:val="00223243"/>
    <w:rsid w:val="00223268"/>
    <w:rsid w:val="0022328A"/>
    <w:rsid w:val="002233A2"/>
    <w:rsid w:val="00223455"/>
    <w:rsid w:val="002234F1"/>
    <w:rsid w:val="002235CF"/>
    <w:rsid w:val="002236B1"/>
    <w:rsid w:val="002236F1"/>
    <w:rsid w:val="00223777"/>
    <w:rsid w:val="00223778"/>
    <w:rsid w:val="002237A9"/>
    <w:rsid w:val="00223A5A"/>
    <w:rsid w:val="00223A7F"/>
    <w:rsid w:val="00223AC2"/>
    <w:rsid w:val="00223B8E"/>
    <w:rsid w:val="00223BA2"/>
    <w:rsid w:val="00223BA3"/>
    <w:rsid w:val="00223C6E"/>
    <w:rsid w:val="00223D43"/>
    <w:rsid w:val="00223E10"/>
    <w:rsid w:val="00223E6A"/>
    <w:rsid w:val="00223E75"/>
    <w:rsid w:val="00223F14"/>
    <w:rsid w:val="00223FA5"/>
    <w:rsid w:val="00224156"/>
    <w:rsid w:val="002241C1"/>
    <w:rsid w:val="002241DB"/>
    <w:rsid w:val="002241EB"/>
    <w:rsid w:val="0022427A"/>
    <w:rsid w:val="002242FC"/>
    <w:rsid w:val="00224315"/>
    <w:rsid w:val="00224354"/>
    <w:rsid w:val="00224451"/>
    <w:rsid w:val="002244C2"/>
    <w:rsid w:val="00224621"/>
    <w:rsid w:val="0022473E"/>
    <w:rsid w:val="002247ED"/>
    <w:rsid w:val="00224838"/>
    <w:rsid w:val="0022487B"/>
    <w:rsid w:val="00224ADC"/>
    <w:rsid w:val="00224AF0"/>
    <w:rsid w:val="00224B4C"/>
    <w:rsid w:val="00224B83"/>
    <w:rsid w:val="00224C64"/>
    <w:rsid w:val="00224D0E"/>
    <w:rsid w:val="00224E7C"/>
    <w:rsid w:val="00224E88"/>
    <w:rsid w:val="00224EAB"/>
    <w:rsid w:val="00225043"/>
    <w:rsid w:val="00225045"/>
    <w:rsid w:val="00225305"/>
    <w:rsid w:val="002253C3"/>
    <w:rsid w:val="00225506"/>
    <w:rsid w:val="00225529"/>
    <w:rsid w:val="0022556A"/>
    <w:rsid w:val="00225597"/>
    <w:rsid w:val="002255C6"/>
    <w:rsid w:val="00225619"/>
    <w:rsid w:val="002256B7"/>
    <w:rsid w:val="00225873"/>
    <w:rsid w:val="00225949"/>
    <w:rsid w:val="00225AD3"/>
    <w:rsid w:val="00225B08"/>
    <w:rsid w:val="00225B3F"/>
    <w:rsid w:val="00225D0B"/>
    <w:rsid w:val="00225F01"/>
    <w:rsid w:val="00226016"/>
    <w:rsid w:val="00226093"/>
    <w:rsid w:val="0022611B"/>
    <w:rsid w:val="0022621C"/>
    <w:rsid w:val="00226363"/>
    <w:rsid w:val="00226366"/>
    <w:rsid w:val="002264C5"/>
    <w:rsid w:val="002264E4"/>
    <w:rsid w:val="002264FE"/>
    <w:rsid w:val="002265C6"/>
    <w:rsid w:val="0022676A"/>
    <w:rsid w:val="00226926"/>
    <w:rsid w:val="00226A20"/>
    <w:rsid w:val="00226A93"/>
    <w:rsid w:val="00226BB7"/>
    <w:rsid w:val="00226BF3"/>
    <w:rsid w:val="00226CAD"/>
    <w:rsid w:val="00226D47"/>
    <w:rsid w:val="00226D94"/>
    <w:rsid w:val="00226F0C"/>
    <w:rsid w:val="0022714F"/>
    <w:rsid w:val="002272A9"/>
    <w:rsid w:val="002272F8"/>
    <w:rsid w:val="002274AF"/>
    <w:rsid w:val="00227560"/>
    <w:rsid w:val="00227561"/>
    <w:rsid w:val="002276BE"/>
    <w:rsid w:val="00227852"/>
    <w:rsid w:val="00227AAD"/>
    <w:rsid w:val="00227AB1"/>
    <w:rsid w:val="00227C00"/>
    <w:rsid w:val="00227C60"/>
    <w:rsid w:val="00227DBB"/>
    <w:rsid w:val="00227E88"/>
    <w:rsid w:val="00227F19"/>
    <w:rsid w:val="00230038"/>
    <w:rsid w:val="00230050"/>
    <w:rsid w:val="002301A0"/>
    <w:rsid w:val="00230416"/>
    <w:rsid w:val="00230449"/>
    <w:rsid w:val="002305AD"/>
    <w:rsid w:val="0023071E"/>
    <w:rsid w:val="0023079A"/>
    <w:rsid w:val="00230856"/>
    <w:rsid w:val="00230928"/>
    <w:rsid w:val="002309C7"/>
    <w:rsid w:val="00230A7E"/>
    <w:rsid w:val="00230AAE"/>
    <w:rsid w:val="00230AF0"/>
    <w:rsid w:val="00230B1F"/>
    <w:rsid w:val="00230C22"/>
    <w:rsid w:val="00230D82"/>
    <w:rsid w:val="00230E7A"/>
    <w:rsid w:val="0023123C"/>
    <w:rsid w:val="0023158E"/>
    <w:rsid w:val="00231838"/>
    <w:rsid w:val="0023185C"/>
    <w:rsid w:val="00231C40"/>
    <w:rsid w:val="00231D2B"/>
    <w:rsid w:val="00231F17"/>
    <w:rsid w:val="00232237"/>
    <w:rsid w:val="00232285"/>
    <w:rsid w:val="002322E1"/>
    <w:rsid w:val="00232348"/>
    <w:rsid w:val="00232435"/>
    <w:rsid w:val="0023264B"/>
    <w:rsid w:val="002327D6"/>
    <w:rsid w:val="002327FE"/>
    <w:rsid w:val="00232801"/>
    <w:rsid w:val="00232956"/>
    <w:rsid w:val="00232978"/>
    <w:rsid w:val="00232AD1"/>
    <w:rsid w:val="00232AFA"/>
    <w:rsid w:val="00232D30"/>
    <w:rsid w:val="00232EDD"/>
    <w:rsid w:val="00232FDC"/>
    <w:rsid w:val="00233324"/>
    <w:rsid w:val="0023332A"/>
    <w:rsid w:val="00233374"/>
    <w:rsid w:val="00233394"/>
    <w:rsid w:val="002334DE"/>
    <w:rsid w:val="002335A6"/>
    <w:rsid w:val="0023368C"/>
    <w:rsid w:val="002336F4"/>
    <w:rsid w:val="0023371F"/>
    <w:rsid w:val="002337C7"/>
    <w:rsid w:val="0023380A"/>
    <w:rsid w:val="002338F0"/>
    <w:rsid w:val="002339A4"/>
    <w:rsid w:val="00233A22"/>
    <w:rsid w:val="00233A4E"/>
    <w:rsid w:val="00233AC7"/>
    <w:rsid w:val="00233AE1"/>
    <w:rsid w:val="00233D30"/>
    <w:rsid w:val="00233E44"/>
    <w:rsid w:val="002340D5"/>
    <w:rsid w:val="00234123"/>
    <w:rsid w:val="00234288"/>
    <w:rsid w:val="00234420"/>
    <w:rsid w:val="002345A8"/>
    <w:rsid w:val="00234778"/>
    <w:rsid w:val="00234878"/>
    <w:rsid w:val="00234A1B"/>
    <w:rsid w:val="00234B2D"/>
    <w:rsid w:val="00234CC9"/>
    <w:rsid w:val="002353DB"/>
    <w:rsid w:val="002353F2"/>
    <w:rsid w:val="00235544"/>
    <w:rsid w:val="00235857"/>
    <w:rsid w:val="00235C1E"/>
    <w:rsid w:val="00235CD6"/>
    <w:rsid w:val="00235DF5"/>
    <w:rsid w:val="00235E01"/>
    <w:rsid w:val="00235EFF"/>
    <w:rsid w:val="00235F38"/>
    <w:rsid w:val="00235F73"/>
    <w:rsid w:val="00235F9D"/>
    <w:rsid w:val="00236166"/>
    <w:rsid w:val="00236193"/>
    <w:rsid w:val="002361B5"/>
    <w:rsid w:val="00236318"/>
    <w:rsid w:val="0023631D"/>
    <w:rsid w:val="00236324"/>
    <w:rsid w:val="00236351"/>
    <w:rsid w:val="00236404"/>
    <w:rsid w:val="00236421"/>
    <w:rsid w:val="00236657"/>
    <w:rsid w:val="0023675B"/>
    <w:rsid w:val="002367C0"/>
    <w:rsid w:val="0023688D"/>
    <w:rsid w:val="00236910"/>
    <w:rsid w:val="00236927"/>
    <w:rsid w:val="00236B7A"/>
    <w:rsid w:val="00236BD3"/>
    <w:rsid w:val="00236E2A"/>
    <w:rsid w:val="00236E45"/>
    <w:rsid w:val="00237124"/>
    <w:rsid w:val="00237144"/>
    <w:rsid w:val="0023728D"/>
    <w:rsid w:val="00237416"/>
    <w:rsid w:val="0023743A"/>
    <w:rsid w:val="002375F1"/>
    <w:rsid w:val="002377C9"/>
    <w:rsid w:val="00237820"/>
    <w:rsid w:val="00237848"/>
    <w:rsid w:val="002378E9"/>
    <w:rsid w:val="002379AF"/>
    <w:rsid w:val="002379B8"/>
    <w:rsid w:val="002379CE"/>
    <w:rsid w:val="00237A16"/>
    <w:rsid w:val="00237B46"/>
    <w:rsid w:val="00237BC2"/>
    <w:rsid w:val="00237BFB"/>
    <w:rsid w:val="00237CE5"/>
    <w:rsid w:val="00237D01"/>
    <w:rsid w:val="00237DEA"/>
    <w:rsid w:val="00237E06"/>
    <w:rsid w:val="00237EE8"/>
    <w:rsid w:val="00237EF7"/>
    <w:rsid w:val="00237FD9"/>
    <w:rsid w:val="002401EE"/>
    <w:rsid w:val="002401F9"/>
    <w:rsid w:val="00240385"/>
    <w:rsid w:val="00240396"/>
    <w:rsid w:val="002403C4"/>
    <w:rsid w:val="00240466"/>
    <w:rsid w:val="00240494"/>
    <w:rsid w:val="0024073F"/>
    <w:rsid w:val="0024081D"/>
    <w:rsid w:val="00240BC3"/>
    <w:rsid w:val="00240D05"/>
    <w:rsid w:val="00240D5A"/>
    <w:rsid w:val="00240DA2"/>
    <w:rsid w:val="00240E4B"/>
    <w:rsid w:val="00240F3C"/>
    <w:rsid w:val="002410C6"/>
    <w:rsid w:val="002410EE"/>
    <w:rsid w:val="002411A5"/>
    <w:rsid w:val="0024130C"/>
    <w:rsid w:val="0024160D"/>
    <w:rsid w:val="00241648"/>
    <w:rsid w:val="0024168F"/>
    <w:rsid w:val="002416F1"/>
    <w:rsid w:val="00241752"/>
    <w:rsid w:val="002418A8"/>
    <w:rsid w:val="00241952"/>
    <w:rsid w:val="00241B7A"/>
    <w:rsid w:val="00241D65"/>
    <w:rsid w:val="00241D68"/>
    <w:rsid w:val="00241DA5"/>
    <w:rsid w:val="00241DAE"/>
    <w:rsid w:val="00241F20"/>
    <w:rsid w:val="00242172"/>
    <w:rsid w:val="00242203"/>
    <w:rsid w:val="002424C0"/>
    <w:rsid w:val="00242589"/>
    <w:rsid w:val="0024258C"/>
    <w:rsid w:val="00242668"/>
    <w:rsid w:val="002426B6"/>
    <w:rsid w:val="00242731"/>
    <w:rsid w:val="0024275A"/>
    <w:rsid w:val="002429A6"/>
    <w:rsid w:val="002429DB"/>
    <w:rsid w:val="00242CEF"/>
    <w:rsid w:val="00242E06"/>
    <w:rsid w:val="00242E16"/>
    <w:rsid w:val="00242E5D"/>
    <w:rsid w:val="00242EC9"/>
    <w:rsid w:val="00242F59"/>
    <w:rsid w:val="00243052"/>
    <w:rsid w:val="00243053"/>
    <w:rsid w:val="0024310C"/>
    <w:rsid w:val="00243124"/>
    <w:rsid w:val="0024315E"/>
    <w:rsid w:val="00243241"/>
    <w:rsid w:val="00243485"/>
    <w:rsid w:val="0024355E"/>
    <w:rsid w:val="00243788"/>
    <w:rsid w:val="002437F6"/>
    <w:rsid w:val="0024387E"/>
    <w:rsid w:val="00243906"/>
    <w:rsid w:val="0024393B"/>
    <w:rsid w:val="00243994"/>
    <w:rsid w:val="002439DC"/>
    <w:rsid w:val="00243A5D"/>
    <w:rsid w:val="00243AF5"/>
    <w:rsid w:val="00243B3B"/>
    <w:rsid w:val="00243BAE"/>
    <w:rsid w:val="00243C53"/>
    <w:rsid w:val="00243C9B"/>
    <w:rsid w:val="00243CA2"/>
    <w:rsid w:val="00243D77"/>
    <w:rsid w:val="00243E3A"/>
    <w:rsid w:val="00243F87"/>
    <w:rsid w:val="00243FB9"/>
    <w:rsid w:val="0024407A"/>
    <w:rsid w:val="002442E8"/>
    <w:rsid w:val="002442F1"/>
    <w:rsid w:val="002444D2"/>
    <w:rsid w:val="00244503"/>
    <w:rsid w:val="002447C3"/>
    <w:rsid w:val="0024485E"/>
    <w:rsid w:val="00244863"/>
    <w:rsid w:val="0024488E"/>
    <w:rsid w:val="002448EE"/>
    <w:rsid w:val="002449D3"/>
    <w:rsid w:val="00244ACB"/>
    <w:rsid w:val="00244AD9"/>
    <w:rsid w:val="00244C99"/>
    <w:rsid w:val="00244D07"/>
    <w:rsid w:val="00244D53"/>
    <w:rsid w:val="00244E6A"/>
    <w:rsid w:val="00244EBC"/>
    <w:rsid w:val="00244EC1"/>
    <w:rsid w:val="00245030"/>
    <w:rsid w:val="00245365"/>
    <w:rsid w:val="00245439"/>
    <w:rsid w:val="0024553F"/>
    <w:rsid w:val="0024562E"/>
    <w:rsid w:val="00245684"/>
    <w:rsid w:val="002456EB"/>
    <w:rsid w:val="002457B3"/>
    <w:rsid w:val="0024581E"/>
    <w:rsid w:val="00245888"/>
    <w:rsid w:val="0024592B"/>
    <w:rsid w:val="00245A16"/>
    <w:rsid w:val="00245A22"/>
    <w:rsid w:val="00245A70"/>
    <w:rsid w:val="00245AF3"/>
    <w:rsid w:val="00245B3A"/>
    <w:rsid w:val="00245C07"/>
    <w:rsid w:val="00245C44"/>
    <w:rsid w:val="00245C4A"/>
    <w:rsid w:val="00245C57"/>
    <w:rsid w:val="00245DFB"/>
    <w:rsid w:val="00245E3A"/>
    <w:rsid w:val="00245F19"/>
    <w:rsid w:val="002460C6"/>
    <w:rsid w:val="00246183"/>
    <w:rsid w:val="0024620B"/>
    <w:rsid w:val="002462DA"/>
    <w:rsid w:val="002464F4"/>
    <w:rsid w:val="00246523"/>
    <w:rsid w:val="002466FF"/>
    <w:rsid w:val="002468F1"/>
    <w:rsid w:val="0024690E"/>
    <w:rsid w:val="00246A3B"/>
    <w:rsid w:val="00246BD0"/>
    <w:rsid w:val="00246BD5"/>
    <w:rsid w:val="00246C69"/>
    <w:rsid w:val="00246C83"/>
    <w:rsid w:val="00246D3A"/>
    <w:rsid w:val="00246D6B"/>
    <w:rsid w:val="00246FD6"/>
    <w:rsid w:val="00247075"/>
    <w:rsid w:val="002472B1"/>
    <w:rsid w:val="002472B6"/>
    <w:rsid w:val="00247303"/>
    <w:rsid w:val="002475F6"/>
    <w:rsid w:val="00247651"/>
    <w:rsid w:val="00247762"/>
    <w:rsid w:val="0024795B"/>
    <w:rsid w:val="00247B90"/>
    <w:rsid w:val="00247C38"/>
    <w:rsid w:val="00247D07"/>
    <w:rsid w:val="00247E25"/>
    <w:rsid w:val="00247FCE"/>
    <w:rsid w:val="00250086"/>
    <w:rsid w:val="002500F4"/>
    <w:rsid w:val="00250121"/>
    <w:rsid w:val="0025027A"/>
    <w:rsid w:val="00250329"/>
    <w:rsid w:val="0025037E"/>
    <w:rsid w:val="00250444"/>
    <w:rsid w:val="002504FC"/>
    <w:rsid w:val="0025053B"/>
    <w:rsid w:val="00250552"/>
    <w:rsid w:val="00250587"/>
    <w:rsid w:val="0025063D"/>
    <w:rsid w:val="00250728"/>
    <w:rsid w:val="002507BE"/>
    <w:rsid w:val="0025091E"/>
    <w:rsid w:val="00250B36"/>
    <w:rsid w:val="00250DB9"/>
    <w:rsid w:val="00250E24"/>
    <w:rsid w:val="00250E98"/>
    <w:rsid w:val="00250F68"/>
    <w:rsid w:val="00251075"/>
    <w:rsid w:val="00251151"/>
    <w:rsid w:val="00251157"/>
    <w:rsid w:val="002511F4"/>
    <w:rsid w:val="0025129D"/>
    <w:rsid w:val="00251792"/>
    <w:rsid w:val="0025180F"/>
    <w:rsid w:val="0025197E"/>
    <w:rsid w:val="00251A41"/>
    <w:rsid w:val="00251B35"/>
    <w:rsid w:val="00251C68"/>
    <w:rsid w:val="00251DD5"/>
    <w:rsid w:val="00251EC9"/>
    <w:rsid w:val="00252071"/>
    <w:rsid w:val="002520AC"/>
    <w:rsid w:val="00252169"/>
    <w:rsid w:val="002524B1"/>
    <w:rsid w:val="00252541"/>
    <w:rsid w:val="0025275F"/>
    <w:rsid w:val="00252855"/>
    <w:rsid w:val="002528B8"/>
    <w:rsid w:val="002529ED"/>
    <w:rsid w:val="00252A7F"/>
    <w:rsid w:val="00252B26"/>
    <w:rsid w:val="00252BAF"/>
    <w:rsid w:val="00252BC2"/>
    <w:rsid w:val="00252DC3"/>
    <w:rsid w:val="00252EF4"/>
    <w:rsid w:val="00252F79"/>
    <w:rsid w:val="00252FE8"/>
    <w:rsid w:val="00253042"/>
    <w:rsid w:val="0025312F"/>
    <w:rsid w:val="00253269"/>
    <w:rsid w:val="00253358"/>
    <w:rsid w:val="00253426"/>
    <w:rsid w:val="0025353D"/>
    <w:rsid w:val="0025357E"/>
    <w:rsid w:val="002536AF"/>
    <w:rsid w:val="002536C9"/>
    <w:rsid w:val="00253730"/>
    <w:rsid w:val="002537C4"/>
    <w:rsid w:val="00253831"/>
    <w:rsid w:val="00253919"/>
    <w:rsid w:val="002539BE"/>
    <w:rsid w:val="00253A9F"/>
    <w:rsid w:val="00253B80"/>
    <w:rsid w:val="00253BE0"/>
    <w:rsid w:val="00253C01"/>
    <w:rsid w:val="00253DF1"/>
    <w:rsid w:val="00253E60"/>
    <w:rsid w:val="00253FFC"/>
    <w:rsid w:val="0025400A"/>
    <w:rsid w:val="002540A0"/>
    <w:rsid w:val="00254229"/>
    <w:rsid w:val="0025424A"/>
    <w:rsid w:val="00254292"/>
    <w:rsid w:val="002543B2"/>
    <w:rsid w:val="002546B3"/>
    <w:rsid w:val="00254773"/>
    <w:rsid w:val="00254817"/>
    <w:rsid w:val="002548C1"/>
    <w:rsid w:val="0025498F"/>
    <w:rsid w:val="00254C46"/>
    <w:rsid w:val="00254C69"/>
    <w:rsid w:val="00254C6B"/>
    <w:rsid w:val="00255000"/>
    <w:rsid w:val="0025503A"/>
    <w:rsid w:val="002550CA"/>
    <w:rsid w:val="002551D2"/>
    <w:rsid w:val="002552C6"/>
    <w:rsid w:val="00255363"/>
    <w:rsid w:val="002554FF"/>
    <w:rsid w:val="002557B9"/>
    <w:rsid w:val="0025585F"/>
    <w:rsid w:val="0025588D"/>
    <w:rsid w:val="002559ED"/>
    <w:rsid w:val="002559F7"/>
    <w:rsid w:val="00255A39"/>
    <w:rsid w:val="00255A42"/>
    <w:rsid w:val="00255B2D"/>
    <w:rsid w:val="00255B7A"/>
    <w:rsid w:val="00255C26"/>
    <w:rsid w:val="00255C43"/>
    <w:rsid w:val="00255C58"/>
    <w:rsid w:val="00255DC8"/>
    <w:rsid w:val="00255EC1"/>
    <w:rsid w:val="00255EE9"/>
    <w:rsid w:val="00255EF7"/>
    <w:rsid w:val="00255F02"/>
    <w:rsid w:val="00255F66"/>
    <w:rsid w:val="0025611E"/>
    <w:rsid w:val="0025630A"/>
    <w:rsid w:val="00256478"/>
    <w:rsid w:val="002564AA"/>
    <w:rsid w:val="002564FE"/>
    <w:rsid w:val="00256620"/>
    <w:rsid w:val="00256781"/>
    <w:rsid w:val="00256B47"/>
    <w:rsid w:val="00256B53"/>
    <w:rsid w:val="00256E63"/>
    <w:rsid w:val="00256E78"/>
    <w:rsid w:val="00256F76"/>
    <w:rsid w:val="00256FC6"/>
    <w:rsid w:val="00257067"/>
    <w:rsid w:val="00257068"/>
    <w:rsid w:val="0025706D"/>
    <w:rsid w:val="002570C5"/>
    <w:rsid w:val="002571A0"/>
    <w:rsid w:val="002571DD"/>
    <w:rsid w:val="0025725B"/>
    <w:rsid w:val="0025738D"/>
    <w:rsid w:val="00257422"/>
    <w:rsid w:val="00257583"/>
    <w:rsid w:val="002575C6"/>
    <w:rsid w:val="002576FE"/>
    <w:rsid w:val="00257738"/>
    <w:rsid w:val="00257837"/>
    <w:rsid w:val="00257910"/>
    <w:rsid w:val="00257971"/>
    <w:rsid w:val="00257A4A"/>
    <w:rsid w:val="00257D28"/>
    <w:rsid w:val="00257EC9"/>
    <w:rsid w:val="00257F06"/>
    <w:rsid w:val="00257F22"/>
    <w:rsid w:val="00257F44"/>
    <w:rsid w:val="00260118"/>
    <w:rsid w:val="002602B6"/>
    <w:rsid w:val="0026064F"/>
    <w:rsid w:val="00260677"/>
    <w:rsid w:val="00260730"/>
    <w:rsid w:val="002607A1"/>
    <w:rsid w:val="002607EB"/>
    <w:rsid w:val="00260808"/>
    <w:rsid w:val="00260841"/>
    <w:rsid w:val="0026085C"/>
    <w:rsid w:val="00260874"/>
    <w:rsid w:val="00260990"/>
    <w:rsid w:val="00260AA4"/>
    <w:rsid w:val="00260AE6"/>
    <w:rsid w:val="00260B56"/>
    <w:rsid w:val="00260B84"/>
    <w:rsid w:val="00260D2A"/>
    <w:rsid w:val="00260D5F"/>
    <w:rsid w:val="00260DB2"/>
    <w:rsid w:val="00260F1B"/>
    <w:rsid w:val="0026124C"/>
    <w:rsid w:val="00261519"/>
    <w:rsid w:val="00261A4B"/>
    <w:rsid w:val="00261ABF"/>
    <w:rsid w:val="00261B0D"/>
    <w:rsid w:val="00261C7D"/>
    <w:rsid w:val="00261CCC"/>
    <w:rsid w:val="00261D69"/>
    <w:rsid w:val="00261F53"/>
    <w:rsid w:val="00261FED"/>
    <w:rsid w:val="00262000"/>
    <w:rsid w:val="00262115"/>
    <w:rsid w:val="00262129"/>
    <w:rsid w:val="0026219E"/>
    <w:rsid w:val="002621EF"/>
    <w:rsid w:val="0026248F"/>
    <w:rsid w:val="002625E3"/>
    <w:rsid w:val="002625F3"/>
    <w:rsid w:val="00262675"/>
    <w:rsid w:val="002626A5"/>
    <w:rsid w:val="002626D7"/>
    <w:rsid w:val="0026277C"/>
    <w:rsid w:val="00262780"/>
    <w:rsid w:val="002627ED"/>
    <w:rsid w:val="00262974"/>
    <w:rsid w:val="00262C20"/>
    <w:rsid w:val="00262D10"/>
    <w:rsid w:val="00262E7B"/>
    <w:rsid w:val="00262EEB"/>
    <w:rsid w:val="00263019"/>
    <w:rsid w:val="0026301E"/>
    <w:rsid w:val="00263033"/>
    <w:rsid w:val="00263083"/>
    <w:rsid w:val="002630EF"/>
    <w:rsid w:val="002632E9"/>
    <w:rsid w:val="0026338D"/>
    <w:rsid w:val="00263498"/>
    <w:rsid w:val="0026356B"/>
    <w:rsid w:val="002635B3"/>
    <w:rsid w:val="00263701"/>
    <w:rsid w:val="00263726"/>
    <w:rsid w:val="0026382D"/>
    <w:rsid w:val="002638B5"/>
    <w:rsid w:val="002638CA"/>
    <w:rsid w:val="002638DA"/>
    <w:rsid w:val="00263973"/>
    <w:rsid w:val="00263AA0"/>
    <w:rsid w:val="00263ACC"/>
    <w:rsid w:val="00263BE9"/>
    <w:rsid w:val="00263BFF"/>
    <w:rsid w:val="00263C5E"/>
    <w:rsid w:val="00263D3D"/>
    <w:rsid w:val="00263DC3"/>
    <w:rsid w:val="00263EBA"/>
    <w:rsid w:val="002641C5"/>
    <w:rsid w:val="002641FD"/>
    <w:rsid w:val="00264392"/>
    <w:rsid w:val="0026440F"/>
    <w:rsid w:val="0026441E"/>
    <w:rsid w:val="00264477"/>
    <w:rsid w:val="0026447B"/>
    <w:rsid w:val="00264573"/>
    <w:rsid w:val="002645BE"/>
    <w:rsid w:val="002645E5"/>
    <w:rsid w:val="00264A24"/>
    <w:rsid w:val="00264C25"/>
    <w:rsid w:val="00264C6B"/>
    <w:rsid w:val="00264CD6"/>
    <w:rsid w:val="00264DD1"/>
    <w:rsid w:val="002651C7"/>
    <w:rsid w:val="002653CE"/>
    <w:rsid w:val="002654D8"/>
    <w:rsid w:val="00265502"/>
    <w:rsid w:val="00265628"/>
    <w:rsid w:val="00265734"/>
    <w:rsid w:val="00265821"/>
    <w:rsid w:val="002658B5"/>
    <w:rsid w:val="002658B6"/>
    <w:rsid w:val="00265A9A"/>
    <w:rsid w:val="00265AA2"/>
    <w:rsid w:val="00265B02"/>
    <w:rsid w:val="00265BDF"/>
    <w:rsid w:val="00265C0D"/>
    <w:rsid w:val="00265CE4"/>
    <w:rsid w:val="00265D05"/>
    <w:rsid w:val="00265E16"/>
    <w:rsid w:val="00265E76"/>
    <w:rsid w:val="00265F90"/>
    <w:rsid w:val="00265FB1"/>
    <w:rsid w:val="0026631D"/>
    <w:rsid w:val="0026642B"/>
    <w:rsid w:val="0026643F"/>
    <w:rsid w:val="002665AE"/>
    <w:rsid w:val="002666AA"/>
    <w:rsid w:val="002666B1"/>
    <w:rsid w:val="002667B8"/>
    <w:rsid w:val="00266839"/>
    <w:rsid w:val="00266850"/>
    <w:rsid w:val="00266B1C"/>
    <w:rsid w:val="00266BE6"/>
    <w:rsid w:val="00266C8A"/>
    <w:rsid w:val="00266D29"/>
    <w:rsid w:val="00266D8D"/>
    <w:rsid w:val="00266DEF"/>
    <w:rsid w:val="00266FAE"/>
    <w:rsid w:val="002671E7"/>
    <w:rsid w:val="00267257"/>
    <w:rsid w:val="00267366"/>
    <w:rsid w:val="0026736B"/>
    <w:rsid w:val="002673FF"/>
    <w:rsid w:val="002674E2"/>
    <w:rsid w:val="00267566"/>
    <w:rsid w:val="002675B1"/>
    <w:rsid w:val="002679C0"/>
    <w:rsid w:val="00267B7A"/>
    <w:rsid w:val="00267C04"/>
    <w:rsid w:val="00267C42"/>
    <w:rsid w:val="00267E92"/>
    <w:rsid w:val="00267E99"/>
    <w:rsid w:val="00267F5E"/>
    <w:rsid w:val="002700B7"/>
    <w:rsid w:val="002700E0"/>
    <w:rsid w:val="00270131"/>
    <w:rsid w:val="00270372"/>
    <w:rsid w:val="00270390"/>
    <w:rsid w:val="0027040F"/>
    <w:rsid w:val="00270418"/>
    <w:rsid w:val="002704BA"/>
    <w:rsid w:val="00270574"/>
    <w:rsid w:val="00270656"/>
    <w:rsid w:val="0027072F"/>
    <w:rsid w:val="0027076D"/>
    <w:rsid w:val="0027080B"/>
    <w:rsid w:val="00270890"/>
    <w:rsid w:val="00270895"/>
    <w:rsid w:val="002708B4"/>
    <w:rsid w:val="00270A32"/>
    <w:rsid w:val="00270A46"/>
    <w:rsid w:val="00270A90"/>
    <w:rsid w:val="00270AB5"/>
    <w:rsid w:val="00270AE6"/>
    <w:rsid w:val="00270C6E"/>
    <w:rsid w:val="00270C78"/>
    <w:rsid w:val="00270CA8"/>
    <w:rsid w:val="00270CCB"/>
    <w:rsid w:val="00270D0D"/>
    <w:rsid w:val="00270D24"/>
    <w:rsid w:val="00270DD5"/>
    <w:rsid w:val="00270FAB"/>
    <w:rsid w:val="0027105B"/>
    <w:rsid w:val="002710AB"/>
    <w:rsid w:val="002710B2"/>
    <w:rsid w:val="00271117"/>
    <w:rsid w:val="002711D9"/>
    <w:rsid w:val="00271204"/>
    <w:rsid w:val="00271271"/>
    <w:rsid w:val="002712B3"/>
    <w:rsid w:val="002715B9"/>
    <w:rsid w:val="00271653"/>
    <w:rsid w:val="00271654"/>
    <w:rsid w:val="0027165F"/>
    <w:rsid w:val="002716C1"/>
    <w:rsid w:val="002716F8"/>
    <w:rsid w:val="00271762"/>
    <w:rsid w:val="002717C4"/>
    <w:rsid w:val="0027191B"/>
    <w:rsid w:val="00271995"/>
    <w:rsid w:val="00271999"/>
    <w:rsid w:val="00271A49"/>
    <w:rsid w:val="00271AD0"/>
    <w:rsid w:val="00271BB2"/>
    <w:rsid w:val="00271BE3"/>
    <w:rsid w:val="00271C77"/>
    <w:rsid w:val="00271C8A"/>
    <w:rsid w:val="00271EE3"/>
    <w:rsid w:val="00272026"/>
    <w:rsid w:val="00272144"/>
    <w:rsid w:val="00272281"/>
    <w:rsid w:val="00272283"/>
    <w:rsid w:val="00272389"/>
    <w:rsid w:val="00272551"/>
    <w:rsid w:val="0027279F"/>
    <w:rsid w:val="0027292D"/>
    <w:rsid w:val="00272A85"/>
    <w:rsid w:val="00272C6F"/>
    <w:rsid w:val="00272CDC"/>
    <w:rsid w:val="00272D49"/>
    <w:rsid w:val="00272DEA"/>
    <w:rsid w:val="00272E57"/>
    <w:rsid w:val="00273076"/>
    <w:rsid w:val="002730B2"/>
    <w:rsid w:val="002730D7"/>
    <w:rsid w:val="002730D8"/>
    <w:rsid w:val="002730F9"/>
    <w:rsid w:val="0027313B"/>
    <w:rsid w:val="002731DC"/>
    <w:rsid w:val="002732BA"/>
    <w:rsid w:val="002732E6"/>
    <w:rsid w:val="00273352"/>
    <w:rsid w:val="0027346F"/>
    <w:rsid w:val="00273489"/>
    <w:rsid w:val="00273514"/>
    <w:rsid w:val="00273528"/>
    <w:rsid w:val="0027360E"/>
    <w:rsid w:val="0027367D"/>
    <w:rsid w:val="00273809"/>
    <w:rsid w:val="002738A7"/>
    <w:rsid w:val="002739A0"/>
    <w:rsid w:val="00273ABB"/>
    <w:rsid w:val="00273ABF"/>
    <w:rsid w:val="00273BF7"/>
    <w:rsid w:val="00273D3B"/>
    <w:rsid w:val="00273E43"/>
    <w:rsid w:val="00273F0B"/>
    <w:rsid w:val="0027401F"/>
    <w:rsid w:val="00274092"/>
    <w:rsid w:val="00274195"/>
    <w:rsid w:val="00274212"/>
    <w:rsid w:val="002743B1"/>
    <w:rsid w:val="0027455F"/>
    <w:rsid w:val="0027481D"/>
    <w:rsid w:val="00274824"/>
    <w:rsid w:val="00274997"/>
    <w:rsid w:val="00274A10"/>
    <w:rsid w:val="00274E72"/>
    <w:rsid w:val="00274FD2"/>
    <w:rsid w:val="00275021"/>
    <w:rsid w:val="00275026"/>
    <w:rsid w:val="002750E9"/>
    <w:rsid w:val="00275217"/>
    <w:rsid w:val="0027530C"/>
    <w:rsid w:val="002753F4"/>
    <w:rsid w:val="002757BF"/>
    <w:rsid w:val="00275876"/>
    <w:rsid w:val="002759C4"/>
    <w:rsid w:val="00275A5D"/>
    <w:rsid w:val="00275BFB"/>
    <w:rsid w:val="00275D8E"/>
    <w:rsid w:val="00275DF4"/>
    <w:rsid w:val="00275E0E"/>
    <w:rsid w:val="0027625A"/>
    <w:rsid w:val="00276298"/>
    <w:rsid w:val="002762E4"/>
    <w:rsid w:val="0027644B"/>
    <w:rsid w:val="00276460"/>
    <w:rsid w:val="002764F5"/>
    <w:rsid w:val="002764FF"/>
    <w:rsid w:val="002765B0"/>
    <w:rsid w:val="002765DE"/>
    <w:rsid w:val="002766E2"/>
    <w:rsid w:val="00276779"/>
    <w:rsid w:val="002768C7"/>
    <w:rsid w:val="0027692F"/>
    <w:rsid w:val="00276954"/>
    <w:rsid w:val="00276BD9"/>
    <w:rsid w:val="00276E0F"/>
    <w:rsid w:val="00276EF7"/>
    <w:rsid w:val="002770C7"/>
    <w:rsid w:val="002772ED"/>
    <w:rsid w:val="00277369"/>
    <w:rsid w:val="002774BF"/>
    <w:rsid w:val="0027753D"/>
    <w:rsid w:val="0027755A"/>
    <w:rsid w:val="00277566"/>
    <w:rsid w:val="00277702"/>
    <w:rsid w:val="002778CB"/>
    <w:rsid w:val="00277A1C"/>
    <w:rsid w:val="00277A81"/>
    <w:rsid w:val="00277AE8"/>
    <w:rsid w:val="00277BB0"/>
    <w:rsid w:val="00277C59"/>
    <w:rsid w:val="00277C76"/>
    <w:rsid w:val="00277E88"/>
    <w:rsid w:val="00280050"/>
    <w:rsid w:val="0028009C"/>
    <w:rsid w:val="0028023B"/>
    <w:rsid w:val="00280263"/>
    <w:rsid w:val="00280268"/>
    <w:rsid w:val="0028041C"/>
    <w:rsid w:val="0028057C"/>
    <w:rsid w:val="0028063B"/>
    <w:rsid w:val="002806C5"/>
    <w:rsid w:val="002807EB"/>
    <w:rsid w:val="00280856"/>
    <w:rsid w:val="00280935"/>
    <w:rsid w:val="00280945"/>
    <w:rsid w:val="0028095B"/>
    <w:rsid w:val="00280A41"/>
    <w:rsid w:val="0028102D"/>
    <w:rsid w:val="0028109D"/>
    <w:rsid w:val="002810B8"/>
    <w:rsid w:val="00281332"/>
    <w:rsid w:val="002813C9"/>
    <w:rsid w:val="0028147D"/>
    <w:rsid w:val="00281691"/>
    <w:rsid w:val="002816C7"/>
    <w:rsid w:val="00281813"/>
    <w:rsid w:val="002819BD"/>
    <w:rsid w:val="002819E0"/>
    <w:rsid w:val="00281A72"/>
    <w:rsid w:val="00281B3B"/>
    <w:rsid w:val="00281CDB"/>
    <w:rsid w:val="00281D17"/>
    <w:rsid w:val="00281DC3"/>
    <w:rsid w:val="0028212D"/>
    <w:rsid w:val="002825B1"/>
    <w:rsid w:val="002826CF"/>
    <w:rsid w:val="0028271A"/>
    <w:rsid w:val="002827E5"/>
    <w:rsid w:val="0028283B"/>
    <w:rsid w:val="00282A13"/>
    <w:rsid w:val="00282A8D"/>
    <w:rsid w:val="00282A99"/>
    <w:rsid w:val="00282AED"/>
    <w:rsid w:val="00282B21"/>
    <w:rsid w:val="00282BB9"/>
    <w:rsid w:val="00282D58"/>
    <w:rsid w:val="00282DE8"/>
    <w:rsid w:val="00282E78"/>
    <w:rsid w:val="00282F16"/>
    <w:rsid w:val="00282F79"/>
    <w:rsid w:val="00283089"/>
    <w:rsid w:val="0028308D"/>
    <w:rsid w:val="00283228"/>
    <w:rsid w:val="002832FE"/>
    <w:rsid w:val="00283517"/>
    <w:rsid w:val="0028354C"/>
    <w:rsid w:val="00283557"/>
    <w:rsid w:val="002835A4"/>
    <w:rsid w:val="002835E2"/>
    <w:rsid w:val="002835F0"/>
    <w:rsid w:val="002836B9"/>
    <w:rsid w:val="00283754"/>
    <w:rsid w:val="002838DD"/>
    <w:rsid w:val="00283B09"/>
    <w:rsid w:val="00283EE3"/>
    <w:rsid w:val="00283EF4"/>
    <w:rsid w:val="00283FC5"/>
    <w:rsid w:val="0028407D"/>
    <w:rsid w:val="002840BF"/>
    <w:rsid w:val="00284214"/>
    <w:rsid w:val="00284260"/>
    <w:rsid w:val="00284532"/>
    <w:rsid w:val="00284583"/>
    <w:rsid w:val="00284589"/>
    <w:rsid w:val="002845A2"/>
    <w:rsid w:val="00284718"/>
    <w:rsid w:val="002849CD"/>
    <w:rsid w:val="002849E1"/>
    <w:rsid w:val="00284EB9"/>
    <w:rsid w:val="00284F8F"/>
    <w:rsid w:val="00285174"/>
    <w:rsid w:val="00285183"/>
    <w:rsid w:val="002851AE"/>
    <w:rsid w:val="002852F3"/>
    <w:rsid w:val="00285381"/>
    <w:rsid w:val="0028587F"/>
    <w:rsid w:val="002858B5"/>
    <w:rsid w:val="002858DA"/>
    <w:rsid w:val="002859AA"/>
    <w:rsid w:val="002859BC"/>
    <w:rsid w:val="00285AFA"/>
    <w:rsid w:val="00285BCC"/>
    <w:rsid w:val="00285C76"/>
    <w:rsid w:val="00285CD3"/>
    <w:rsid w:val="00285EC1"/>
    <w:rsid w:val="00285FAD"/>
    <w:rsid w:val="002860B9"/>
    <w:rsid w:val="002860F9"/>
    <w:rsid w:val="00286249"/>
    <w:rsid w:val="002863EC"/>
    <w:rsid w:val="002864C5"/>
    <w:rsid w:val="00286593"/>
    <w:rsid w:val="002866BA"/>
    <w:rsid w:val="00286754"/>
    <w:rsid w:val="00286952"/>
    <w:rsid w:val="002869AB"/>
    <w:rsid w:val="002869AF"/>
    <w:rsid w:val="002869C5"/>
    <w:rsid w:val="00286A7A"/>
    <w:rsid w:val="00286BE6"/>
    <w:rsid w:val="00286C78"/>
    <w:rsid w:val="00286C95"/>
    <w:rsid w:val="00286D27"/>
    <w:rsid w:val="00286DAF"/>
    <w:rsid w:val="00286E97"/>
    <w:rsid w:val="00286F75"/>
    <w:rsid w:val="0028700D"/>
    <w:rsid w:val="002870D7"/>
    <w:rsid w:val="002871D4"/>
    <w:rsid w:val="002872E8"/>
    <w:rsid w:val="00287335"/>
    <w:rsid w:val="00287362"/>
    <w:rsid w:val="0028753A"/>
    <w:rsid w:val="00287636"/>
    <w:rsid w:val="0028776E"/>
    <w:rsid w:val="0028779B"/>
    <w:rsid w:val="0028787B"/>
    <w:rsid w:val="002878AB"/>
    <w:rsid w:val="002878F7"/>
    <w:rsid w:val="0028792A"/>
    <w:rsid w:val="00287AA7"/>
    <w:rsid w:val="00287B45"/>
    <w:rsid w:val="00287D6D"/>
    <w:rsid w:val="00287FBA"/>
    <w:rsid w:val="00290018"/>
    <w:rsid w:val="00290066"/>
    <w:rsid w:val="002901E5"/>
    <w:rsid w:val="00290207"/>
    <w:rsid w:val="002902E0"/>
    <w:rsid w:val="002903DA"/>
    <w:rsid w:val="002905AD"/>
    <w:rsid w:val="00290710"/>
    <w:rsid w:val="002908D1"/>
    <w:rsid w:val="002908F1"/>
    <w:rsid w:val="00290A83"/>
    <w:rsid w:val="00290AA7"/>
    <w:rsid w:val="00290B33"/>
    <w:rsid w:val="00290B98"/>
    <w:rsid w:val="00290BE6"/>
    <w:rsid w:val="00290E72"/>
    <w:rsid w:val="00290FAE"/>
    <w:rsid w:val="00291071"/>
    <w:rsid w:val="002912E6"/>
    <w:rsid w:val="00291300"/>
    <w:rsid w:val="00291317"/>
    <w:rsid w:val="00291320"/>
    <w:rsid w:val="0029138C"/>
    <w:rsid w:val="002913FA"/>
    <w:rsid w:val="00291595"/>
    <w:rsid w:val="002915B5"/>
    <w:rsid w:val="002915FE"/>
    <w:rsid w:val="00291758"/>
    <w:rsid w:val="00291802"/>
    <w:rsid w:val="002918FD"/>
    <w:rsid w:val="00291AC6"/>
    <w:rsid w:val="00291B55"/>
    <w:rsid w:val="00291C3A"/>
    <w:rsid w:val="00291C78"/>
    <w:rsid w:val="00291DD5"/>
    <w:rsid w:val="00291E15"/>
    <w:rsid w:val="00291E5A"/>
    <w:rsid w:val="00291EF7"/>
    <w:rsid w:val="00291F33"/>
    <w:rsid w:val="00292254"/>
    <w:rsid w:val="0029229C"/>
    <w:rsid w:val="0029229D"/>
    <w:rsid w:val="0029234E"/>
    <w:rsid w:val="0029236C"/>
    <w:rsid w:val="00292373"/>
    <w:rsid w:val="00292449"/>
    <w:rsid w:val="002926B7"/>
    <w:rsid w:val="002926C5"/>
    <w:rsid w:val="00292777"/>
    <w:rsid w:val="002927D9"/>
    <w:rsid w:val="00292A79"/>
    <w:rsid w:val="00292AD4"/>
    <w:rsid w:val="00292B61"/>
    <w:rsid w:val="00292C36"/>
    <w:rsid w:val="00292CBD"/>
    <w:rsid w:val="00292CC5"/>
    <w:rsid w:val="00292D43"/>
    <w:rsid w:val="00292E49"/>
    <w:rsid w:val="00292E7D"/>
    <w:rsid w:val="00292FD8"/>
    <w:rsid w:val="0029303E"/>
    <w:rsid w:val="00293057"/>
    <w:rsid w:val="00293152"/>
    <w:rsid w:val="002931B0"/>
    <w:rsid w:val="00293213"/>
    <w:rsid w:val="00293260"/>
    <w:rsid w:val="00293284"/>
    <w:rsid w:val="002932E0"/>
    <w:rsid w:val="002932EF"/>
    <w:rsid w:val="00293595"/>
    <w:rsid w:val="0029366E"/>
    <w:rsid w:val="002936FA"/>
    <w:rsid w:val="00293821"/>
    <w:rsid w:val="00293848"/>
    <w:rsid w:val="002938D5"/>
    <w:rsid w:val="0029396F"/>
    <w:rsid w:val="00293A02"/>
    <w:rsid w:val="00293A7D"/>
    <w:rsid w:val="00293DF1"/>
    <w:rsid w:val="00293E5B"/>
    <w:rsid w:val="00293F6D"/>
    <w:rsid w:val="00293FC8"/>
    <w:rsid w:val="00294058"/>
    <w:rsid w:val="00294122"/>
    <w:rsid w:val="00294164"/>
    <w:rsid w:val="00294264"/>
    <w:rsid w:val="002944E8"/>
    <w:rsid w:val="0029463C"/>
    <w:rsid w:val="00294765"/>
    <w:rsid w:val="002948A5"/>
    <w:rsid w:val="00294B6D"/>
    <w:rsid w:val="00294BF3"/>
    <w:rsid w:val="00294C7B"/>
    <w:rsid w:val="00294CFE"/>
    <w:rsid w:val="00294F6D"/>
    <w:rsid w:val="00294FFF"/>
    <w:rsid w:val="0029500D"/>
    <w:rsid w:val="00295065"/>
    <w:rsid w:val="002950B7"/>
    <w:rsid w:val="002950F1"/>
    <w:rsid w:val="0029510B"/>
    <w:rsid w:val="00295114"/>
    <w:rsid w:val="00295116"/>
    <w:rsid w:val="00295412"/>
    <w:rsid w:val="0029541C"/>
    <w:rsid w:val="00295479"/>
    <w:rsid w:val="002954DE"/>
    <w:rsid w:val="00295519"/>
    <w:rsid w:val="002956A3"/>
    <w:rsid w:val="00295773"/>
    <w:rsid w:val="002957D7"/>
    <w:rsid w:val="0029589C"/>
    <w:rsid w:val="002959E8"/>
    <w:rsid w:val="002959FB"/>
    <w:rsid w:val="00295A65"/>
    <w:rsid w:val="00295A7D"/>
    <w:rsid w:val="00295B31"/>
    <w:rsid w:val="00295BD8"/>
    <w:rsid w:val="00295C17"/>
    <w:rsid w:val="00295C65"/>
    <w:rsid w:val="00295D8C"/>
    <w:rsid w:val="00295E7C"/>
    <w:rsid w:val="00295EB5"/>
    <w:rsid w:val="00296011"/>
    <w:rsid w:val="0029606A"/>
    <w:rsid w:val="0029607C"/>
    <w:rsid w:val="00296151"/>
    <w:rsid w:val="00296159"/>
    <w:rsid w:val="00296209"/>
    <w:rsid w:val="0029631C"/>
    <w:rsid w:val="002965A8"/>
    <w:rsid w:val="002967BF"/>
    <w:rsid w:val="0029689E"/>
    <w:rsid w:val="0029696F"/>
    <w:rsid w:val="00296A58"/>
    <w:rsid w:val="00296AC3"/>
    <w:rsid w:val="00296DEC"/>
    <w:rsid w:val="00296E87"/>
    <w:rsid w:val="00296ECC"/>
    <w:rsid w:val="00296F2F"/>
    <w:rsid w:val="00296F53"/>
    <w:rsid w:val="002970B1"/>
    <w:rsid w:val="002970F0"/>
    <w:rsid w:val="00297118"/>
    <w:rsid w:val="00297478"/>
    <w:rsid w:val="0029747A"/>
    <w:rsid w:val="002976B7"/>
    <w:rsid w:val="00297754"/>
    <w:rsid w:val="002979FC"/>
    <w:rsid w:val="00297B39"/>
    <w:rsid w:val="00297BA4"/>
    <w:rsid w:val="00297CFC"/>
    <w:rsid w:val="00297DD1"/>
    <w:rsid w:val="00297E2B"/>
    <w:rsid w:val="00297EBE"/>
    <w:rsid w:val="00297F0A"/>
    <w:rsid w:val="00297F76"/>
    <w:rsid w:val="002A0197"/>
    <w:rsid w:val="002A032F"/>
    <w:rsid w:val="002A0597"/>
    <w:rsid w:val="002A0762"/>
    <w:rsid w:val="002A0973"/>
    <w:rsid w:val="002A0B4C"/>
    <w:rsid w:val="002A0B4E"/>
    <w:rsid w:val="002A0BB6"/>
    <w:rsid w:val="002A0BBC"/>
    <w:rsid w:val="002A0C24"/>
    <w:rsid w:val="002A0D74"/>
    <w:rsid w:val="002A0D7F"/>
    <w:rsid w:val="002A0E79"/>
    <w:rsid w:val="002A0F28"/>
    <w:rsid w:val="002A1018"/>
    <w:rsid w:val="002A105F"/>
    <w:rsid w:val="002A119B"/>
    <w:rsid w:val="002A121B"/>
    <w:rsid w:val="002A1340"/>
    <w:rsid w:val="002A1372"/>
    <w:rsid w:val="002A152C"/>
    <w:rsid w:val="002A1669"/>
    <w:rsid w:val="002A16DA"/>
    <w:rsid w:val="002A181D"/>
    <w:rsid w:val="002A1842"/>
    <w:rsid w:val="002A19A0"/>
    <w:rsid w:val="002A19AA"/>
    <w:rsid w:val="002A1AA7"/>
    <w:rsid w:val="002A1BA1"/>
    <w:rsid w:val="002A1C7D"/>
    <w:rsid w:val="002A1C95"/>
    <w:rsid w:val="002A1DC5"/>
    <w:rsid w:val="002A1F55"/>
    <w:rsid w:val="002A2001"/>
    <w:rsid w:val="002A2020"/>
    <w:rsid w:val="002A209E"/>
    <w:rsid w:val="002A20D7"/>
    <w:rsid w:val="002A22DB"/>
    <w:rsid w:val="002A231E"/>
    <w:rsid w:val="002A2327"/>
    <w:rsid w:val="002A2385"/>
    <w:rsid w:val="002A243E"/>
    <w:rsid w:val="002A25D1"/>
    <w:rsid w:val="002A26CC"/>
    <w:rsid w:val="002A2706"/>
    <w:rsid w:val="002A2812"/>
    <w:rsid w:val="002A283C"/>
    <w:rsid w:val="002A2A87"/>
    <w:rsid w:val="002A2AC3"/>
    <w:rsid w:val="002A2CF4"/>
    <w:rsid w:val="002A2CF5"/>
    <w:rsid w:val="002A2CF7"/>
    <w:rsid w:val="002A2D58"/>
    <w:rsid w:val="002A3096"/>
    <w:rsid w:val="002A3099"/>
    <w:rsid w:val="002A3261"/>
    <w:rsid w:val="002A3270"/>
    <w:rsid w:val="002A3288"/>
    <w:rsid w:val="002A32A8"/>
    <w:rsid w:val="002A337E"/>
    <w:rsid w:val="002A3581"/>
    <w:rsid w:val="002A37E8"/>
    <w:rsid w:val="002A38EE"/>
    <w:rsid w:val="002A399A"/>
    <w:rsid w:val="002A39A8"/>
    <w:rsid w:val="002A3A31"/>
    <w:rsid w:val="002A3B68"/>
    <w:rsid w:val="002A3CA4"/>
    <w:rsid w:val="002A3CB4"/>
    <w:rsid w:val="002A3E99"/>
    <w:rsid w:val="002A3F45"/>
    <w:rsid w:val="002A3F56"/>
    <w:rsid w:val="002A42E9"/>
    <w:rsid w:val="002A4384"/>
    <w:rsid w:val="002A4434"/>
    <w:rsid w:val="002A44C3"/>
    <w:rsid w:val="002A457C"/>
    <w:rsid w:val="002A4594"/>
    <w:rsid w:val="002A472D"/>
    <w:rsid w:val="002A473A"/>
    <w:rsid w:val="002A4793"/>
    <w:rsid w:val="002A484E"/>
    <w:rsid w:val="002A4880"/>
    <w:rsid w:val="002A4921"/>
    <w:rsid w:val="002A49F4"/>
    <w:rsid w:val="002A4AB2"/>
    <w:rsid w:val="002A4E14"/>
    <w:rsid w:val="002A4F5D"/>
    <w:rsid w:val="002A5177"/>
    <w:rsid w:val="002A52EC"/>
    <w:rsid w:val="002A549F"/>
    <w:rsid w:val="002A54E2"/>
    <w:rsid w:val="002A55AB"/>
    <w:rsid w:val="002A5650"/>
    <w:rsid w:val="002A56FA"/>
    <w:rsid w:val="002A571F"/>
    <w:rsid w:val="002A57EA"/>
    <w:rsid w:val="002A58EF"/>
    <w:rsid w:val="002A5986"/>
    <w:rsid w:val="002A59AE"/>
    <w:rsid w:val="002A5A96"/>
    <w:rsid w:val="002A5B50"/>
    <w:rsid w:val="002A5CFD"/>
    <w:rsid w:val="002A5D44"/>
    <w:rsid w:val="002A5D50"/>
    <w:rsid w:val="002A5EAC"/>
    <w:rsid w:val="002A6077"/>
    <w:rsid w:val="002A60A0"/>
    <w:rsid w:val="002A6324"/>
    <w:rsid w:val="002A639E"/>
    <w:rsid w:val="002A63A6"/>
    <w:rsid w:val="002A65C3"/>
    <w:rsid w:val="002A66D8"/>
    <w:rsid w:val="002A67C5"/>
    <w:rsid w:val="002A682E"/>
    <w:rsid w:val="002A6871"/>
    <w:rsid w:val="002A689B"/>
    <w:rsid w:val="002A6975"/>
    <w:rsid w:val="002A69AE"/>
    <w:rsid w:val="002A69F1"/>
    <w:rsid w:val="002A6B39"/>
    <w:rsid w:val="002A6C12"/>
    <w:rsid w:val="002A6C55"/>
    <w:rsid w:val="002A6D19"/>
    <w:rsid w:val="002A6E3F"/>
    <w:rsid w:val="002A6E55"/>
    <w:rsid w:val="002A6E97"/>
    <w:rsid w:val="002A6F21"/>
    <w:rsid w:val="002A6F56"/>
    <w:rsid w:val="002A6F57"/>
    <w:rsid w:val="002A70DC"/>
    <w:rsid w:val="002A71D3"/>
    <w:rsid w:val="002A73AC"/>
    <w:rsid w:val="002A748D"/>
    <w:rsid w:val="002A74C7"/>
    <w:rsid w:val="002A77B2"/>
    <w:rsid w:val="002A7912"/>
    <w:rsid w:val="002A7AE4"/>
    <w:rsid w:val="002A7B7A"/>
    <w:rsid w:val="002A7D7A"/>
    <w:rsid w:val="002A7E03"/>
    <w:rsid w:val="002A7F53"/>
    <w:rsid w:val="002A7F83"/>
    <w:rsid w:val="002A7FFE"/>
    <w:rsid w:val="002B0102"/>
    <w:rsid w:val="002B01A0"/>
    <w:rsid w:val="002B02DD"/>
    <w:rsid w:val="002B032A"/>
    <w:rsid w:val="002B0366"/>
    <w:rsid w:val="002B04F6"/>
    <w:rsid w:val="002B0534"/>
    <w:rsid w:val="002B0611"/>
    <w:rsid w:val="002B0686"/>
    <w:rsid w:val="002B079C"/>
    <w:rsid w:val="002B07A3"/>
    <w:rsid w:val="002B07E4"/>
    <w:rsid w:val="002B0A95"/>
    <w:rsid w:val="002B0A9E"/>
    <w:rsid w:val="002B0C67"/>
    <w:rsid w:val="002B0C97"/>
    <w:rsid w:val="002B0DED"/>
    <w:rsid w:val="002B0E4E"/>
    <w:rsid w:val="002B0F70"/>
    <w:rsid w:val="002B0FFA"/>
    <w:rsid w:val="002B103A"/>
    <w:rsid w:val="002B1085"/>
    <w:rsid w:val="002B10AE"/>
    <w:rsid w:val="002B10D0"/>
    <w:rsid w:val="002B10DF"/>
    <w:rsid w:val="002B11B7"/>
    <w:rsid w:val="002B11C5"/>
    <w:rsid w:val="002B130B"/>
    <w:rsid w:val="002B141E"/>
    <w:rsid w:val="002B144A"/>
    <w:rsid w:val="002B1476"/>
    <w:rsid w:val="002B152E"/>
    <w:rsid w:val="002B164B"/>
    <w:rsid w:val="002B1719"/>
    <w:rsid w:val="002B1978"/>
    <w:rsid w:val="002B1A73"/>
    <w:rsid w:val="002B1A74"/>
    <w:rsid w:val="002B1B10"/>
    <w:rsid w:val="002B1B6C"/>
    <w:rsid w:val="002B1BAB"/>
    <w:rsid w:val="002B1BD7"/>
    <w:rsid w:val="002B1CA5"/>
    <w:rsid w:val="002B1FCF"/>
    <w:rsid w:val="002B1FF1"/>
    <w:rsid w:val="002B20A3"/>
    <w:rsid w:val="002B219C"/>
    <w:rsid w:val="002B2579"/>
    <w:rsid w:val="002B25DE"/>
    <w:rsid w:val="002B2684"/>
    <w:rsid w:val="002B274F"/>
    <w:rsid w:val="002B27EB"/>
    <w:rsid w:val="002B2AFE"/>
    <w:rsid w:val="002B2CCE"/>
    <w:rsid w:val="002B2CD2"/>
    <w:rsid w:val="002B2D0F"/>
    <w:rsid w:val="002B2D76"/>
    <w:rsid w:val="002B2E21"/>
    <w:rsid w:val="002B2F6B"/>
    <w:rsid w:val="002B30B4"/>
    <w:rsid w:val="002B3129"/>
    <w:rsid w:val="002B31C3"/>
    <w:rsid w:val="002B3267"/>
    <w:rsid w:val="002B329C"/>
    <w:rsid w:val="002B34C8"/>
    <w:rsid w:val="002B34FC"/>
    <w:rsid w:val="002B352E"/>
    <w:rsid w:val="002B35A5"/>
    <w:rsid w:val="002B35D9"/>
    <w:rsid w:val="002B3601"/>
    <w:rsid w:val="002B360B"/>
    <w:rsid w:val="002B3688"/>
    <w:rsid w:val="002B36A1"/>
    <w:rsid w:val="002B36F5"/>
    <w:rsid w:val="002B3A61"/>
    <w:rsid w:val="002B3D7A"/>
    <w:rsid w:val="002B3DC5"/>
    <w:rsid w:val="002B3EDE"/>
    <w:rsid w:val="002B3F06"/>
    <w:rsid w:val="002B3F6A"/>
    <w:rsid w:val="002B4017"/>
    <w:rsid w:val="002B403C"/>
    <w:rsid w:val="002B40DF"/>
    <w:rsid w:val="002B4187"/>
    <w:rsid w:val="002B42DD"/>
    <w:rsid w:val="002B432C"/>
    <w:rsid w:val="002B4343"/>
    <w:rsid w:val="002B445F"/>
    <w:rsid w:val="002B4482"/>
    <w:rsid w:val="002B4708"/>
    <w:rsid w:val="002B48F1"/>
    <w:rsid w:val="002B498D"/>
    <w:rsid w:val="002B4B4A"/>
    <w:rsid w:val="002B4BA3"/>
    <w:rsid w:val="002B4BD1"/>
    <w:rsid w:val="002B4BD5"/>
    <w:rsid w:val="002B4CA5"/>
    <w:rsid w:val="002B4D0A"/>
    <w:rsid w:val="002B4EE4"/>
    <w:rsid w:val="002B50A8"/>
    <w:rsid w:val="002B513C"/>
    <w:rsid w:val="002B5294"/>
    <w:rsid w:val="002B530D"/>
    <w:rsid w:val="002B537A"/>
    <w:rsid w:val="002B53DC"/>
    <w:rsid w:val="002B53FF"/>
    <w:rsid w:val="002B5461"/>
    <w:rsid w:val="002B54C2"/>
    <w:rsid w:val="002B5540"/>
    <w:rsid w:val="002B55DB"/>
    <w:rsid w:val="002B56B6"/>
    <w:rsid w:val="002B5706"/>
    <w:rsid w:val="002B58D6"/>
    <w:rsid w:val="002B5B68"/>
    <w:rsid w:val="002B5E07"/>
    <w:rsid w:val="002B5E1A"/>
    <w:rsid w:val="002B5EA2"/>
    <w:rsid w:val="002B5EC0"/>
    <w:rsid w:val="002B5ECC"/>
    <w:rsid w:val="002B5F75"/>
    <w:rsid w:val="002B6135"/>
    <w:rsid w:val="002B630A"/>
    <w:rsid w:val="002B6590"/>
    <w:rsid w:val="002B67DC"/>
    <w:rsid w:val="002B68D6"/>
    <w:rsid w:val="002B69C5"/>
    <w:rsid w:val="002B6B46"/>
    <w:rsid w:val="002B6C7B"/>
    <w:rsid w:val="002B6CBE"/>
    <w:rsid w:val="002B6D58"/>
    <w:rsid w:val="002B6D9D"/>
    <w:rsid w:val="002B6F19"/>
    <w:rsid w:val="002B6F68"/>
    <w:rsid w:val="002B7242"/>
    <w:rsid w:val="002B725F"/>
    <w:rsid w:val="002B73C5"/>
    <w:rsid w:val="002B7524"/>
    <w:rsid w:val="002B7989"/>
    <w:rsid w:val="002B79C6"/>
    <w:rsid w:val="002B79D8"/>
    <w:rsid w:val="002B7A1E"/>
    <w:rsid w:val="002B7B92"/>
    <w:rsid w:val="002B7B93"/>
    <w:rsid w:val="002B7BB8"/>
    <w:rsid w:val="002B7C52"/>
    <w:rsid w:val="002B7E79"/>
    <w:rsid w:val="002B7ECE"/>
    <w:rsid w:val="002B7EE2"/>
    <w:rsid w:val="002C0005"/>
    <w:rsid w:val="002C004E"/>
    <w:rsid w:val="002C00C4"/>
    <w:rsid w:val="002C0148"/>
    <w:rsid w:val="002C03C6"/>
    <w:rsid w:val="002C0448"/>
    <w:rsid w:val="002C0538"/>
    <w:rsid w:val="002C0653"/>
    <w:rsid w:val="002C065E"/>
    <w:rsid w:val="002C0786"/>
    <w:rsid w:val="002C086D"/>
    <w:rsid w:val="002C08F0"/>
    <w:rsid w:val="002C0C5B"/>
    <w:rsid w:val="002C0DC4"/>
    <w:rsid w:val="002C0DC5"/>
    <w:rsid w:val="002C0E0C"/>
    <w:rsid w:val="002C0EB8"/>
    <w:rsid w:val="002C0F25"/>
    <w:rsid w:val="002C0F7A"/>
    <w:rsid w:val="002C113C"/>
    <w:rsid w:val="002C1171"/>
    <w:rsid w:val="002C12FA"/>
    <w:rsid w:val="002C1493"/>
    <w:rsid w:val="002C14F5"/>
    <w:rsid w:val="002C1644"/>
    <w:rsid w:val="002C17D2"/>
    <w:rsid w:val="002C1878"/>
    <w:rsid w:val="002C18C7"/>
    <w:rsid w:val="002C19AC"/>
    <w:rsid w:val="002C1AFE"/>
    <w:rsid w:val="002C1B5F"/>
    <w:rsid w:val="002C1BBB"/>
    <w:rsid w:val="002C1BC3"/>
    <w:rsid w:val="002C1BD5"/>
    <w:rsid w:val="002C1C0B"/>
    <w:rsid w:val="002C1C12"/>
    <w:rsid w:val="002C1C17"/>
    <w:rsid w:val="002C1C7E"/>
    <w:rsid w:val="002C1D95"/>
    <w:rsid w:val="002C1E49"/>
    <w:rsid w:val="002C209E"/>
    <w:rsid w:val="002C21A5"/>
    <w:rsid w:val="002C22A5"/>
    <w:rsid w:val="002C22DE"/>
    <w:rsid w:val="002C22E8"/>
    <w:rsid w:val="002C2353"/>
    <w:rsid w:val="002C2491"/>
    <w:rsid w:val="002C263B"/>
    <w:rsid w:val="002C26DC"/>
    <w:rsid w:val="002C27FE"/>
    <w:rsid w:val="002C2899"/>
    <w:rsid w:val="002C2947"/>
    <w:rsid w:val="002C2B2E"/>
    <w:rsid w:val="002C2B80"/>
    <w:rsid w:val="002C2C9E"/>
    <w:rsid w:val="002C2CC1"/>
    <w:rsid w:val="002C2D71"/>
    <w:rsid w:val="002C2E47"/>
    <w:rsid w:val="002C3093"/>
    <w:rsid w:val="002C3360"/>
    <w:rsid w:val="002C3721"/>
    <w:rsid w:val="002C38DB"/>
    <w:rsid w:val="002C3906"/>
    <w:rsid w:val="002C3AF1"/>
    <w:rsid w:val="002C3BD6"/>
    <w:rsid w:val="002C3CF6"/>
    <w:rsid w:val="002C3D07"/>
    <w:rsid w:val="002C3D44"/>
    <w:rsid w:val="002C3D6B"/>
    <w:rsid w:val="002C4305"/>
    <w:rsid w:val="002C4391"/>
    <w:rsid w:val="002C43C2"/>
    <w:rsid w:val="002C442B"/>
    <w:rsid w:val="002C4440"/>
    <w:rsid w:val="002C45A3"/>
    <w:rsid w:val="002C45E2"/>
    <w:rsid w:val="002C493B"/>
    <w:rsid w:val="002C4966"/>
    <w:rsid w:val="002C4A33"/>
    <w:rsid w:val="002C4A51"/>
    <w:rsid w:val="002C4A5A"/>
    <w:rsid w:val="002C4A90"/>
    <w:rsid w:val="002C4C31"/>
    <w:rsid w:val="002C4DAC"/>
    <w:rsid w:val="002C500E"/>
    <w:rsid w:val="002C5202"/>
    <w:rsid w:val="002C52E6"/>
    <w:rsid w:val="002C53AA"/>
    <w:rsid w:val="002C5491"/>
    <w:rsid w:val="002C5571"/>
    <w:rsid w:val="002C5599"/>
    <w:rsid w:val="002C55AA"/>
    <w:rsid w:val="002C568C"/>
    <w:rsid w:val="002C5786"/>
    <w:rsid w:val="002C57C5"/>
    <w:rsid w:val="002C57CF"/>
    <w:rsid w:val="002C58A3"/>
    <w:rsid w:val="002C59A9"/>
    <w:rsid w:val="002C5A4A"/>
    <w:rsid w:val="002C5A7C"/>
    <w:rsid w:val="002C5B08"/>
    <w:rsid w:val="002C5D6A"/>
    <w:rsid w:val="002C60A7"/>
    <w:rsid w:val="002C6256"/>
    <w:rsid w:val="002C64CC"/>
    <w:rsid w:val="002C670C"/>
    <w:rsid w:val="002C67CF"/>
    <w:rsid w:val="002C6844"/>
    <w:rsid w:val="002C699E"/>
    <w:rsid w:val="002C69B8"/>
    <w:rsid w:val="002C6AF1"/>
    <w:rsid w:val="002C6CF3"/>
    <w:rsid w:val="002C6EB7"/>
    <w:rsid w:val="002C6F15"/>
    <w:rsid w:val="002C6F80"/>
    <w:rsid w:val="002C6F9C"/>
    <w:rsid w:val="002C7041"/>
    <w:rsid w:val="002C707A"/>
    <w:rsid w:val="002C70C4"/>
    <w:rsid w:val="002C714C"/>
    <w:rsid w:val="002C7476"/>
    <w:rsid w:val="002C74AB"/>
    <w:rsid w:val="002C752F"/>
    <w:rsid w:val="002C75A7"/>
    <w:rsid w:val="002C7808"/>
    <w:rsid w:val="002C78FE"/>
    <w:rsid w:val="002C795C"/>
    <w:rsid w:val="002C798D"/>
    <w:rsid w:val="002C7AE3"/>
    <w:rsid w:val="002C7CE4"/>
    <w:rsid w:val="002C7DAC"/>
    <w:rsid w:val="002C7EF3"/>
    <w:rsid w:val="002D0039"/>
    <w:rsid w:val="002D029D"/>
    <w:rsid w:val="002D03A5"/>
    <w:rsid w:val="002D03A8"/>
    <w:rsid w:val="002D06EA"/>
    <w:rsid w:val="002D08C1"/>
    <w:rsid w:val="002D0CBF"/>
    <w:rsid w:val="002D0CEA"/>
    <w:rsid w:val="002D0D20"/>
    <w:rsid w:val="002D0DE4"/>
    <w:rsid w:val="002D0E2E"/>
    <w:rsid w:val="002D0F65"/>
    <w:rsid w:val="002D10B4"/>
    <w:rsid w:val="002D115B"/>
    <w:rsid w:val="002D116F"/>
    <w:rsid w:val="002D128D"/>
    <w:rsid w:val="002D13FF"/>
    <w:rsid w:val="002D1595"/>
    <w:rsid w:val="002D18E7"/>
    <w:rsid w:val="002D18EB"/>
    <w:rsid w:val="002D19FE"/>
    <w:rsid w:val="002D1A03"/>
    <w:rsid w:val="002D1B5D"/>
    <w:rsid w:val="002D1CAD"/>
    <w:rsid w:val="002D1E0D"/>
    <w:rsid w:val="002D1E23"/>
    <w:rsid w:val="002D1E9A"/>
    <w:rsid w:val="002D21E6"/>
    <w:rsid w:val="002D22A5"/>
    <w:rsid w:val="002D22CA"/>
    <w:rsid w:val="002D23D2"/>
    <w:rsid w:val="002D244C"/>
    <w:rsid w:val="002D2488"/>
    <w:rsid w:val="002D24A2"/>
    <w:rsid w:val="002D2587"/>
    <w:rsid w:val="002D266F"/>
    <w:rsid w:val="002D273D"/>
    <w:rsid w:val="002D287D"/>
    <w:rsid w:val="002D28D5"/>
    <w:rsid w:val="002D29C0"/>
    <w:rsid w:val="002D2B7E"/>
    <w:rsid w:val="002D2CB7"/>
    <w:rsid w:val="002D2E80"/>
    <w:rsid w:val="002D2F00"/>
    <w:rsid w:val="002D2F26"/>
    <w:rsid w:val="002D3063"/>
    <w:rsid w:val="002D30EE"/>
    <w:rsid w:val="002D333D"/>
    <w:rsid w:val="002D33A4"/>
    <w:rsid w:val="002D3487"/>
    <w:rsid w:val="002D3531"/>
    <w:rsid w:val="002D3581"/>
    <w:rsid w:val="002D35BB"/>
    <w:rsid w:val="002D378F"/>
    <w:rsid w:val="002D3980"/>
    <w:rsid w:val="002D3A04"/>
    <w:rsid w:val="002D3A83"/>
    <w:rsid w:val="002D3AA7"/>
    <w:rsid w:val="002D3B81"/>
    <w:rsid w:val="002D3C0B"/>
    <w:rsid w:val="002D3D17"/>
    <w:rsid w:val="002D3D79"/>
    <w:rsid w:val="002D3F28"/>
    <w:rsid w:val="002D3F82"/>
    <w:rsid w:val="002D3F95"/>
    <w:rsid w:val="002D4182"/>
    <w:rsid w:val="002D41FD"/>
    <w:rsid w:val="002D42F8"/>
    <w:rsid w:val="002D44AB"/>
    <w:rsid w:val="002D4677"/>
    <w:rsid w:val="002D47D0"/>
    <w:rsid w:val="002D4852"/>
    <w:rsid w:val="002D4AA0"/>
    <w:rsid w:val="002D4B47"/>
    <w:rsid w:val="002D4BA9"/>
    <w:rsid w:val="002D4EAC"/>
    <w:rsid w:val="002D4ED4"/>
    <w:rsid w:val="002D4F2B"/>
    <w:rsid w:val="002D4F47"/>
    <w:rsid w:val="002D4F75"/>
    <w:rsid w:val="002D5015"/>
    <w:rsid w:val="002D5095"/>
    <w:rsid w:val="002D526E"/>
    <w:rsid w:val="002D52DA"/>
    <w:rsid w:val="002D5566"/>
    <w:rsid w:val="002D556D"/>
    <w:rsid w:val="002D5760"/>
    <w:rsid w:val="002D5931"/>
    <w:rsid w:val="002D5AB2"/>
    <w:rsid w:val="002D5CD1"/>
    <w:rsid w:val="002D5E89"/>
    <w:rsid w:val="002D5E90"/>
    <w:rsid w:val="002D5EEB"/>
    <w:rsid w:val="002D5F11"/>
    <w:rsid w:val="002D5F31"/>
    <w:rsid w:val="002D6193"/>
    <w:rsid w:val="002D61AA"/>
    <w:rsid w:val="002D62E4"/>
    <w:rsid w:val="002D6316"/>
    <w:rsid w:val="002D63A0"/>
    <w:rsid w:val="002D64F9"/>
    <w:rsid w:val="002D6591"/>
    <w:rsid w:val="002D664D"/>
    <w:rsid w:val="002D6692"/>
    <w:rsid w:val="002D67B2"/>
    <w:rsid w:val="002D6B22"/>
    <w:rsid w:val="002D6BCF"/>
    <w:rsid w:val="002D6BF7"/>
    <w:rsid w:val="002D6CC4"/>
    <w:rsid w:val="002D6D3E"/>
    <w:rsid w:val="002D6D88"/>
    <w:rsid w:val="002D6E50"/>
    <w:rsid w:val="002D6EBB"/>
    <w:rsid w:val="002D71B7"/>
    <w:rsid w:val="002D71E0"/>
    <w:rsid w:val="002D721F"/>
    <w:rsid w:val="002D7320"/>
    <w:rsid w:val="002D73C8"/>
    <w:rsid w:val="002D73EC"/>
    <w:rsid w:val="002D7512"/>
    <w:rsid w:val="002D7630"/>
    <w:rsid w:val="002D76F0"/>
    <w:rsid w:val="002D7783"/>
    <w:rsid w:val="002D788C"/>
    <w:rsid w:val="002D7B5A"/>
    <w:rsid w:val="002D7C5A"/>
    <w:rsid w:val="002D7D11"/>
    <w:rsid w:val="002D7D42"/>
    <w:rsid w:val="002D7DBF"/>
    <w:rsid w:val="002D7E11"/>
    <w:rsid w:val="002D7E54"/>
    <w:rsid w:val="002D7E5C"/>
    <w:rsid w:val="002D7EB4"/>
    <w:rsid w:val="002D7ECA"/>
    <w:rsid w:val="002DD04B"/>
    <w:rsid w:val="002E00D1"/>
    <w:rsid w:val="002E0547"/>
    <w:rsid w:val="002E0717"/>
    <w:rsid w:val="002E082E"/>
    <w:rsid w:val="002E0907"/>
    <w:rsid w:val="002E0946"/>
    <w:rsid w:val="002E0A32"/>
    <w:rsid w:val="002E0A93"/>
    <w:rsid w:val="002E0AF7"/>
    <w:rsid w:val="002E0CB4"/>
    <w:rsid w:val="002E0D72"/>
    <w:rsid w:val="002E0D85"/>
    <w:rsid w:val="002E0DDC"/>
    <w:rsid w:val="002E0F73"/>
    <w:rsid w:val="002E0F87"/>
    <w:rsid w:val="002E0FD1"/>
    <w:rsid w:val="002E0FEA"/>
    <w:rsid w:val="002E1052"/>
    <w:rsid w:val="002E10B4"/>
    <w:rsid w:val="002E10EE"/>
    <w:rsid w:val="002E1141"/>
    <w:rsid w:val="002E12C0"/>
    <w:rsid w:val="002E1315"/>
    <w:rsid w:val="002E1416"/>
    <w:rsid w:val="002E147F"/>
    <w:rsid w:val="002E152D"/>
    <w:rsid w:val="002E169D"/>
    <w:rsid w:val="002E1879"/>
    <w:rsid w:val="002E1917"/>
    <w:rsid w:val="002E19A3"/>
    <w:rsid w:val="002E1B63"/>
    <w:rsid w:val="002E1C19"/>
    <w:rsid w:val="002E1C76"/>
    <w:rsid w:val="002E1F03"/>
    <w:rsid w:val="002E1FDD"/>
    <w:rsid w:val="002E1FEE"/>
    <w:rsid w:val="002E1FF8"/>
    <w:rsid w:val="002E2029"/>
    <w:rsid w:val="002E21C1"/>
    <w:rsid w:val="002E21D0"/>
    <w:rsid w:val="002E22ED"/>
    <w:rsid w:val="002E2348"/>
    <w:rsid w:val="002E2391"/>
    <w:rsid w:val="002E23D3"/>
    <w:rsid w:val="002E24BE"/>
    <w:rsid w:val="002E24FF"/>
    <w:rsid w:val="002E257B"/>
    <w:rsid w:val="002E2792"/>
    <w:rsid w:val="002E27A0"/>
    <w:rsid w:val="002E290C"/>
    <w:rsid w:val="002E292B"/>
    <w:rsid w:val="002E2978"/>
    <w:rsid w:val="002E299B"/>
    <w:rsid w:val="002E29EE"/>
    <w:rsid w:val="002E2A3F"/>
    <w:rsid w:val="002E2C2E"/>
    <w:rsid w:val="002E2C6E"/>
    <w:rsid w:val="002E2DBE"/>
    <w:rsid w:val="002E2DC0"/>
    <w:rsid w:val="002E2E30"/>
    <w:rsid w:val="002E2FB8"/>
    <w:rsid w:val="002E309C"/>
    <w:rsid w:val="002E3195"/>
    <w:rsid w:val="002E31FE"/>
    <w:rsid w:val="002E3481"/>
    <w:rsid w:val="002E34FB"/>
    <w:rsid w:val="002E359E"/>
    <w:rsid w:val="002E386A"/>
    <w:rsid w:val="002E394D"/>
    <w:rsid w:val="002E39F4"/>
    <w:rsid w:val="002E3B1D"/>
    <w:rsid w:val="002E3B4D"/>
    <w:rsid w:val="002E3C13"/>
    <w:rsid w:val="002E3C38"/>
    <w:rsid w:val="002E3C6C"/>
    <w:rsid w:val="002E3D9C"/>
    <w:rsid w:val="002E3E3B"/>
    <w:rsid w:val="002E3F9B"/>
    <w:rsid w:val="002E3FAA"/>
    <w:rsid w:val="002E403F"/>
    <w:rsid w:val="002E4065"/>
    <w:rsid w:val="002E40E2"/>
    <w:rsid w:val="002E4271"/>
    <w:rsid w:val="002E4510"/>
    <w:rsid w:val="002E454C"/>
    <w:rsid w:val="002E463C"/>
    <w:rsid w:val="002E477C"/>
    <w:rsid w:val="002E4887"/>
    <w:rsid w:val="002E4910"/>
    <w:rsid w:val="002E49E3"/>
    <w:rsid w:val="002E4ACA"/>
    <w:rsid w:val="002E4C34"/>
    <w:rsid w:val="002E4D60"/>
    <w:rsid w:val="002E4E2B"/>
    <w:rsid w:val="002E4FD9"/>
    <w:rsid w:val="002E4FF0"/>
    <w:rsid w:val="002E524B"/>
    <w:rsid w:val="002E5257"/>
    <w:rsid w:val="002E537E"/>
    <w:rsid w:val="002E53F4"/>
    <w:rsid w:val="002E54A1"/>
    <w:rsid w:val="002E54AD"/>
    <w:rsid w:val="002E54C4"/>
    <w:rsid w:val="002E54CB"/>
    <w:rsid w:val="002E5794"/>
    <w:rsid w:val="002E5824"/>
    <w:rsid w:val="002E5936"/>
    <w:rsid w:val="002E5C07"/>
    <w:rsid w:val="002E5C77"/>
    <w:rsid w:val="002E5C7B"/>
    <w:rsid w:val="002E5F02"/>
    <w:rsid w:val="002E5FA2"/>
    <w:rsid w:val="002E5FEA"/>
    <w:rsid w:val="002E601F"/>
    <w:rsid w:val="002E6083"/>
    <w:rsid w:val="002E6167"/>
    <w:rsid w:val="002E6286"/>
    <w:rsid w:val="002E64A5"/>
    <w:rsid w:val="002E6634"/>
    <w:rsid w:val="002E6784"/>
    <w:rsid w:val="002E688D"/>
    <w:rsid w:val="002E68DE"/>
    <w:rsid w:val="002E69A8"/>
    <w:rsid w:val="002E6B3D"/>
    <w:rsid w:val="002E6B54"/>
    <w:rsid w:val="002E6BEE"/>
    <w:rsid w:val="002E6CA2"/>
    <w:rsid w:val="002E6DE8"/>
    <w:rsid w:val="002E6EFE"/>
    <w:rsid w:val="002E6F84"/>
    <w:rsid w:val="002E7013"/>
    <w:rsid w:val="002E71A9"/>
    <w:rsid w:val="002E730F"/>
    <w:rsid w:val="002E7331"/>
    <w:rsid w:val="002E739B"/>
    <w:rsid w:val="002E7421"/>
    <w:rsid w:val="002E7466"/>
    <w:rsid w:val="002E7563"/>
    <w:rsid w:val="002E7569"/>
    <w:rsid w:val="002E75A6"/>
    <w:rsid w:val="002E7667"/>
    <w:rsid w:val="002E78B8"/>
    <w:rsid w:val="002E7A03"/>
    <w:rsid w:val="002E7A79"/>
    <w:rsid w:val="002E7BA9"/>
    <w:rsid w:val="002E7D5F"/>
    <w:rsid w:val="002E7DF4"/>
    <w:rsid w:val="002E7EC8"/>
    <w:rsid w:val="002E7ECF"/>
    <w:rsid w:val="002F01E7"/>
    <w:rsid w:val="002F02F7"/>
    <w:rsid w:val="002F036C"/>
    <w:rsid w:val="002F0382"/>
    <w:rsid w:val="002F03A9"/>
    <w:rsid w:val="002F03CB"/>
    <w:rsid w:val="002F0405"/>
    <w:rsid w:val="002F0486"/>
    <w:rsid w:val="002F056B"/>
    <w:rsid w:val="002F066A"/>
    <w:rsid w:val="002F06BC"/>
    <w:rsid w:val="002F081B"/>
    <w:rsid w:val="002F0891"/>
    <w:rsid w:val="002F0ABD"/>
    <w:rsid w:val="002F0B73"/>
    <w:rsid w:val="002F0B82"/>
    <w:rsid w:val="002F0C8C"/>
    <w:rsid w:val="002F0C94"/>
    <w:rsid w:val="002F0CB6"/>
    <w:rsid w:val="002F0D63"/>
    <w:rsid w:val="002F0E73"/>
    <w:rsid w:val="002F0F18"/>
    <w:rsid w:val="002F1008"/>
    <w:rsid w:val="002F1050"/>
    <w:rsid w:val="002F13A6"/>
    <w:rsid w:val="002F1549"/>
    <w:rsid w:val="002F15B4"/>
    <w:rsid w:val="002F15C5"/>
    <w:rsid w:val="002F15D8"/>
    <w:rsid w:val="002F18DA"/>
    <w:rsid w:val="002F18E4"/>
    <w:rsid w:val="002F19AC"/>
    <w:rsid w:val="002F19F9"/>
    <w:rsid w:val="002F1A44"/>
    <w:rsid w:val="002F1AC8"/>
    <w:rsid w:val="002F1B25"/>
    <w:rsid w:val="002F1B87"/>
    <w:rsid w:val="002F1BD3"/>
    <w:rsid w:val="002F1BF2"/>
    <w:rsid w:val="002F1C21"/>
    <w:rsid w:val="002F1D01"/>
    <w:rsid w:val="002F1D3F"/>
    <w:rsid w:val="002F1D4B"/>
    <w:rsid w:val="002F1EED"/>
    <w:rsid w:val="002F2256"/>
    <w:rsid w:val="002F22BC"/>
    <w:rsid w:val="002F2303"/>
    <w:rsid w:val="002F2391"/>
    <w:rsid w:val="002F2397"/>
    <w:rsid w:val="002F258F"/>
    <w:rsid w:val="002F2595"/>
    <w:rsid w:val="002F25AA"/>
    <w:rsid w:val="002F25C1"/>
    <w:rsid w:val="002F25FA"/>
    <w:rsid w:val="002F2657"/>
    <w:rsid w:val="002F2847"/>
    <w:rsid w:val="002F28AD"/>
    <w:rsid w:val="002F292D"/>
    <w:rsid w:val="002F29AA"/>
    <w:rsid w:val="002F29DB"/>
    <w:rsid w:val="002F2B38"/>
    <w:rsid w:val="002F2BCA"/>
    <w:rsid w:val="002F2D12"/>
    <w:rsid w:val="002F2DB2"/>
    <w:rsid w:val="002F2DBB"/>
    <w:rsid w:val="002F2E9C"/>
    <w:rsid w:val="002F2FA5"/>
    <w:rsid w:val="002F3001"/>
    <w:rsid w:val="002F30B6"/>
    <w:rsid w:val="002F3309"/>
    <w:rsid w:val="002F3347"/>
    <w:rsid w:val="002F36AF"/>
    <w:rsid w:val="002F3747"/>
    <w:rsid w:val="002F37B2"/>
    <w:rsid w:val="002F3887"/>
    <w:rsid w:val="002F38E3"/>
    <w:rsid w:val="002F3A8F"/>
    <w:rsid w:val="002F3BE5"/>
    <w:rsid w:val="002F3D57"/>
    <w:rsid w:val="002F3F16"/>
    <w:rsid w:val="002F4097"/>
    <w:rsid w:val="002F40CF"/>
    <w:rsid w:val="002F4147"/>
    <w:rsid w:val="002F421B"/>
    <w:rsid w:val="002F42E3"/>
    <w:rsid w:val="002F4322"/>
    <w:rsid w:val="002F4494"/>
    <w:rsid w:val="002F456D"/>
    <w:rsid w:val="002F45CD"/>
    <w:rsid w:val="002F470F"/>
    <w:rsid w:val="002F48CE"/>
    <w:rsid w:val="002F4942"/>
    <w:rsid w:val="002F4956"/>
    <w:rsid w:val="002F4A95"/>
    <w:rsid w:val="002F4AB2"/>
    <w:rsid w:val="002F4DE6"/>
    <w:rsid w:val="002F4E06"/>
    <w:rsid w:val="002F4E92"/>
    <w:rsid w:val="002F4EC0"/>
    <w:rsid w:val="002F4F21"/>
    <w:rsid w:val="002F507F"/>
    <w:rsid w:val="002F514A"/>
    <w:rsid w:val="002F515A"/>
    <w:rsid w:val="002F5292"/>
    <w:rsid w:val="002F55A9"/>
    <w:rsid w:val="002F5615"/>
    <w:rsid w:val="002F5667"/>
    <w:rsid w:val="002F5736"/>
    <w:rsid w:val="002F589F"/>
    <w:rsid w:val="002F5908"/>
    <w:rsid w:val="002F594F"/>
    <w:rsid w:val="002F59C1"/>
    <w:rsid w:val="002F5A4F"/>
    <w:rsid w:val="002F5CD0"/>
    <w:rsid w:val="002F5E86"/>
    <w:rsid w:val="002F5EF5"/>
    <w:rsid w:val="002F603D"/>
    <w:rsid w:val="002F61AA"/>
    <w:rsid w:val="002F641D"/>
    <w:rsid w:val="002F685C"/>
    <w:rsid w:val="002F6B8D"/>
    <w:rsid w:val="002F6BB0"/>
    <w:rsid w:val="002F6C0F"/>
    <w:rsid w:val="002F6C21"/>
    <w:rsid w:val="002F6CF8"/>
    <w:rsid w:val="002F6E74"/>
    <w:rsid w:val="002F6F16"/>
    <w:rsid w:val="002F6F40"/>
    <w:rsid w:val="002F717E"/>
    <w:rsid w:val="002F71BE"/>
    <w:rsid w:val="002F721E"/>
    <w:rsid w:val="002F729A"/>
    <w:rsid w:val="002F7311"/>
    <w:rsid w:val="002F7457"/>
    <w:rsid w:val="002F750D"/>
    <w:rsid w:val="002F751D"/>
    <w:rsid w:val="002F7582"/>
    <w:rsid w:val="002F764B"/>
    <w:rsid w:val="002F77B0"/>
    <w:rsid w:val="002F7945"/>
    <w:rsid w:val="002F798F"/>
    <w:rsid w:val="002F7B3A"/>
    <w:rsid w:val="002F7BE3"/>
    <w:rsid w:val="002F7C5A"/>
    <w:rsid w:val="002F7C8D"/>
    <w:rsid w:val="002F7DE9"/>
    <w:rsid w:val="002F7EBE"/>
    <w:rsid w:val="002F7F0D"/>
    <w:rsid w:val="003000CC"/>
    <w:rsid w:val="003001E8"/>
    <w:rsid w:val="003004B2"/>
    <w:rsid w:val="0030051A"/>
    <w:rsid w:val="0030071E"/>
    <w:rsid w:val="00300984"/>
    <w:rsid w:val="003009CA"/>
    <w:rsid w:val="00300A20"/>
    <w:rsid w:val="00300A6E"/>
    <w:rsid w:val="00300B12"/>
    <w:rsid w:val="00300B93"/>
    <w:rsid w:val="00300CDC"/>
    <w:rsid w:val="00300E6F"/>
    <w:rsid w:val="00300F2D"/>
    <w:rsid w:val="00301289"/>
    <w:rsid w:val="00301355"/>
    <w:rsid w:val="003013AA"/>
    <w:rsid w:val="003013EA"/>
    <w:rsid w:val="00301402"/>
    <w:rsid w:val="0030169F"/>
    <w:rsid w:val="003017EC"/>
    <w:rsid w:val="00301802"/>
    <w:rsid w:val="00301A07"/>
    <w:rsid w:val="00301A47"/>
    <w:rsid w:val="00301C4B"/>
    <w:rsid w:val="00301D55"/>
    <w:rsid w:val="00301D62"/>
    <w:rsid w:val="00301D99"/>
    <w:rsid w:val="00301EF0"/>
    <w:rsid w:val="00301F94"/>
    <w:rsid w:val="00301F9D"/>
    <w:rsid w:val="00302175"/>
    <w:rsid w:val="003021C0"/>
    <w:rsid w:val="0030236D"/>
    <w:rsid w:val="00302440"/>
    <w:rsid w:val="003024D7"/>
    <w:rsid w:val="00302553"/>
    <w:rsid w:val="00302587"/>
    <w:rsid w:val="003025E3"/>
    <w:rsid w:val="003026BF"/>
    <w:rsid w:val="003026EC"/>
    <w:rsid w:val="00302760"/>
    <w:rsid w:val="00302872"/>
    <w:rsid w:val="00302894"/>
    <w:rsid w:val="00302AB5"/>
    <w:rsid w:val="00302DDC"/>
    <w:rsid w:val="00302DED"/>
    <w:rsid w:val="00302EB7"/>
    <w:rsid w:val="00302FAE"/>
    <w:rsid w:val="00302FFE"/>
    <w:rsid w:val="00303166"/>
    <w:rsid w:val="003031B3"/>
    <w:rsid w:val="003031FB"/>
    <w:rsid w:val="0030327C"/>
    <w:rsid w:val="0030330F"/>
    <w:rsid w:val="00303496"/>
    <w:rsid w:val="003034A8"/>
    <w:rsid w:val="00303771"/>
    <w:rsid w:val="003037A4"/>
    <w:rsid w:val="00303A35"/>
    <w:rsid w:val="00303DCD"/>
    <w:rsid w:val="00303F65"/>
    <w:rsid w:val="00304058"/>
    <w:rsid w:val="003040DC"/>
    <w:rsid w:val="00304197"/>
    <w:rsid w:val="0030422B"/>
    <w:rsid w:val="00304230"/>
    <w:rsid w:val="00304261"/>
    <w:rsid w:val="00304358"/>
    <w:rsid w:val="003043E9"/>
    <w:rsid w:val="0030444B"/>
    <w:rsid w:val="00304753"/>
    <w:rsid w:val="00304A59"/>
    <w:rsid w:val="00304BE4"/>
    <w:rsid w:val="00304BE8"/>
    <w:rsid w:val="00304D14"/>
    <w:rsid w:val="00304DDE"/>
    <w:rsid w:val="00304E52"/>
    <w:rsid w:val="00304F17"/>
    <w:rsid w:val="00304F59"/>
    <w:rsid w:val="0030505A"/>
    <w:rsid w:val="0030542A"/>
    <w:rsid w:val="00305458"/>
    <w:rsid w:val="0030562F"/>
    <w:rsid w:val="0030572B"/>
    <w:rsid w:val="00305801"/>
    <w:rsid w:val="00305817"/>
    <w:rsid w:val="003058DA"/>
    <w:rsid w:val="003058F6"/>
    <w:rsid w:val="00305A19"/>
    <w:rsid w:val="00305A7E"/>
    <w:rsid w:val="00305A90"/>
    <w:rsid w:val="00305C32"/>
    <w:rsid w:val="00305DA8"/>
    <w:rsid w:val="00305DD5"/>
    <w:rsid w:val="00305ED6"/>
    <w:rsid w:val="00305F2A"/>
    <w:rsid w:val="00305FAE"/>
    <w:rsid w:val="00305FC9"/>
    <w:rsid w:val="00306221"/>
    <w:rsid w:val="003062D8"/>
    <w:rsid w:val="00306302"/>
    <w:rsid w:val="00306329"/>
    <w:rsid w:val="003063C4"/>
    <w:rsid w:val="00306561"/>
    <w:rsid w:val="00306661"/>
    <w:rsid w:val="0030669F"/>
    <w:rsid w:val="003066F7"/>
    <w:rsid w:val="003069AA"/>
    <w:rsid w:val="00306A72"/>
    <w:rsid w:val="00306AA6"/>
    <w:rsid w:val="00306B48"/>
    <w:rsid w:val="00306D11"/>
    <w:rsid w:val="00306D14"/>
    <w:rsid w:val="00306D7C"/>
    <w:rsid w:val="00306E3C"/>
    <w:rsid w:val="00306E9B"/>
    <w:rsid w:val="00306EA0"/>
    <w:rsid w:val="00306EA5"/>
    <w:rsid w:val="00307040"/>
    <w:rsid w:val="00307248"/>
    <w:rsid w:val="00307275"/>
    <w:rsid w:val="0030742F"/>
    <w:rsid w:val="003075B4"/>
    <w:rsid w:val="0030775F"/>
    <w:rsid w:val="0030777D"/>
    <w:rsid w:val="003078EC"/>
    <w:rsid w:val="003078FD"/>
    <w:rsid w:val="00307B0E"/>
    <w:rsid w:val="00307B22"/>
    <w:rsid w:val="00307DE2"/>
    <w:rsid w:val="00307E21"/>
    <w:rsid w:val="00307FE6"/>
    <w:rsid w:val="0031013D"/>
    <w:rsid w:val="00310183"/>
    <w:rsid w:val="003102D7"/>
    <w:rsid w:val="003102E8"/>
    <w:rsid w:val="00310312"/>
    <w:rsid w:val="00310337"/>
    <w:rsid w:val="0031060B"/>
    <w:rsid w:val="00310684"/>
    <w:rsid w:val="003108BF"/>
    <w:rsid w:val="00310B58"/>
    <w:rsid w:val="00310D78"/>
    <w:rsid w:val="00310F4F"/>
    <w:rsid w:val="00310FAB"/>
    <w:rsid w:val="00310FF2"/>
    <w:rsid w:val="0031110A"/>
    <w:rsid w:val="0031117B"/>
    <w:rsid w:val="003111F4"/>
    <w:rsid w:val="0031126A"/>
    <w:rsid w:val="003113A5"/>
    <w:rsid w:val="003113A7"/>
    <w:rsid w:val="00311626"/>
    <w:rsid w:val="003116B9"/>
    <w:rsid w:val="0031182B"/>
    <w:rsid w:val="00311878"/>
    <w:rsid w:val="003118DE"/>
    <w:rsid w:val="00311A6D"/>
    <w:rsid w:val="00311ABA"/>
    <w:rsid w:val="00311AFA"/>
    <w:rsid w:val="00311B9F"/>
    <w:rsid w:val="00311FE7"/>
    <w:rsid w:val="00312002"/>
    <w:rsid w:val="00312004"/>
    <w:rsid w:val="003122C9"/>
    <w:rsid w:val="0031240B"/>
    <w:rsid w:val="00312492"/>
    <w:rsid w:val="0031255A"/>
    <w:rsid w:val="00312594"/>
    <w:rsid w:val="003125C0"/>
    <w:rsid w:val="00312745"/>
    <w:rsid w:val="003127F4"/>
    <w:rsid w:val="0031284B"/>
    <w:rsid w:val="003128AA"/>
    <w:rsid w:val="003128B1"/>
    <w:rsid w:val="00312A21"/>
    <w:rsid w:val="00312A74"/>
    <w:rsid w:val="00312B6E"/>
    <w:rsid w:val="00312BB4"/>
    <w:rsid w:val="00312C3F"/>
    <w:rsid w:val="00312C6E"/>
    <w:rsid w:val="00312CCA"/>
    <w:rsid w:val="00312DB4"/>
    <w:rsid w:val="00312DCC"/>
    <w:rsid w:val="003130A7"/>
    <w:rsid w:val="003130C6"/>
    <w:rsid w:val="0031313E"/>
    <w:rsid w:val="0031314A"/>
    <w:rsid w:val="00313180"/>
    <w:rsid w:val="003131A5"/>
    <w:rsid w:val="0031336D"/>
    <w:rsid w:val="003134BD"/>
    <w:rsid w:val="003135F8"/>
    <w:rsid w:val="003135FB"/>
    <w:rsid w:val="0031364B"/>
    <w:rsid w:val="00313660"/>
    <w:rsid w:val="003137B8"/>
    <w:rsid w:val="00313981"/>
    <w:rsid w:val="00313A5E"/>
    <w:rsid w:val="00313A7B"/>
    <w:rsid w:val="00313B44"/>
    <w:rsid w:val="00313B5F"/>
    <w:rsid w:val="00313C7F"/>
    <w:rsid w:val="00313C8D"/>
    <w:rsid w:val="00313D05"/>
    <w:rsid w:val="00313D48"/>
    <w:rsid w:val="00313D76"/>
    <w:rsid w:val="00313ED0"/>
    <w:rsid w:val="00313EEB"/>
    <w:rsid w:val="00313F7B"/>
    <w:rsid w:val="00313FA0"/>
    <w:rsid w:val="00314032"/>
    <w:rsid w:val="00314221"/>
    <w:rsid w:val="00314311"/>
    <w:rsid w:val="003145AA"/>
    <w:rsid w:val="0031465E"/>
    <w:rsid w:val="0031480A"/>
    <w:rsid w:val="003148B9"/>
    <w:rsid w:val="00314A2D"/>
    <w:rsid w:val="00314E0E"/>
    <w:rsid w:val="00314FBE"/>
    <w:rsid w:val="00314FD6"/>
    <w:rsid w:val="0031500E"/>
    <w:rsid w:val="003150BB"/>
    <w:rsid w:val="00315148"/>
    <w:rsid w:val="0031515D"/>
    <w:rsid w:val="00315187"/>
    <w:rsid w:val="003152D4"/>
    <w:rsid w:val="00315338"/>
    <w:rsid w:val="00315417"/>
    <w:rsid w:val="0031543D"/>
    <w:rsid w:val="0031579F"/>
    <w:rsid w:val="003157DE"/>
    <w:rsid w:val="00315932"/>
    <w:rsid w:val="00315947"/>
    <w:rsid w:val="00315B00"/>
    <w:rsid w:val="00315B28"/>
    <w:rsid w:val="00315B49"/>
    <w:rsid w:val="00316071"/>
    <w:rsid w:val="00316089"/>
    <w:rsid w:val="00316144"/>
    <w:rsid w:val="00316212"/>
    <w:rsid w:val="003162C0"/>
    <w:rsid w:val="003162CB"/>
    <w:rsid w:val="0031636C"/>
    <w:rsid w:val="00316459"/>
    <w:rsid w:val="003164B4"/>
    <w:rsid w:val="003167ED"/>
    <w:rsid w:val="0031681E"/>
    <w:rsid w:val="00316940"/>
    <w:rsid w:val="003169B7"/>
    <w:rsid w:val="00316DED"/>
    <w:rsid w:val="00316F2E"/>
    <w:rsid w:val="00316F82"/>
    <w:rsid w:val="00316FE2"/>
    <w:rsid w:val="00316FF6"/>
    <w:rsid w:val="0031702F"/>
    <w:rsid w:val="0031726E"/>
    <w:rsid w:val="00317286"/>
    <w:rsid w:val="003175B9"/>
    <w:rsid w:val="0031760D"/>
    <w:rsid w:val="003178AD"/>
    <w:rsid w:val="003178E2"/>
    <w:rsid w:val="00317DDD"/>
    <w:rsid w:val="00317E80"/>
    <w:rsid w:val="00317EA8"/>
    <w:rsid w:val="00317FDB"/>
    <w:rsid w:val="0032000B"/>
    <w:rsid w:val="00320160"/>
    <w:rsid w:val="00320165"/>
    <w:rsid w:val="00320171"/>
    <w:rsid w:val="003202C6"/>
    <w:rsid w:val="0032066B"/>
    <w:rsid w:val="003206C1"/>
    <w:rsid w:val="003206E8"/>
    <w:rsid w:val="00320748"/>
    <w:rsid w:val="00320933"/>
    <w:rsid w:val="0032094E"/>
    <w:rsid w:val="00320992"/>
    <w:rsid w:val="00320A83"/>
    <w:rsid w:val="00320AB9"/>
    <w:rsid w:val="00320B2F"/>
    <w:rsid w:val="00320C55"/>
    <w:rsid w:val="00320C8E"/>
    <w:rsid w:val="00321093"/>
    <w:rsid w:val="003210F7"/>
    <w:rsid w:val="0032114D"/>
    <w:rsid w:val="0032126D"/>
    <w:rsid w:val="00321293"/>
    <w:rsid w:val="003212DA"/>
    <w:rsid w:val="0032141D"/>
    <w:rsid w:val="0032149F"/>
    <w:rsid w:val="003214DA"/>
    <w:rsid w:val="003214F2"/>
    <w:rsid w:val="003214FD"/>
    <w:rsid w:val="00321510"/>
    <w:rsid w:val="003217BC"/>
    <w:rsid w:val="00321833"/>
    <w:rsid w:val="0032186C"/>
    <w:rsid w:val="003218EA"/>
    <w:rsid w:val="0032190A"/>
    <w:rsid w:val="0032198B"/>
    <w:rsid w:val="003219C7"/>
    <w:rsid w:val="003219D2"/>
    <w:rsid w:val="00321CC6"/>
    <w:rsid w:val="00321D22"/>
    <w:rsid w:val="00321F22"/>
    <w:rsid w:val="00321FE8"/>
    <w:rsid w:val="003220E8"/>
    <w:rsid w:val="00322226"/>
    <w:rsid w:val="0032227E"/>
    <w:rsid w:val="0032255A"/>
    <w:rsid w:val="00322607"/>
    <w:rsid w:val="00322787"/>
    <w:rsid w:val="00322827"/>
    <w:rsid w:val="00322C22"/>
    <w:rsid w:val="00322C6D"/>
    <w:rsid w:val="00322C7D"/>
    <w:rsid w:val="00322CBA"/>
    <w:rsid w:val="00322DAD"/>
    <w:rsid w:val="0032305F"/>
    <w:rsid w:val="003231B3"/>
    <w:rsid w:val="00323318"/>
    <w:rsid w:val="00323468"/>
    <w:rsid w:val="00323536"/>
    <w:rsid w:val="0032363E"/>
    <w:rsid w:val="00323721"/>
    <w:rsid w:val="0032375E"/>
    <w:rsid w:val="003239AF"/>
    <w:rsid w:val="003239BA"/>
    <w:rsid w:val="00323ADB"/>
    <w:rsid w:val="00323C33"/>
    <w:rsid w:val="00323C8F"/>
    <w:rsid w:val="00323C96"/>
    <w:rsid w:val="00323CE6"/>
    <w:rsid w:val="00323E61"/>
    <w:rsid w:val="00323EED"/>
    <w:rsid w:val="00323FD2"/>
    <w:rsid w:val="00324112"/>
    <w:rsid w:val="003241CC"/>
    <w:rsid w:val="00324226"/>
    <w:rsid w:val="00324353"/>
    <w:rsid w:val="003243CD"/>
    <w:rsid w:val="003244F2"/>
    <w:rsid w:val="00324529"/>
    <w:rsid w:val="00324773"/>
    <w:rsid w:val="00324AE7"/>
    <w:rsid w:val="00324B52"/>
    <w:rsid w:val="00324C0E"/>
    <w:rsid w:val="00324C52"/>
    <w:rsid w:val="00324C9D"/>
    <w:rsid w:val="00324D9E"/>
    <w:rsid w:val="00325022"/>
    <w:rsid w:val="0032517E"/>
    <w:rsid w:val="00325293"/>
    <w:rsid w:val="003252F3"/>
    <w:rsid w:val="003253C2"/>
    <w:rsid w:val="00325424"/>
    <w:rsid w:val="00325459"/>
    <w:rsid w:val="003254B2"/>
    <w:rsid w:val="00325554"/>
    <w:rsid w:val="0032563D"/>
    <w:rsid w:val="00325656"/>
    <w:rsid w:val="00325937"/>
    <w:rsid w:val="00325964"/>
    <w:rsid w:val="00325BA6"/>
    <w:rsid w:val="00325C87"/>
    <w:rsid w:val="00325C9C"/>
    <w:rsid w:val="00325D2C"/>
    <w:rsid w:val="00325D8E"/>
    <w:rsid w:val="00325DF8"/>
    <w:rsid w:val="00325E21"/>
    <w:rsid w:val="00325F23"/>
    <w:rsid w:val="00325F40"/>
    <w:rsid w:val="0032607F"/>
    <w:rsid w:val="003260DA"/>
    <w:rsid w:val="003261EE"/>
    <w:rsid w:val="0032624C"/>
    <w:rsid w:val="0032626F"/>
    <w:rsid w:val="00326614"/>
    <w:rsid w:val="003267A4"/>
    <w:rsid w:val="003267B4"/>
    <w:rsid w:val="0032699D"/>
    <w:rsid w:val="003269A0"/>
    <w:rsid w:val="00326A9A"/>
    <w:rsid w:val="00326C04"/>
    <w:rsid w:val="00326C32"/>
    <w:rsid w:val="00326D55"/>
    <w:rsid w:val="00326EE6"/>
    <w:rsid w:val="00326F03"/>
    <w:rsid w:val="00326F17"/>
    <w:rsid w:val="00326F78"/>
    <w:rsid w:val="00326FC8"/>
    <w:rsid w:val="003270AC"/>
    <w:rsid w:val="00327231"/>
    <w:rsid w:val="00327294"/>
    <w:rsid w:val="003273AB"/>
    <w:rsid w:val="00327690"/>
    <w:rsid w:val="00327768"/>
    <w:rsid w:val="003277D6"/>
    <w:rsid w:val="003279A8"/>
    <w:rsid w:val="003279EE"/>
    <w:rsid w:val="00327A5F"/>
    <w:rsid w:val="00327AFF"/>
    <w:rsid w:val="00327B81"/>
    <w:rsid w:val="00327C2E"/>
    <w:rsid w:val="00327D71"/>
    <w:rsid w:val="00327D9B"/>
    <w:rsid w:val="00327FE6"/>
    <w:rsid w:val="0033008E"/>
    <w:rsid w:val="003300DF"/>
    <w:rsid w:val="0033028F"/>
    <w:rsid w:val="0033047E"/>
    <w:rsid w:val="00330648"/>
    <w:rsid w:val="00330670"/>
    <w:rsid w:val="00330829"/>
    <w:rsid w:val="003308D3"/>
    <w:rsid w:val="00330F66"/>
    <w:rsid w:val="00331046"/>
    <w:rsid w:val="00331080"/>
    <w:rsid w:val="003310D9"/>
    <w:rsid w:val="003314F8"/>
    <w:rsid w:val="00331569"/>
    <w:rsid w:val="003315C9"/>
    <w:rsid w:val="0033178E"/>
    <w:rsid w:val="0033194D"/>
    <w:rsid w:val="003319C5"/>
    <w:rsid w:val="00331D38"/>
    <w:rsid w:val="00331DF4"/>
    <w:rsid w:val="00331FE0"/>
    <w:rsid w:val="00332103"/>
    <w:rsid w:val="0033225D"/>
    <w:rsid w:val="003322DD"/>
    <w:rsid w:val="00332376"/>
    <w:rsid w:val="00332441"/>
    <w:rsid w:val="003324F6"/>
    <w:rsid w:val="00332536"/>
    <w:rsid w:val="003326A1"/>
    <w:rsid w:val="003327AC"/>
    <w:rsid w:val="00332862"/>
    <w:rsid w:val="0033288A"/>
    <w:rsid w:val="00332945"/>
    <w:rsid w:val="0033297B"/>
    <w:rsid w:val="00332A09"/>
    <w:rsid w:val="00332AD4"/>
    <w:rsid w:val="00332C52"/>
    <w:rsid w:val="00332C7C"/>
    <w:rsid w:val="00332CBB"/>
    <w:rsid w:val="00332D3C"/>
    <w:rsid w:val="003331F8"/>
    <w:rsid w:val="00333207"/>
    <w:rsid w:val="00333353"/>
    <w:rsid w:val="00333434"/>
    <w:rsid w:val="003335A9"/>
    <w:rsid w:val="003335FD"/>
    <w:rsid w:val="00333707"/>
    <w:rsid w:val="00333819"/>
    <w:rsid w:val="0033388D"/>
    <w:rsid w:val="00333A2C"/>
    <w:rsid w:val="00333AF7"/>
    <w:rsid w:val="00333BB2"/>
    <w:rsid w:val="00333D47"/>
    <w:rsid w:val="00333F1E"/>
    <w:rsid w:val="003341A8"/>
    <w:rsid w:val="0033421A"/>
    <w:rsid w:val="0033441F"/>
    <w:rsid w:val="003345D5"/>
    <w:rsid w:val="00334706"/>
    <w:rsid w:val="003349C4"/>
    <w:rsid w:val="003349D6"/>
    <w:rsid w:val="00334B08"/>
    <w:rsid w:val="00334C33"/>
    <w:rsid w:val="00334D29"/>
    <w:rsid w:val="00334E22"/>
    <w:rsid w:val="00334F27"/>
    <w:rsid w:val="00335045"/>
    <w:rsid w:val="00335136"/>
    <w:rsid w:val="00335302"/>
    <w:rsid w:val="00335307"/>
    <w:rsid w:val="00335440"/>
    <w:rsid w:val="00335442"/>
    <w:rsid w:val="00335537"/>
    <w:rsid w:val="0033562B"/>
    <w:rsid w:val="003357B2"/>
    <w:rsid w:val="00335875"/>
    <w:rsid w:val="00335927"/>
    <w:rsid w:val="00335929"/>
    <w:rsid w:val="00335AA4"/>
    <w:rsid w:val="00335B07"/>
    <w:rsid w:val="00335B34"/>
    <w:rsid w:val="00335DA3"/>
    <w:rsid w:val="00335DAD"/>
    <w:rsid w:val="00335E89"/>
    <w:rsid w:val="00335ED8"/>
    <w:rsid w:val="00335EF1"/>
    <w:rsid w:val="00335F88"/>
    <w:rsid w:val="003361F0"/>
    <w:rsid w:val="00336403"/>
    <w:rsid w:val="00336479"/>
    <w:rsid w:val="00336513"/>
    <w:rsid w:val="0033653B"/>
    <w:rsid w:val="003365D6"/>
    <w:rsid w:val="00336625"/>
    <w:rsid w:val="003366A6"/>
    <w:rsid w:val="0033686E"/>
    <w:rsid w:val="0033694E"/>
    <w:rsid w:val="003369FE"/>
    <w:rsid w:val="00336A3C"/>
    <w:rsid w:val="00336A6C"/>
    <w:rsid w:val="00336AD3"/>
    <w:rsid w:val="00336B2F"/>
    <w:rsid w:val="00336B89"/>
    <w:rsid w:val="00336F1B"/>
    <w:rsid w:val="00336F37"/>
    <w:rsid w:val="0033702B"/>
    <w:rsid w:val="00337069"/>
    <w:rsid w:val="003372AD"/>
    <w:rsid w:val="0033742B"/>
    <w:rsid w:val="0033760C"/>
    <w:rsid w:val="00337794"/>
    <w:rsid w:val="0033785F"/>
    <w:rsid w:val="00337B49"/>
    <w:rsid w:val="00337CE6"/>
    <w:rsid w:val="00337DBC"/>
    <w:rsid w:val="00337EA0"/>
    <w:rsid w:val="00337EE1"/>
    <w:rsid w:val="00337F09"/>
    <w:rsid w:val="00337F33"/>
    <w:rsid w:val="00337F35"/>
    <w:rsid w:val="00340085"/>
    <w:rsid w:val="00340117"/>
    <w:rsid w:val="003401DC"/>
    <w:rsid w:val="0034059C"/>
    <w:rsid w:val="0034060E"/>
    <w:rsid w:val="003406FD"/>
    <w:rsid w:val="00340741"/>
    <w:rsid w:val="003407E7"/>
    <w:rsid w:val="0034084F"/>
    <w:rsid w:val="0034093E"/>
    <w:rsid w:val="00340A2A"/>
    <w:rsid w:val="00340BED"/>
    <w:rsid w:val="00340CF7"/>
    <w:rsid w:val="00340D66"/>
    <w:rsid w:val="00340EE4"/>
    <w:rsid w:val="00341042"/>
    <w:rsid w:val="0034107A"/>
    <w:rsid w:val="003410E3"/>
    <w:rsid w:val="0034111F"/>
    <w:rsid w:val="00341149"/>
    <w:rsid w:val="00341231"/>
    <w:rsid w:val="00341458"/>
    <w:rsid w:val="003414A5"/>
    <w:rsid w:val="003414AF"/>
    <w:rsid w:val="003414E3"/>
    <w:rsid w:val="003414ED"/>
    <w:rsid w:val="00341511"/>
    <w:rsid w:val="00341731"/>
    <w:rsid w:val="003417D4"/>
    <w:rsid w:val="0034189B"/>
    <w:rsid w:val="00341B4F"/>
    <w:rsid w:val="003420C2"/>
    <w:rsid w:val="00342119"/>
    <w:rsid w:val="00342207"/>
    <w:rsid w:val="003422F4"/>
    <w:rsid w:val="00342338"/>
    <w:rsid w:val="003423DB"/>
    <w:rsid w:val="003425E1"/>
    <w:rsid w:val="00342655"/>
    <w:rsid w:val="0034278D"/>
    <w:rsid w:val="0034279C"/>
    <w:rsid w:val="00342848"/>
    <w:rsid w:val="003428D5"/>
    <w:rsid w:val="00342A59"/>
    <w:rsid w:val="00342AC7"/>
    <w:rsid w:val="00342B27"/>
    <w:rsid w:val="00342B94"/>
    <w:rsid w:val="00342EC9"/>
    <w:rsid w:val="0034308C"/>
    <w:rsid w:val="00343096"/>
    <w:rsid w:val="003430D3"/>
    <w:rsid w:val="00343180"/>
    <w:rsid w:val="003431C6"/>
    <w:rsid w:val="003431DC"/>
    <w:rsid w:val="003431DD"/>
    <w:rsid w:val="0034329B"/>
    <w:rsid w:val="003433E8"/>
    <w:rsid w:val="00343447"/>
    <w:rsid w:val="003434E7"/>
    <w:rsid w:val="003435DD"/>
    <w:rsid w:val="00343858"/>
    <w:rsid w:val="00343891"/>
    <w:rsid w:val="003438D4"/>
    <w:rsid w:val="0034398F"/>
    <w:rsid w:val="003439D9"/>
    <w:rsid w:val="00343B27"/>
    <w:rsid w:val="00343B86"/>
    <w:rsid w:val="00343C8A"/>
    <w:rsid w:val="00343F29"/>
    <w:rsid w:val="00343FF4"/>
    <w:rsid w:val="003444E7"/>
    <w:rsid w:val="0034458A"/>
    <w:rsid w:val="00344842"/>
    <w:rsid w:val="00344895"/>
    <w:rsid w:val="00344A03"/>
    <w:rsid w:val="00344A1C"/>
    <w:rsid w:val="00344AC1"/>
    <w:rsid w:val="00344B88"/>
    <w:rsid w:val="00344BC6"/>
    <w:rsid w:val="00344C18"/>
    <w:rsid w:val="00344C67"/>
    <w:rsid w:val="00344CBD"/>
    <w:rsid w:val="00344CE6"/>
    <w:rsid w:val="00344DE3"/>
    <w:rsid w:val="00344E3F"/>
    <w:rsid w:val="00345261"/>
    <w:rsid w:val="00345287"/>
    <w:rsid w:val="003452B5"/>
    <w:rsid w:val="003453C2"/>
    <w:rsid w:val="0034542D"/>
    <w:rsid w:val="003454A4"/>
    <w:rsid w:val="00345530"/>
    <w:rsid w:val="003458CC"/>
    <w:rsid w:val="0034592D"/>
    <w:rsid w:val="00345983"/>
    <w:rsid w:val="00345A1B"/>
    <w:rsid w:val="00345C8F"/>
    <w:rsid w:val="00345E54"/>
    <w:rsid w:val="00345F41"/>
    <w:rsid w:val="0034603C"/>
    <w:rsid w:val="0034622D"/>
    <w:rsid w:val="003462D3"/>
    <w:rsid w:val="00346454"/>
    <w:rsid w:val="0034646A"/>
    <w:rsid w:val="00346589"/>
    <w:rsid w:val="003466C4"/>
    <w:rsid w:val="0034689E"/>
    <w:rsid w:val="003468DC"/>
    <w:rsid w:val="00346AB7"/>
    <w:rsid w:val="00346C33"/>
    <w:rsid w:val="00346C88"/>
    <w:rsid w:val="00346DAE"/>
    <w:rsid w:val="00346E01"/>
    <w:rsid w:val="00346E0C"/>
    <w:rsid w:val="00346F68"/>
    <w:rsid w:val="00346FF0"/>
    <w:rsid w:val="003473A1"/>
    <w:rsid w:val="003474C7"/>
    <w:rsid w:val="003476CC"/>
    <w:rsid w:val="00347806"/>
    <w:rsid w:val="003478A4"/>
    <w:rsid w:val="00347976"/>
    <w:rsid w:val="003479B7"/>
    <w:rsid w:val="00347B5D"/>
    <w:rsid w:val="00347D66"/>
    <w:rsid w:val="00347DC7"/>
    <w:rsid w:val="00347E28"/>
    <w:rsid w:val="00347F3D"/>
    <w:rsid w:val="003500A4"/>
    <w:rsid w:val="00350100"/>
    <w:rsid w:val="0035018E"/>
    <w:rsid w:val="0035033C"/>
    <w:rsid w:val="003503BD"/>
    <w:rsid w:val="00350453"/>
    <w:rsid w:val="003504B5"/>
    <w:rsid w:val="00350591"/>
    <w:rsid w:val="00350705"/>
    <w:rsid w:val="00350964"/>
    <w:rsid w:val="003509A4"/>
    <w:rsid w:val="00350C3D"/>
    <w:rsid w:val="00350CA4"/>
    <w:rsid w:val="00350DDF"/>
    <w:rsid w:val="00350DFE"/>
    <w:rsid w:val="00350EF3"/>
    <w:rsid w:val="00351096"/>
    <w:rsid w:val="0035113E"/>
    <w:rsid w:val="00351289"/>
    <w:rsid w:val="003512B0"/>
    <w:rsid w:val="0035134E"/>
    <w:rsid w:val="003514B3"/>
    <w:rsid w:val="003514ED"/>
    <w:rsid w:val="0035150D"/>
    <w:rsid w:val="0035157D"/>
    <w:rsid w:val="00351717"/>
    <w:rsid w:val="00351881"/>
    <w:rsid w:val="00351906"/>
    <w:rsid w:val="003519DE"/>
    <w:rsid w:val="00351C4A"/>
    <w:rsid w:val="00351CF4"/>
    <w:rsid w:val="00351D40"/>
    <w:rsid w:val="00351EA6"/>
    <w:rsid w:val="003520E8"/>
    <w:rsid w:val="0035219C"/>
    <w:rsid w:val="0035223D"/>
    <w:rsid w:val="00352446"/>
    <w:rsid w:val="00352489"/>
    <w:rsid w:val="00352560"/>
    <w:rsid w:val="003525A3"/>
    <w:rsid w:val="0035262D"/>
    <w:rsid w:val="00352649"/>
    <w:rsid w:val="003526B6"/>
    <w:rsid w:val="003528F3"/>
    <w:rsid w:val="00352A48"/>
    <w:rsid w:val="00352BA7"/>
    <w:rsid w:val="00352BE4"/>
    <w:rsid w:val="00352BF4"/>
    <w:rsid w:val="00352C4B"/>
    <w:rsid w:val="00352D63"/>
    <w:rsid w:val="00352E61"/>
    <w:rsid w:val="00352F8E"/>
    <w:rsid w:val="00352F96"/>
    <w:rsid w:val="003530C9"/>
    <w:rsid w:val="0035310E"/>
    <w:rsid w:val="00353289"/>
    <w:rsid w:val="00353318"/>
    <w:rsid w:val="0035335D"/>
    <w:rsid w:val="00353438"/>
    <w:rsid w:val="00353564"/>
    <w:rsid w:val="0035365B"/>
    <w:rsid w:val="00353805"/>
    <w:rsid w:val="00353806"/>
    <w:rsid w:val="00353814"/>
    <w:rsid w:val="00353842"/>
    <w:rsid w:val="00353889"/>
    <w:rsid w:val="00353933"/>
    <w:rsid w:val="00353B15"/>
    <w:rsid w:val="00353B52"/>
    <w:rsid w:val="00353C0F"/>
    <w:rsid w:val="00353C34"/>
    <w:rsid w:val="00353CE1"/>
    <w:rsid w:val="00353D1D"/>
    <w:rsid w:val="00353F7B"/>
    <w:rsid w:val="00354059"/>
    <w:rsid w:val="00354266"/>
    <w:rsid w:val="0035427B"/>
    <w:rsid w:val="00354285"/>
    <w:rsid w:val="003542B1"/>
    <w:rsid w:val="003543A7"/>
    <w:rsid w:val="00354594"/>
    <w:rsid w:val="003545A1"/>
    <w:rsid w:val="0035473C"/>
    <w:rsid w:val="0035488B"/>
    <w:rsid w:val="0035494F"/>
    <w:rsid w:val="00354A73"/>
    <w:rsid w:val="00354AF3"/>
    <w:rsid w:val="00354AFF"/>
    <w:rsid w:val="00354BA2"/>
    <w:rsid w:val="00354C12"/>
    <w:rsid w:val="00354E2D"/>
    <w:rsid w:val="00354FD2"/>
    <w:rsid w:val="00354FFD"/>
    <w:rsid w:val="00355148"/>
    <w:rsid w:val="00355196"/>
    <w:rsid w:val="00355267"/>
    <w:rsid w:val="003552B4"/>
    <w:rsid w:val="003554CB"/>
    <w:rsid w:val="00355500"/>
    <w:rsid w:val="0035579F"/>
    <w:rsid w:val="00355847"/>
    <w:rsid w:val="00355852"/>
    <w:rsid w:val="003558E3"/>
    <w:rsid w:val="003559F1"/>
    <w:rsid w:val="00355CC6"/>
    <w:rsid w:val="00355CC9"/>
    <w:rsid w:val="00355CF2"/>
    <w:rsid w:val="00355D62"/>
    <w:rsid w:val="00355D84"/>
    <w:rsid w:val="00355E2C"/>
    <w:rsid w:val="00355F18"/>
    <w:rsid w:val="00355F5E"/>
    <w:rsid w:val="0035609F"/>
    <w:rsid w:val="003561CA"/>
    <w:rsid w:val="003561CE"/>
    <w:rsid w:val="003562F9"/>
    <w:rsid w:val="003563EA"/>
    <w:rsid w:val="003565CE"/>
    <w:rsid w:val="003565E3"/>
    <w:rsid w:val="0035661B"/>
    <w:rsid w:val="00356626"/>
    <w:rsid w:val="00356675"/>
    <w:rsid w:val="00356733"/>
    <w:rsid w:val="003567F7"/>
    <w:rsid w:val="00356835"/>
    <w:rsid w:val="00356880"/>
    <w:rsid w:val="0035690E"/>
    <w:rsid w:val="00356938"/>
    <w:rsid w:val="00356C7B"/>
    <w:rsid w:val="00356CA7"/>
    <w:rsid w:val="00356E0E"/>
    <w:rsid w:val="00356F9A"/>
    <w:rsid w:val="00357114"/>
    <w:rsid w:val="00357162"/>
    <w:rsid w:val="0035724C"/>
    <w:rsid w:val="00357261"/>
    <w:rsid w:val="0035728F"/>
    <w:rsid w:val="0035741E"/>
    <w:rsid w:val="0035744F"/>
    <w:rsid w:val="00357606"/>
    <w:rsid w:val="0035767E"/>
    <w:rsid w:val="003576DC"/>
    <w:rsid w:val="00357735"/>
    <w:rsid w:val="003577F7"/>
    <w:rsid w:val="00357A8C"/>
    <w:rsid w:val="00357A9F"/>
    <w:rsid w:val="00357D51"/>
    <w:rsid w:val="003600DE"/>
    <w:rsid w:val="003600F5"/>
    <w:rsid w:val="003601DA"/>
    <w:rsid w:val="0036023D"/>
    <w:rsid w:val="00360269"/>
    <w:rsid w:val="00360594"/>
    <w:rsid w:val="00360668"/>
    <w:rsid w:val="00360800"/>
    <w:rsid w:val="00360862"/>
    <w:rsid w:val="00360998"/>
    <w:rsid w:val="003609F3"/>
    <w:rsid w:val="00360AE4"/>
    <w:rsid w:val="00360AEB"/>
    <w:rsid w:val="00360D79"/>
    <w:rsid w:val="00360E5F"/>
    <w:rsid w:val="00360E7C"/>
    <w:rsid w:val="00360F19"/>
    <w:rsid w:val="0036122F"/>
    <w:rsid w:val="00361303"/>
    <w:rsid w:val="00361579"/>
    <w:rsid w:val="00361701"/>
    <w:rsid w:val="0036199B"/>
    <w:rsid w:val="00361A4C"/>
    <w:rsid w:val="00361BF7"/>
    <w:rsid w:val="00361CDB"/>
    <w:rsid w:val="00361D3B"/>
    <w:rsid w:val="00361DF7"/>
    <w:rsid w:val="00361E44"/>
    <w:rsid w:val="00361E6C"/>
    <w:rsid w:val="00361E97"/>
    <w:rsid w:val="00361F46"/>
    <w:rsid w:val="00361F4D"/>
    <w:rsid w:val="00361FF5"/>
    <w:rsid w:val="0036200B"/>
    <w:rsid w:val="003620A3"/>
    <w:rsid w:val="0036219E"/>
    <w:rsid w:val="00362427"/>
    <w:rsid w:val="003624D5"/>
    <w:rsid w:val="003624E3"/>
    <w:rsid w:val="003625ED"/>
    <w:rsid w:val="00362628"/>
    <w:rsid w:val="003627BC"/>
    <w:rsid w:val="0036292B"/>
    <w:rsid w:val="00362A2D"/>
    <w:rsid w:val="00362A95"/>
    <w:rsid w:val="00362AA8"/>
    <w:rsid w:val="00362AF9"/>
    <w:rsid w:val="00362C65"/>
    <w:rsid w:val="00362D8E"/>
    <w:rsid w:val="00362E12"/>
    <w:rsid w:val="00362E47"/>
    <w:rsid w:val="00362E8C"/>
    <w:rsid w:val="00362F22"/>
    <w:rsid w:val="003630E0"/>
    <w:rsid w:val="00363188"/>
    <w:rsid w:val="0036327F"/>
    <w:rsid w:val="0036328E"/>
    <w:rsid w:val="003633D7"/>
    <w:rsid w:val="00363484"/>
    <w:rsid w:val="003635C3"/>
    <w:rsid w:val="003635C9"/>
    <w:rsid w:val="003635F9"/>
    <w:rsid w:val="00363656"/>
    <w:rsid w:val="00363681"/>
    <w:rsid w:val="003636F7"/>
    <w:rsid w:val="003636FC"/>
    <w:rsid w:val="00363772"/>
    <w:rsid w:val="00363809"/>
    <w:rsid w:val="00363898"/>
    <w:rsid w:val="00363905"/>
    <w:rsid w:val="003639AF"/>
    <w:rsid w:val="003639E7"/>
    <w:rsid w:val="00363BAC"/>
    <w:rsid w:val="00363D15"/>
    <w:rsid w:val="00363F57"/>
    <w:rsid w:val="00363FCA"/>
    <w:rsid w:val="00363FF9"/>
    <w:rsid w:val="00364176"/>
    <w:rsid w:val="0036436E"/>
    <w:rsid w:val="0036454A"/>
    <w:rsid w:val="00364644"/>
    <w:rsid w:val="003646E6"/>
    <w:rsid w:val="0036472E"/>
    <w:rsid w:val="00364748"/>
    <w:rsid w:val="003648E7"/>
    <w:rsid w:val="00364951"/>
    <w:rsid w:val="00364977"/>
    <w:rsid w:val="00364BB2"/>
    <w:rsid w:val="00364BFF"/>
    <w:rsid w:val="00364D14"/>
    <w:rsid w:val="00364DAD"/>
    <w:rsid w:val="00364EC5"/>
    <w:rsid w:val="00364EE6"/>
    <w:rsid w:val="00365318"/>
    <w:rsid w:val="00365393"/>
    <w:rsid w:val="003655EB"/>
    <w:rsid w:val="00365656"/>
    <w:rsid w:val="003656A9"/>
    <w:rsid w:val="00365745"/>
    <w:rsid w:val="00365841"/>
    <w:rsid w:val="003658C6"/>
    <w:rsid w:val="003659FD"/>
    <w:rsid w:val="00365A2E"/>
    <w:rsid w:val="00365BC3"/>
    <w:rsid w:val="00365C2D"/>
    <w:rsid w:val="00365CB5"/>
    <w:rsid w:val="00365D02"/>
    <w:rsid w:val="0036615C"/>
    <w:rsid w:val="003661A9"/>
    <w:rsid w:val="0036626C"/>
    <w:rsid w:val="003662E7"/>
    <w:rsid w:val="0036644C"/>
    <w:rsid w:val="003664E1"/>
    <w:rsid w:val="0036653B"/>
    <w:rsid w:val="00366766"/>
    <w:rsid w:val="00366859"/>
    <w:rsid w:val="00366B7A"/>
    <w:rsid w:val="00366BF7"/>
    <w:rsid w:val="00366C80"/>
    <w:rsid w:val="00366CF1"/>
    <w:rsid w:val="003670C9"/>
    <w:rsid w:val="003672DE"/>
    <w:rsid w:val="003674A5"/>
    <w:rsid w:val="00367509"/>
    <w:rsid w:val="003675D5"/>
    <w:rsid w:val="00367619"/>
    <w:rsid w:val="003676B5"/>
    <w:rsid w:val="0036770E"/>
    <w:rsid w:val="003677CD"/>
    <w:rsid w:val="003678B6"/>
    <w:rsid w:val="00367943"/>
    <w:rsid w:val="00367975"/>
    <w:rsid w:val="003679BB"/>
    <w:rsid w:val="00367BB0"/>
    <w:rsid w:val="00367C6F"/>
    <w:rsid w:val="00367D49"/>
    <w:rsid w:val="00367E11"/>
    <w:rsid w:val="00367E9A"/>
    <w:rsid w:val="00367FAF"/>
    <w:rsid w:val="00367FD4"/>
    <w:rsid w:val="0037016A"/>
    <w:rsid w:val="0037019C"/>
    <w:rsid w:val="00370270"/>
    <w:rsid w:val="00370286"/>
    <w:rsid w:val="00370299"/>
    <w:rsid w:val="00370593"/>
    <w:rsid w:val="003706DE"/>
    <w:rsid w:val="00370806"/>
    <w:rsid w:val="00370834"/>
    <w:rsid w:val="00370867"/>
    <w:rsid w:val="003709B4"/>
    <w:rsid w:val="00370ABE"/>
    <w:rsid w:val="00370B3D"/>
    <w:rsid w:val="00370C19"/>
    <w:rsid w:val="00370E37"/>
    <w:rsid w:val="00370E72"/>
    <w:rsid w:val="00370FBA"/>
    <w:rsid w:val="00370FCD"/>
    <w:rsid w:val="0037100A"/>
    <w:rsid w:val="003710C4"/>
    <w:rsid w:val="003711DF"/>
    <w:rsid w:val="0037129C"/>
    <w:rsid w:val="003712B3"/>
    <w:rsid w:val="00371322"/>
    <w:rsid w:val="00371435"/>
    <w:rsid w:val="0037143B"/>
    <w:rsid w:val="00371468"/>
    <w:rsid w:val="003716EB"/>
    <w:rsid w:val="00371712"/>
    <w:rsid w:val="0037176C"/>
    <w:rsid w:val="003717FE"/>
    <w:rsid w:val="0037188A"/>
    <w:rsid w:val="00371B1B"/>
    <w:rsid w:val="00371BC8"/>
    <w:rsid w:val="00371CC0"/>
    <w:rsid w:val="00371D85"/>
    <w:rsid w:val="00371EFF"/>
    <w:rsid w:val="0037201B"/>
    <w:rsid w:val="00372180"/>
    <w:rsid w:val="003721AB"/>
    <w:rsid w:val="00372235"/>
    <w:rsid w:val="003722E3"/>
    <w:rsid w:val="0037242E"/>
    <w:rsid w:val="003724EE"/>
    <w:rsid w:val="00372539"/>
    <w:rsid w:val="003725A6"/>
    <w:rsid w:val="003725AF"/>
    <w:rsid w:val="0037270A"/>
    <w:rsid w:val="00372744"/>
    <w:rsid w:val="003727A1"/>
    <w:rsid w:val="0037299E"/>
    <w:rsid w:val="003729B5"/>
    <w:rsid w:val="003729C0"/>
    <w:rsid w:val="00372A4C"/>
    <w:rsid w:val="00372B1D"/>
    <w:rsid w:val="00372CC0"/>
    <w:rsid w:val="00372CC9"/>
    <w:rsid w:val="00372D35"/>
    <w:rsid w:val="00372D44"/>
    <w:rsid w:val="00372E27"/>
    <w:rsid w:val="00372EBC"/>
    <w:rsid w:val="0037314D"/>
    <w:rsid w:val="00373268"/>
    <w:rsid w:val="003732E9"/>
    <w:rsid w:val="003734B5"/>
    <w:rsid w:val="003734F2"/>
    <w:rsid w:val="00373531"/>
    <w:rsid w:val="00373561"/>
    <w:rsid w:val="00373608"/>
    <w:rsid w:val="00373668"/>
    <w:rsid w:val="00373749"/>
    <w:rsid w:val="003738C1"/>
    <w:rsid w:val="003739CF"/>
    <w:rsid w:val="00373A30"/>
    <w:rsid w:val="00373A79"/>
    <w:rsid w:val="00373ACE"/>
    <w:rsid w:val="00373BA0"/>
    <w:rsid w:val="00373E67"/>
    <w:rsid w:val="00373EBC"/>
    <w:rsid w:val="00373F2E"/>
    <w:rsid w:val="00373FE4"/>
    <w:rsid w:val="00373FEC"/>
    <w:rsid w:val="003740DB"/>
    <w:rsid w:val="003740F9"/>
    <w:rsid w:val="00374174"/>
    <w:rsid w:val="003743FE"/>
    <w:rsid w:val="003744B3"/>
    <w:rsid w:val="00374568"/>
    <w:rsid w:val="00374615"/>
    <w:rsid w:val="003747A5"/>
    <w:rsid w:val="003748E1"/>
    <w:rsid w:val="003749B7"/>
    <w:rsid w:val="003749F5"/>
    <w:rsid w:val="00374BA7"/>
    <w:rsid w:val="00374D68"/>
    <w:rsid w:val="00374E3C"/>
    <w:rsid w:val="00374E5C"/>
    <w:rsid w:val="00374E5D"/>
    <w:rsid w:val="00375126"/>
    <w:rsid w:val="0037515D"/>
    <w:rsid w:val="00375194"/>
    <w:rsid w:val="003751CD"/>
    <w:rsid w:val="003753AD"/>
    <w:rsid w:val="003754E3"/>
    <w:rsid w:val="00375679"/>
    <w:rsid w:val="003756DE"/>
    <w:rsid w:val="0037570E"/>
    <w:rsid w:val="0037583A"/>
    <w:rsid w:val="0037598B"/>
    <w:rsid w:val="00375B14"/>
    <w:rsid w:val="00375B3E"/>
    <w:rsid w:val="00375BAE"/>
    <w:rsid w:val="00375C52"/>
    <w:rsid w:val="00375DD9"/>
    <w:rsid w:val="00375DED"/>
    <w:rsid w:val="00375F5B"/>
    <w:rsid w:val="00376015"/>
    <w:rsid w:val="0037614F"/>
    <w:rsid w:val="003761B1"/>
    <w:rsid w:val="003761B3"/>
    <w:rsid w:val="003763D0"/>
    <w:rsid w:val="0037670D"/>
    <w:rsid w:val="00376784"/>
    <w:rsid w:val="0037689A"/>
    <w:rsid w:val="00376BEF"/>
    <w:rsid w:val="00376DE7"/>
    <w:rsid w:val="00376E01"/>
    <w:rsid w:val="00376E9B"/>
    <w:rsid w:val="00377075"/>
    <w:rsid w:val="003771BB"/>
    <w:rsid w:val="0037734C"/>
    <w:rsid w:val="00377489"/>
    <w:rsid w:val="00377548"/>
    <w:rsid w:val="003775F5"/>
    <w:rsid w:val="00377714"/>
    <w:rsid w:val="0037776B"/>
    <w:rsid w:val="00377A45"/>
    <w:rsid w:val="00377B09"/>
    <w:rsid w:val="00377B9B"/>
    <w:rsid w:val="00377CD6"/>
    <w:rsid w:val="00377E36"/>
    <w:rsid w:val="00377E66"/>
    <w:rsid w:val="00377F8E"/>
    <w:rsid w:val="00377FF6"/>
    <w:rsid w:val="003800FC"/>
    <w:rsid w:val="003801C0"/>
    <w:rsid w:val="00380423"/>
    <w:rsid w:val="00380469"/>
    <w:rsid w:val="003804A0"/>
    <w:rsid w:val="003804C5"/>
    <w:rsid w:val="00380532"/>
    <w:rsid w:val="003805FB"/>
    <w:rsid w:val="0038065E"/>
    <w:rsid w:val="003808E5"/>
    <w:rsid w:val="00380959"/>
    <w:rsid w:val="00380A9A"/>
    <w:rsid w:val="00380DE7"/>
    <w:rsid w:val="00380E4B"/>
    <w:rsid w:val="00380E5E"/>
    <w:rsid w:val="00381092"/>
    <w:rsid w:val="003810B0"/>
    <w:rsid w:val="00381129"/>
    <w:rsid w:val="0038114D"/>
    <w:rsid w:val="0038118E"/>
    <w:rsid w:val="003811D5"/>
    <w:rsid w:val="003811EF"/>
    <w:rsid w:val="00381276"/>
    <w:rsid w:val="00381284"/>
    <w:rsid w:val="003813F2"/>
    <w:rsid w:val="003813F5"/>
    <w:rsid w:val="0038141F"/>
    <w:rsid w:val="0038143B"/>
    <w:rsid w:val="003814FD"/>
    <w:rsid w:val="00381506"/>
    <w:rsid w:val="00381675"/>
    <w:rsid w:val="0038173B"/>
    <w:rsid w:val="003817C3"/>
    <w:rsid w:val="003817D3"/>
    <w:rsid w:val="003818AA"/>
    <w:rsid w:val="00381929"/>
    <w:rsid w:val="00381934"/>
    <w:rsid w:val="00381A17"/>
    <w:rsid w:val="00381A8C"/>
    <w:rsid w:val="00381AAC"/>
    <w:rsid w:val="00381AF5"/>
    <w:rsid w:val="00381C27"/>
    <w:rsid w:val="00381C73"/>
    <w:rsid w:val="00381D8A"/>
    <w:rsid w:val="00381DD8"/>
    <w:rsid w:val="00381F86"/>
    <w:rsid w:val="00381FF1"/>
    <w:rsid w:val="00382028"/>
    <w:rsid w:val="003821C4"/>
    <w:rsid w:val="00382214"/>
    <w:rsid w:val="003824D6"/>
    <w:rsid w:val="0038264A"/>
    <w:rsid w:val="003827A4"/>
    <w:rsid w:val="003827F4"/>
    <w:rsid w:val="00382825"/>
    <w:rsid w:val="003829BE"/>
    <w:rsid w:val="00382B10"/>
    <w:rsid w:val="00382C4A"/>
    <w:rsid w:val="00382C4C"/>
    <w:rsid w:val="00382C5D"/>
    <w:rsid w:val="00382DAB"/>
    <w:rsid w:val="00382E6A"/>
    <w:rsid w:val="00382E9F"/>
    <w:rsid w:val="00383037"/>
    <w:rsid w:val="003830BE"/>
    <w:rsid w:val="00383196"/>
    <w:rsid w:val="00383207"/>
    <w:rsid w:val="00383210"/>
    <w:rsid w:val="00383371"/>
    <w:rsid w:val="00383385"/>
    <w:rsid w:val="00383393"/>
    <w:rsid w:val="003833C7"/>
    <w:rsid w:val="00383469"/>
    <w:rsid w:val="0038348A"/>
    <w:rsid w:val="00383596"/>
    <w:rsid w:val="00383719"/>
    <w:rsid w:val="0038377B"/>
    <w:rsid w:val="00383AF5"/>
    <w:rsid w:val="00383CC6"/>
    <w:rsid w:val="00383D64"/>
    <w:rsid w:val="00383EB3"/>
    <w:rsid w:val="0038435A"/>
    <w:rsid w:val="00384379"/>
    <w:rsid w:val="0038437F"/>
    <w:rsid w:val="00384424"/>
    <w:rsid w:val="003845E1"/>
    <w:rsid w:val="00384693"/>
    <w:rsid w:val="003846FC"/>
    <w:rsid w:val="0038486D"/>
    <w:rsid w:val="0038487D"/>
    <w:rsid w:val="003849E6"/>
    <w:rsid w:val="00384A1B"/>
    <w:rsid w:val="00384AC3"/>
    <w:rsid w:val="00384B51"/>
    <w:rsid w:val="00384C6B"/>
    <w:rsid w:val="00384D42"/>
    <w:rsid w:val="00384D71"/>
    <w:rsid w:val="00384EC0"/>
    <w:rsid w:val="00384F5C"/>
    <w:rsid w:val="0038505A"/>
    <w:rsid w:val="00385128"/>
    <w:rsid w:val="00385207"/>
    <w:rsid w:val="0038521A"/>
    <w:rsid w:val="00385256"/>
    <w:rsid w:val="003854AB"/>
    <w:rsid w:val="00385567"/>
    <w:rsid w:val="0038559B"/>
    <w:rsid w:val="003855D7"/>
    <w:rsid w:val="00385612"/>
    <w:rsid w:val="00385769"/>
    <w:rsid w:val="003857A4"/>
    <w:rsid w:val="003857E9"/>
    <w:rsid w:val="00385833"/>
    <w:rsid w:val="0038585E"/>
    <w:rsid w:val="00385914"/>
    <w:rsid w:val="00385926"/>
    <w:rsid w:val="00385A48"/>
    <w:rsid w:val="00385AF3"/>
    <w:rsid w:val="00385B8B"/>
    <w:rsid w:val="00385DDC"/>
    <w:rsid w:val="00385E5D"/>
    <w:rsid w:val="00385F36"/>
    <w:rsid w:val="00385F70"/>
    <w:rsid w:val="00385F84"/>
    <w:rsid w:val="00385FD7"/>
    <w:rsid w:val="0038639C"/>
    <w:rsid w:val="003864E4"/>
    <w:rsid w:val="0038652A"/>
    <w:rsid w:val="003865C3"/>
    <w:rsid w:val="0038665C"/>
    <w:rsid w:val="003866C0"/>
    <w:rsid w:val="003866CF"/>
    <w:rsid w:val="00386797"/>
    <w:rsid w:val="00386950"/>
    <w:rsid w:val="0038696A"/>
    <w:rsid w:val="003869B7"/>
    <w:rsid w:val="00386ADA"/>
    <w:rsid w:val="00386B24"/>
    <w:rsid w:val="00386B50"/>
    <w:rsid w:val="00386C12"/>
    <w:rsid w:val="00386F00"/>
    <w:rsid w:val="003870A3"/>
    <w:rsid w:val="003870D9"/>
    <w:rsid w:val="00387151"/>
    <w:rsid w:val="003871A7"/>
    <w:rsid w:val="00387337"/>
    <w:rsid w:val="003874D1"/>
    <w:rsid w:val="00387577"/>
    <w:rsid w:val="00387637"/>
    <w:rsid w:val="003877F1"/>
    <w:rsid w:val="00387884"/>
    <w:rsid w:val="0038798A"/>
    <w:rsid w:val="00387AA7"/>
    <w:rsid w:val="00387BA8"/>
    <w:rsid w:val="00387CEF"/>
    <w:rsid w:val="00387D03"/>
    <w:rsid w:val="00387D1D"/>
    <w:rsid w:val="00387F77"/>
    <w:rsid w:val="00387F8E"/>
    <w:rsid w:val="00387FEB"/>
    <w:rsid w:val="00390027"/>
    <w:rsid w:val="00390058"/>
    <w:rsid w:val="003900AD"/>
    <w:rsid w:val="003902D1"/>
    <w:rsid w:val="00390374"/>
    <w:rsid w:val="0039039C"/>
    <w:rsid w:val="003904AD"/>
    <w:rsid w:val="0039052C"/>
    <w:rsid w:val="003905A8"/>
    <w:rsid w:val="0039063C"/>
    <w:rsid w:val="003906A6"/>
    <w:rsid w:val="003907C8"/>
    <w:rsid w:val="00390C86"/>
    <w:rsid w:val="00390D07"/>
    <w:rsid w:val="00390DB9"/>
    <w:rsid w:val="00390E0D"/>
    <w:rsid w:val="00390F02"/>
    <w:rsid w:val="00390FEA"/>
    <w:rsid w:val="00391024"/>
    <w:rsid w:val="00391059"/>
    <w:rsid w:val="003911E3"/>
    <w:rsid w:val="00391224"/>
    <w:rsid w:val="0039144F"/>
    <w:rsid w:val="003914CB"/>
    <w:rsid w:val="00391561"/>
    <w:rsid w:val="0039169C"/>
    <w:rsid w:val="003917B5"/>
    <w:rsid w:val="003917D5"/>
    <w:rsid w:val="003918EE"/>
    <w:rsid w:val="0039194A"/>
    <w:rsid w:val="00391A05"/>
    <w:rsid w:val="00391A2F"/>
    <w:rsid w:val="00391BE1"/>
    <w:rsid w:val="00391BED"/>
    <w:rsid w:val="00391DB3"/>
    <w:rsid w:val="00391E15"/>
    <w:rsid w:val="00391E35"/>
    <w:rsid w:val="00391E42"/>
    <w:rsid w:val="0039207A"/>
    <w:rsid w:val="003922B2"/>
    <w:rsid w:val="003923F0"/>
    <w:rsid w:val="003924FC"/>
    <w:rsid w:val="00392501"/>
    <w:rsid w:val="003925E2"/>
    <w:rsid w:val="00392633"/>
    <w:rsid w:val="00392691"/>
    <w:rsid w:val="003926DF"/>
    <w:rsid w:val="00392814"/>
    <w:rsid w:val="00392A17"/>
    <w:rsid w:val="00392B56"/>
    <w:rsid w:val="00392B75"/>
    <w:rsid w:val="00392BD0"/>
    <w:rsid w:val="00392D83"/>
    <w:rsid w:val="00392F50"/>
    <w:rsid w:val="00393003"/>
    <w:rsid w:val="0039301C"/>
    <w:rsid w:val="0039310A"/>
    <w:rsid w:val="00393171"/>
    <w:rsid w:val="003931E6"/>
    <w:rsid w:val="0039328C"/>
    <w:rsid w:val="00393427"/>
    <w:rsid w:val="00393491"/>
    <w:rsid w:val="003934CF"/>
    <w:rsid w:val="003937D0"/>
    <w:rsid w:val="0039390A"/>
    <w:rsid w:val="00393A11"/>
    <w:rsid w:val="00393B4C"/>
    <w:rsid w:val="00393BFA"/>
    <w:rsid w:val="00393C0D"/>
    <w:rsid w:val="00393D14"/>
    <w:rsid w:val="00393DDA"/>
    <w:rsid w:val="00393DFB"/>
    <w:rsid w:val="00393E33"/>
    <w:rsid w:val="00393FF9"/>
    <w:rsid w:val="00394195"/>
    <w:rsid w:val="00394278"/>
    <w:rsid w:val="00394317"/>
    <w:rsid w:val="003944D8"/>
    <w:rsid w:val="00394621"/>
    <w:rsid w:val="00394AE5"/>
    <w:rsid w:val="00394B80"/>
    <w:rsid w:val="00394BDE"/>
    <w:rsid w:val="00394CF2"/>
    <w:rsid w:val="00394D0D"/>
    <w:rsid w:val="00394DEE"/>
    <w:rsid w:val="00395116"/>
    <w:rsid w:val="00395159"/>
    <w:rsid w:val="00395317"/>
    <w:rsid w:val="00395353"/>
    <w:rsid w:val="00395410"/>
    <w:rsid w:val="0039548C"/>
    <w:rsid w:val="003954D5"/>
    <w:rsid w:val="00395663"/>
    <w:rsid w:val="003956B9"/>
    <w:rsid w:val="0039586B"/>
    <w:rsid w:val="00395C6A"/>
    <w:rsid w:val="00395D3F"/>
    <w:rsid w:val="00395D5F"/>
    <w:rsid w:val="00395F24"/>
    <w:rsid w:val="00395FA4"/>
    <w:rsid w:val="00395FB2"/>
    <w:rsid w:val="00395FF8"/>
    <w:rsid w:val="003960D9"/>
    <w:rsid w:val="0039617A"/>
    <w:rsid w:val="00396244"/>
    <w:rsid w:val="0039644C"/>
    <w:rsid w:val="003964C4"/>
    <w:rsid w:val="0039660E"/>
    <w:rsid w:val="003968D9"/>
    <w:rsid w:val="00396A9B"/>
    <w:rsid w:val="00396B37"/>
    <w:rsid w:val="00396DB5"/>
    <w:rsid w:val="00396DC0"/>
    <w:rsid w:val="00396F64"/>
    <w:rsid w:val="0039705C"/>
    <w:rsid w:val="003971A8"/>
    <w:rsid w:val="00397287"/>
    <w:rsid w:val="0039730A"/>
    <w:rsid w:val="0039734F"/>
    <w:rsid w:val="0039747F"/>
    <w:rsid w:val="003974F6"/>
    <w:rsid w:val="0039754F"/>
    <w:rsid w:val="00397627"/>
    <w:rsid w:val="003976FC"/>
    <w:rsid w:val="00397709"/>
    <w:rsid w:val="0039778F"/>
    <w:rsid w:val="003979A2"/>
    <w:rsid w:val="00397A3B"/>
    <w:rsid w:val="00397BA8"/>
    <w:rsid w:val="00397D17"/>
    <w:rsid w:val="00397E44"/>
    <w:rsid w:val="00397FEC"/>
    <w:rsid w:val="003A00E3"/>
    <w:rsid w:val="003A0136"/>
    <w:rsid w:val="003A0169"/>
    <w:rsid w:val="003A0296"/>
    <w:rsid w:val="003A0344"/>
    <w:rsid w:val="003A0449"/>
    <w:rsid w:val="003A060E"/>
    <w:rsid w:val="003A062F"/>
    <w:rsid w:val="003A06F6"/>
    <w:rsid w:val="003A079E"/>
    <w:rsid w:val="003A088C"/>
    <w:rsid w:val="003A0941"/>
    <w:rsid w:val="003A0C49"/>
    <w:rsid w:val="003A0DA1"/>
    <w:rsid w:val="003A0DB9"/>
    <w:rsid w:val="003A0EE0"/>
    <w:rsid w:val="003A1031"/>
    <w:rsid w:val="003A10DE"/>
    <w:rsid w:val="003A10FA"/>
    <w:rsid w:val="003A128F"/>
    <w:rsid w:val="003A12EE"/>
    <w:rsid w:val="003A13D9"/>
    <w:rsid w:val="003A1686"/>
    <w:rsid w:val="003A19CD"/>
    <w:rsid w:val="003A1B0D"/>
    <w:rsid w:val="003A1D68"/>
    <w:rsid w:val="003A1D85"/>
    <w:rsid w:val="003A1DDC"/>
    <w:rsid w:val="003A1E98"/>
    <w:rsid w:val="003A1ECE"/>
    <w:rsid w:val="003A1F98"/>
    <w:rsid w:val="003A22D5"/>
    <w:rsid w:val="003A232B"/>
    <w:rsid w:val="003A24E7"/>
    <w:rsid w:val="003A24EF"/>
    <w:rsid w:val="003A2588"/>
    <w:rsid w:val="003A25BA"/>
    <w:rsid w:val="003A273A"/>
    <w:rsid w:val="003A2760"/>
    <w:rsid w:val="003A277E"/>
    <w:rsid w:val="003A27E4"/>
    <w:rsid w:val="003A2937"/>
    <w:rsid w:val="003A2941"/>
    <w:rsid w:val="003A299E"/>
    <w:rsid w:val="003A29EB"/>
    <w:rsid w:val="003A2A74"/>
    <w:rsid w:val="003A2AB6"/>
    <w:rsid w:val="003A2B65"/>
    <w:rsid w:val="003A2C30"/>
    <w:rsid w:val="003A2CB7"/>
    <w:rsid w:val="003A2F4F"/>
    <w:rsid w:val="003A2F81"/>
    <w:rsid w:val="003A2FDA"/>
    <w:rsid w:val="003A3197"/>
    <w:rsid w:val="003A340E"/>
    <w:rsid w:val="003A3467"/>
    <w:rsid w:val="003A3826"/>
    <w:rsid w:val="003A389E"/>
    <w:rsid w:val="003A3928"/>
    <w:rsid w:val="003A3966"/>
    <w:rsid w:val="003A3A8C"/>
    <w:rsid w:val="003A3B89"/>
    <w:rsid w:val="003A3C8A"/>
    <w:rsid w:val="003A3CBE"/>
    <w:rsid w:val="003A3DCA"/>
    <w:rsid w:val="003A3F73"/>
    <w:rsid w:val="003A404D"/>
    <w:rsid w:val="003A41C8"/>
    <w:rsid w:val="003A4212"/>
    <w:rsid w:val="003A4383"/>
    <w:rsid w:val="003A44C2"/>
    <w:rsid w:val="003A4844"/>
    <w:rsid w:val="003A4898"/>
    <w:rsid w:val="003A4925"/>
    <w:rsid w:val="003A4942"/>
    <w:rsid w:val="003A4BAC"/>
    <w:rsid w:val="003A4C54"/>
    <w:rsid w:val="003A4CF4"/>
    <w:rsid w:val="003A4D6B"/>
    <w:rsid w:val="003A4E28"/>
    <w:rsid w:val="003A4E91"/>
    <w:rsid w:val="003A4F69"/>
    <w:rsid w:val="003A50A7"/>
    <w:rsid w:val="003A5173"/>
    <w:rsid w:val="003A5521"/>
    <w:rsid w:val="003A5665"/>
    <w:rsid w:val="003A588A"/>
    <w:rsid w:val="003A591C"/>
    <w:rsid w:val="003A59A9"/>
    <w:rsid w:val="003A59AF"/>
    <w:rsid w:val="003A59E9"/>
    <w:rsid w:val="003A5A89"/>
    <w:rsid w:val="003A5A93"/>
    <w:rsid w:val="003A5ADC"/>
    <w:rsid w:val="003A5B52"/>
    <w:rsid w:val="003A5E33"/>
    <w:rsid w:val="003A5F50"/>
    <w:rsid w:val="003A6030"/>
    <w:rsid w:val="003A6100"/>
    <w:rsid w:val="003A6172"/>
    <w:rsid w:val="003A61BC"/>
    <w:rsid w:val="003A62BF"/>
    <w:rsid w:val="003A631B"/>
    <w:rsid w:val="003A6323"/>
    <w:rsid w:val="003A63B1"/>
    <w:rsid w:val="003A6420"/>
    <w:rsid w:val="003A6651"/>
    <w:rsid w:val="003A6726"/>
    <w:rsid w:val="003A6730"/>
    <w:rsid w:val="003A675B"/>
    <w:rsid w:val="003A6948"/>
    <w:rsid w:val="003A6976"/>
    <w:rsid w:val="003A6ADA"/>
    <w:rsid w:val="003A6B81"/>
    <w:rsid w:val="003A6B83"/>
    <w:rsid w:val="003A6BB2"/>
    <w:rsid w:val="003A6CB0"/>
    <w:rsid w:val="003A6DF4"/>
    <w:rsid w:val="003A6E31"/>
    <w:rsid w:val="003A6FE2"/>
    <w:rsid w:val="003A6FE4"/>
    <w:rsid w:val="003A6FFA"/>
    <w:rsid w:val="003A70A5"/>
    <w:rsid w:val="003A729B"/>
    <w:rsid w:val="003A72FC"/>
    <w:rsid w:val="003A7402"/>
    <w:rsid w:val="003A7477"/>
    <w:rsid w:val="003A7577"/>
    <w:rsid w:val="003A75A0"/>
    <w:rsid w:val="003A7601"/>
    <w:rsid w:val="003A7674"/>
    <w:rsid w:val="003A777A"/>
    <w:rsid w:val="003A78CD"/>
    <w:rsid w:val="003A79D8"/>
    <w:rsid w:val="003A7A8B"/>
    <w:rsid w:val="003A7BA9"/>
    <w:rsid w:val="003A7BEF"/>
    <w:rsid w:val="003A7CB6"/>
    <w:rsid w:val="003A7D79"/>
    <w:rsid w:val="003A7DE4"/>
    <w:rsid w:val="003A7E2E"/>
    <w:rsid w:val="003A7F42"/>
    <w:rsid w:val="003A7F69"/>
    <w:rsid w:val="003B0028"/>
    <w:rsid w:val="003B00F4"/>
    <w:rsid w:val="003B01B8"/>
    <w:rsid w:val="003B0203"/>
    <w:rsid w:val="003B0581"/>
    <w:rsid w:val="003B063F"/>
    <w:rsid w:val="003B066A"/>
    <w:rsid w:val="003B0684"/>
    <w:rsid w:val="003B083A"/>
    <w:rsid w:val="003B0953"/>
    <w:rsid w:val="003B0957"/>
    <w:rsid w:val="003B0A6C"/>
    <w:rsid w:val="003B0B3E"/>
    <w:rsid w:val="003B0BE1"/>
    <w:rsid w:val="003B0C41"/>
    <w:rsid w:val="003B0C47"/>
    <w:rsid w:val="003B0C9A"/>
    <w:rsid w:val="003B0CC5"/>
    <w:rsid w:val="003B0CF7"/>
    <w:rsid w:val="003B0D8D"/>
    <w:rsid w:val="003B0E56"/>
    <w:rsid w:val="003B1022"/>
    <w:rsid w:val="003B11D3"/>
    <w:rsid w:val="003B1275"/>
    <w:rsid w:val="003B1302"/>
    <w:rsid w:val="003B13B2"/>
    <w:rsid w:val="003B1609"/>
    <w:rsid w:val="003B169F"/>
    <w:rsid w:val="003B1720"/>
    <w:rsid w:val="003B1774"/>
    <w:rsid w:val="003B1819"/>
    <w:rsid w:val="003B1AFB"/>
    <w:rsid w:val="003B1BDB"/>
    <w:rsid w:val="003B1BF8"/>
    <w:rsid w:val="003B1FCF"/>
    <w:rsid w:val="003B21A6"/>
    <w:rsid w:val="003B21D7"/>
    <w:rsid w:val="003B225C"/>
    <w:rsid w:val="003B22AC"/>
    <w:rsid w:val="003B250E"/>
    <w:rsid w:val="003B26AD"/>
    <w:rsid w:val="003B288B"/>
    <w:rsid w:val="003B29E2"/>
    <w:rsid w:val="003B2A24"/>
    <w:rsid w:val="003B2BCE"/>
    <w:rsid w:val="003B2CC6"/>
    <w:rsid w:val="003B2D0E"/>
    <w:rsid w:val="003B2DED"/>
    <w:rsid w:val="003B2E2B"/>
    <w:rsid w:val="003B2ED9"/>
    <w:rsid w:val="003B2EDC"/>
    <w:rsid w:val="003B30FF"/>
    <w:rsid w:val="003B315C"/>
    <w:rsid w:val="003B3214"/>
    <w:rsid w:val="003B332B"/>
    <w:rsid w:val="003B35F6"/>
    <w:rsid w:val="003B36EB"/>
    <w:rsid w:val="003B3760"/>
    <w:rsid w:val="003B37C8"/>
    <w:rsid w:val="003B3837"/>
    <w:rsid w:val="003B3A3B"/>
    <w:rsid w:val="003B3A4B"/>
    <w:rsid w:val="003B3B25"/>
    <w:rsid w:val="003B3B27"/>
    <w:rsid w:val="003B3DB1"/>
    <w:rsid w:val="003B4004"/>
    <w:rsid w:val="003B40AC"/>
    <w:rsid w:val="003B4127"/>
    <w:rsid w:val="003B42B4"/>
    <w:rsid w:val="003B43F8"/>
    <w:rsid w:val="003B4454"/>
    <w:rsid w:val="003B4466"/>
    <w:rsid w:val="003B4581"/>
    <w:rsid w:val="003B469E"/>
    <w:rsid w:val="003B46E0"/>
    <w:rsid w:val="003B4738"/>
    <w:rsid w:val="003B4826"/>
    <w:rsid w:val="003B492A"/>
    <w:rsid w:val="003B4996"/>
    <w:rsid w:val="003B49C4"/>
    <w:rsid w:val="003B4F4D"/>
    <w:rsid w:val="003B4FDC"/>
    <w:rsid w:val="003B5013"/>
    <w:rsid w:val="003B50AE"/>
    <w:rsid w:val="003B5186"/>
    <w:rsid w:val="003B5231"/>
    <w:rsid w:val="003B528F"/>
    <w:rsid w:val="003B52A7"/>
    <w:rsid w:val="003B540D"/>
    <w:rsid w:val="003B5497"/>
    <w:rsid w:val="003B564E"/>
    <w:rsid w:val="003B5681"/>
    <w:rsid w:val="003B591F"/>
    <w:rsid w:val="003B5A3F"/>
    <w:rsid w:val="003B5AEA"/>
    <w:rsid w:val="003B5B0A"/>
    <w:rsid w:val="003B5F29"/>
    <w:rsid w:val="003B5F53"/>
    <w:rsid w:val="003B5FB3"/>
    <w:rsid w:val="003B5FB5"/>
    <w:rsid w:val="003B6127"/>
    <w:rsid w:val="003B6165"/>
    <w:rsid w:val="003B6225"/>
    <w:rsid w:val="003B630C"/>
    <w:rsid w:val="003B63F0"/>
    <w:rsid w:val="003B64B3"/>
    <w:rsid w:val="003B64D6"/>
    <w:rsid w:val="003B64E7"/>
    <w:rsid w:val="003B65E9"/>
    <w:rsid w:val="003B67B9"/>
    <w:rsid w:val="003B67D3"/>
    <w:rsid w:val="003B6928"/>
    <w:rsid w:val="003B6938"/>
    <w:rsid w:val="003B6A42"/>
    <w:rsid w:val="003B6AC8"/>
    <w:rsid w:val="003B6B4F"/>
    <w:rsid w:val="003B7067"/>
    <w:rsid w:val="003B7092"/>
    <w:rsid w:val="003B7337"/>
    <w:rsid w:val="003B73F0"/>
    <w:rsid w:val="003B74D3"/>
    <w:rsid w:val="003B757B"/>
    <w:rsid w:val="003B76FB"/>
    <w:rsid w:val="003B77E5"/>
    <w:rsid w:val="003B7948"/>
    <w:rsid w:val="003B79CD"/>
    <w:rsid w:val="003B7CBB"/>
    <w:rsid w:val="003B7CE2"/>
    <w:rsid w:val="003B7D64"/>
    <w:rsid w:val="003B7E45"/>
    <w:rsid w:val="003B7EBA"/>
    <w:rsid w:val="003B7F04"/>
    <w:rsid w:val="003B7FE7"/>
    <w:rsid w:val="003C00BA"/>
    <w:rsid w:val="003C0263"/>
    <w:rsid w:val="003C02A7"/>
    <w:rsid w:val="003C02F2"/>
    <w:rsid w:val="003C0304"/>
    <w:rsid w:val="003C03EA"/>
    <w:rsid w:val="003C059A"/>
    <w:rsid w:val="003C05CA"/>
    <w:rsid w:val="003C065D"/>
    <w:rsid w:val="003C0662"/>
    <w:rsid w:val="003C06C7"/>
    <w:rsid w:val="003C07C4"/>
    <w:rsid w:val="003C07F6"/>
    <w:rsid w:val="003C09A1"/>
    <w:rsid w:val="003C09B1"/>
    <w:rsid w:val="003C09B3"/>
    <w:rsid w:val="003C09F4"/>
    <w:rsid w:val="003C0ADF"/>
    <w:rsid w:val="003C0C3A"/>
    <w:rsid w:val="003C0D08"/>
    <w:rsid w:val="003C0D13"/>
    <w:rsid w:val="003C0DAD"/>
    <w:rsid w:val="003C1002"/>
    <w:rsid w:val="003C10A3"/>
    <w:rsid w:val="003C10C3"/>
    <w:rsid w:val="003C115D"/>
    <w:rsid w:val="003C1205"/>
    <w:rsid w:val="003C1416"/>
    <w:rsid w:val="003C1466"/>
    <w:rsid w:val="003C14B1"/>
    <w:rsid w:val="003C14BD"/>
    <w:rsid w:val="003C162D"/>
    <w:rsid w:val="003C16A4"/>
    <w:rsid w:val="003C1745"/>
    <w:rsid w:val="003C18AF"/>
    <w:rsid w:val="003C18D2"/>
    <w:rsid w:val="003C1A6D"/>
    <w:rsid w:val="003C1A83"/>
    <w:rsid w:val="003C1CAE"/>
    <w:rsid w:val="003C1DEA"/>
    <w:rsid w:val="003C1DF7"/>
    <w:rsid w:val="003C1E03"/>
    <w:rsid w:val="003C207E"/>
    <w:rsid w:val="003C2138"/>
    <w:rsid w:val="003C23C6"/>
    <w:rsid w:val="003C23CA"/>
    <w:rsid w:val="003C240A"/>
    <w:rsid w:val="003C242E"/>
    <w:rsid w:val="003C24B8"/>
    <w:rsid w:val="003C252E"/>
    <w:rsid w:val="003C266B"/>
    <w:rsid w:val="003C2674"/>
    <w:rsid w:val="003C271B"/>
    <w:rsid w:val="003C27F5"/>
    <w:rsid w:val="003C2AF1"/>
    <w:rsid w:val="003C2B1E"/>
    <w:rsid w:val="003C2C40"/>
    <w:rsid w:val="003C2D05"/>
    <w:rsid w:val="003C2FAE"/>
    <w:rsid w:val="003C312F"/>
    <w:rsid w:val="003C3187"/>
    <w:rsid w:val="003C3294"/>
    <w:rsid w:val="003C32D3"/>
    <w:rsid w:val="003C3426"/>
    <w:rsid w:val="003C3604"/>
    <w:rsid w:val="003C36BA"/>
    <w:rsid w:val="003C3789"/>
    <w:rsid w:val="003C3822"/>
    <w:rsid w:val="003C3840"/>
    <w:rsid w:val="003C3A0D"/>
    <w:rsid w:val="003C3B1A"/>
    <w:rsid w:val="003C3DF0"/>
    <w:rsid w:val="003C3F86"/>
    <w:rsid w:val="003C3F8C"/>
    <w:rsid w:val="003C4055"/>
    <w:rsid w:val="003C413A"/>
    <w:rsid w:val="003C4209"/>
    <w:rsid w:val="003C4287"/>
    <w:rsid w:val="003C430B"/>
    <w:rsid w:val="003C43BA"/>
    <w:rsid w:val="003C4502"/>
    <w:rsid w:val="003C4670"/>
    <w:rsid w:val="003C4676"/>
    <w:rsid w:val="003C4764"/>
    <w:rsid w:val="003C4797"/>
    <w:rsid w:val="003C486C"/>
    <w:rsid w:val="003C487A"/>
    <w:rsid w:val="003C488B"/>
    <w:rsid w:val="003C4945"/>
    <w:rsid w:val="003C4AB3"/>
    <w:rsid w:val="003C4B13"/>
    <w:rsid w:val="003C4C18"/>
    <w:rsid w:val="003C4C93"/>
    <w:rsid w:val="003C4D3E"/>
    <w:rsid w:val="003C4D70"/>
    <w:rsid w:val="003C4E31"/>
    <w:rsid w:val="003C4E6C"/>
    <w:rsid w:val="003C4E78"/>
    <w:rsid w:val="003C5063"/>
    <w:rsid w:val="003C526B"/>
    <w:rsid w:val="003C54E7"/>
    <w:rsid w:val="003C572A"/>
    <w:rsid w:val="003C5786"/>
    <w:rsid w:val="003C58CF"/>
    <w:rsid w:val="003C59A1"/>
    <w:rsid w:val="003C5B45"/>
    <w:rsid w:val="003C5C0B"/>
    <w:rsid w:val="003C5D6D"/>
    <w:rsid w:val="003C5EA7"/>
    <w:rsid w:val="003C5EDF"/>
    <w:rsid w:val="003C5EED"/>
    <w:rsid w:val="003C5EF4"/>
    <w:rsid w:val="003C5FF8"/>
    <w:rsid w:val="003C606C"/>
    <w:rsid w:val="003C60F5"/>
    <w:rsid w:val="003C61EE"/>
    <w:rsid w:val="003C627E"/>
    <w:rsid w:val="003C643A"/>
    <w:rsid w:val="003C6449"/>
    <w:rsid w:val="003C674D"/>
    <w:rsid w:val="003C676C"/>
    <w:rsid w:val="003C67B7"/>
    <w:rsid w:val="003C67C3"/>
    <w:rsid w:val="003C67FD"/>
    <w:rsid w:val="003C689E"/>
    <w:rsid w:val="003C69D9"/>
    <w:rsid w:val="003C6AC9"/>
    <w:rsid w:val="003C6BCC"/>
    <w:rsid w:val="003C6BFE"/>
    <w:rsid w:val="003C6C06"/>
    <w:rsid w:val="003C6C09"/>
    <w:rsid w:val="003C6C28"/>
    <w:rsid w:val="003C6D9A"/>
    <w:rsid w:val="003C6EE0"/>
    <w:rsid w:val="003C727B"/>
    <w:rsid w:val="003C73B4"/>
    <w:rsid w:val="003C74FE"/>
    <w:rsid w:val="003C7635"/>
    <w:rsid w:val="003C77E0"/>
    <w:rsid w:val="003C788D"/>
    <w:rsid w:val="003C7895"/>
    <w:rsid w:val="003C78E1"/>
    <w:rsid w:val="003C792B"/>
    <w:rsid w:val="003C79CB"/>
    <w:rsid w:val="003C7BE8"/>
    <w:rsid w:val="003C7D67"/>
    <w:rsid w:val="003C7E08"/>
    <w:rsid w:val="003C7EBC"/>
    <w:rsid w:val="003C7ED2"/>
    <w:rsid w:val="003D0023"/>
    <w:rsid w:val="003D010F"/>
    <w:rsid w:val="003D014A"/>
    <w:rsid w:val="003D01B7"/>
    <w:rsid w:val="003D0281"/>
    <w:rsid w:val="003D02F6"/>
    <w:rsid w:val="003D0323"/>
    <w:rsid w:val="003D03EB"/>
    <w:rsid w:val="003D04CE"/>
    <w:rsid w:val="003D04ED"/>
    <w:rsid w:val="003D061B"/>
    <w:rsid w:val="003D0724"/>
    <w:rsid w:val="003D0734"/>
    <w:rsid w:val="003D07EA"/>
    <w:rsid w:val="003D09DA"/>
    <w:rsid w:val="003D0B8D"/>
    <w:rsid w:val="003D0EA1"/>
    <w:rsid w:val="003D1015"/>
    <w:rsid w:val="003D1049"/>
    <w:rsid w:val="003D107F"/>
    <w:rsid w:val="003D1123"/>
    <w:rsid w:val="003D1189"/>
    <w:rsid w:val="003D11F4"/>
    <w:rsid w:val="003D12B6"/>
    <w:rsid w:val="003D12C9"/>
    <w:rsid w:val="003D143E"/>
    <w:rsid w:val="003D146E"/>
    <w:rsid w:val="003D1544"/>
    <w:rsid w:val="003D17D0"/>
    <w:rsid w:val="003D1A3C"/>
    <w:rsid w:val="003D1A5D"/>
    <w:rsid w:val="003D1C2B"/>
    <w:rsid w:val="003D1C85"/>
    <w:rsid w:val="003D1DF5"/>
    <w:rsid w:val="003D1EB8"/>
    <w:rsid w:val="003D1F06"/>
    <w:rsid w:val="003D2048"/>
    <w:rsid w:val="003D20EF"/>
    <w:rsid w:val="003D21F0"/>
    <w:rsid w:val="003D2239"/>
    <w:rsid w:val="003D225C"/>
    <w:rsid w:val="003D258A"/>
    <w:rsid w:val="003D265D"/>
    <w:rsid w:val="003D2776"/>
    <w:rsid w:val="003D27C5"/>
    <w:rsid w:val="003D27C8"/>
    <w:rsid w:val="003D2834"/>
    <w:rsid w:val="003D28CF"/>
    <w:rsid w:val="003D29D5"/>
    <w:rsid w:val="003D2B29"/>
    <w:rsid w:val="003D2C04"/>
    <w:rsid w:val="003D2C0D"/>
    <w:rsid w:val="003D2CBF"/>
    <w:rsid w:val="003D2CF2"/>
    <w:rsid w:val="003D2E69"/>
    <w:rsid w:val="003D2F21"/>
    <w:rsid w:val="003D2F22"/>
    <w:rsid w:val="003D3059"/>
    <w:rsid w:val="003D3105"/>
    <w:rsid w:val="003D33BC"/>
    <w:rsid w:val="003D341E"/>
    <w:rsid w:val="003D357C"/>
    <w:rsid w:val="003D3786"/>
    <w:rsid w:val="003D37BD"/>
    <w:rsid w:val="003D38A0"/>
    <w:rsid w:val="003D38CA"/>
    <w:rsid w:val="003D3904"/>
    <w:rsid w:val="003D3A5D"/>
    <w:rsid w:val="003D3C1F"/>
    <w:rsid w:val="003D3C32"/>
    <w:rsid w:val="003D3DED"/>
    <w:rsid w:val="003D3F82"/>
    <w:rsid w:val="003D3FBB"/>
    <w:rsid w:val="003D3FD8"/>
    <w:rsid w:val="003D4048"/>
    <w:rsid w:val="003D419A"/>
    <w:rsid w:val="003D43E0"/>
    <w:rsid w:val="003D43EC"/>
    <w:rsid w:val="003D4424"/>
    <w:rsid w:val="003D4439"/>
    <w:rsid w:val="003D4525"/>
    <w:rsid w:val="003D456D"/>
    <w:rsid w:val="003D4576"/>
    <w:rsid w:val="003D493F"/>
    <w:rsid w:val="003D4A43"/>
    <w:rsid w:val="003D4B21"/>
    <w:rsid w:val="003D4C26"/>
    <w:rsid w:val="003D4C35"/>
    <w:rsid w:val="003D4C70"/>
    <w:rsid w:val="003D4CED"/>
    <w:rsid w:val="003D4D97"/>
    <w:rsid w:val="003D4DAF"/>
    <w:rsid w:val="003D4EB1"/>
    <w:rsid w:val="003D4EC7"/>
    <w:rsid w:val="003D4F5F"/>
    <w:rsid w:val="003D4FC9"/>
    <w:rsid w:val="003D5122"/>
    <w:rsid w:val="003D51EC"/>
    <w:rsid w:val="003D5236"/>
    <w:rsid w:val="003D52F2"/>
    <w:rsid w:val="003D552E"/>
    <w:rsid w:val="003D5542"/>
    <w:rsid w:val="003D5548"/>
    <w:rsid w:val="003D5606"/>
    <w:rsid w:val="003D5876"/>
    <w:rsid w:val="003D58E5"/>
    <w:rsid w:val="003D5949"/>
    <w:rsid w:val="003D594B"/>
    <w:rsid w:val="003D5B1A"/>
    <w:rsid w:val="003D5B58"/>
    <w:rsid w:val="003D5B6E"/>
    <w:rsid w:val="003D5C7D"/>
    <w:rsid w:val="003D5D1A"/>
    <w:rsid w:val="003D5E49"/>
    <w:rsid w:val="003D5E74"/>
    <w:rsid w:val="003D5E81"/>
    <w:rsid w:val="003D5F31"/>
    <w:rsid w:val="003D60D2"/>
    <w:rsid w:val="003D60F5"/>
    <w:rsid w:val="003D6321"/>
    <w:rsid w:val="003D6329"/>
    <w:rsid w:val="003D63A0"/>
    <w:rsid w:val="003D63D4"/>
    <w:rsid w:val="003D642D"/>
    <w:rsid w:val="003D644D"/>
    <w:rsid w:val="003D653C"/>
    <w:rsid w:val="003D664B"/>
    <w:rsid w:val="003D665B"/>
    <w:rsid w:val="003D66EC"/>
    <w:rsid w:val="003D6768"/>
    <w:rsid w:val="003D6776"/>
    <w:rsid w:val="003D67A7"/>
    <w:rsid w:val="003D67B5"/>
    <w:rsid w:val="003D6811"/>
    <w:rsid w:val="003D6835"/>
    <w:rsid w:val="003D68F8"/>
    <w:rsid w:val="003D69FD"/>
    <w:rsid w:val="003D6B57"/>
    <w:rsid w:val="003D6C0F"/>
    <w:rsid w:val="003D6C17"/>
    <w:rsid w:val="003D6D7F"/>
    <w:rsid w:val="003D6E14"/>
    <w:rsid w:val="003D6E7A"/>
    <w:rsid w:val="003D6EE1"/>
    <w:rsid w:val="003D6FB4"/>
    <w:rsid w:val="003D6FE9"/>
    <w:rsid w:val="003D7018"/>
    <w:rsid w:val="003D7061"/>
    <w:rsid w:val="003D719F"/>
    <w:rsid w:val="003D729A"/>
    <w:rsid w:val="003D7343"/>
    <w:rsid w:val="003D7378"/>
    <w:rsid w:val="003D73A2"/>
    <w:rsid w:val="003D743C"/>
    <w:rsid w:val="003D749B"/>
    <w:rsid w:val="003D75E9"/>
    <w:rsid w:val="003D7628"/>
    <w:rsid w:val="003D7669"/>
    <w:rsid w:val="003D7685"/>
    <w:rsid w:val="003D768B"/>
    <w:rsid w:val="003D76FE"/>
    <w:rsid w:val="003D7760"/>
    <w:rsid w:val="003D7868"/>
    <w:rsid w:val="003D7AF0"/>
    <w:rsid w:val="003D7B59"/>
    <w:rsid w:val="003D7E23"/>
    <w:rsid w:val="003D7FA6"/>
    <w:rsid w:val="003D7FAD"/>
    <w:rsid w:val="003E0082"/>
    <w:rsid w:val="003E00AC"/>
    <w:rsid w:val="003E0146"/>
    <w:rsid w:val="003E0350"/>
    <w:rsid w:val="003E03AD"/>
    <w:rsid w:val="003E03F1"/>
    <w:rsid w:val="003E09B9"/>
    <w:rsid w:val="003E0A95"/>
    <w:rsid w:val="003E0C8C"/>
    <w:rsid w:val="003E0F68"/>
    <w:rsid w:val="003E0FC8"/>
    <w:rsid w:val="003E0FEE"/>
    <w:rsid w:val="003E1073"/>
    <w:rsid w:val="003E10DD"/>
    <w:rsid w:val="003E1106"/>
    <w:rsid w:val="003E129E"/>
    <w:rsid w:val="003E158F"/>
    <w:rsid w:val="003E1627"/>
    <w:rsid w:val="003E171A"/>
    <w:rsid w:val="003E1866"/>
    <w:rsid w:val="003E1971"/>
    <w:rsid w:val="003E1995"/>
    <w:rsid w:val="003E1A30"/>
    <w:rsid w:val="003E1A3A"/>
    <w:rsid w:val="003E1B16"/>
    <w:rsid w:val="003E1BB9"/>
    <w:rsid w:val="003E1D1B"/>
    <w:rsid w:val="003E1DD0"/>
    <w:rsid w:val="003E1DEA"/>
    <w:rsid w:val="003E1DFD"/>
    <w:rsid w:val="003E1EE2"/>
    <w:rsid w:val="003E21FA"/>
    <w:rsid w:val="003E226C"/>
    <w:rsid w:val="003E22F5"/>
    <w:rsid w:val="003E2315"/>
    <w:rsid w:val="003E23E6"/>
    <w:rsid w:val="003E2430"/>
    <w:rsid w:val="003E2447"/>
    <w:rsid w:val="003E2454"/>
    <w:rsid w:val="003E2469"/>
    <w:rsid w:val="003E2505"/>
    <w:rsid w:val="003E2563"/>
    <w:rsid w:val="003E25FB"/>
    <w:rsid w:val="003E27ED"/>
    <w:rsid w:val="003E280E"/>
    <w:rsid w:val="003E2833"/>
    <w:rsid w:val="003E2848"/>
    <w:rsid w:val="003E288B"/>
    <w:rsid w:val="003E28CE"/>
    <w:rsid w:val="003E295F"/>
    <w:rsid w:val="003E296F"/>
    <w:rsid w:val="003E2A0D"/>
    <w:rsid w:val="003E2B38"/>
    <w:rsid w:val="003E2BC8"/>
    <w:rsid w:val="003E2D78"/>
    <w:rsid w:val="003E2E46"/>
    <w:rsid w:val="003E2E7D"/>
    <w:rsid w:val="003E3062"/>
    <w:rsid w:val="003E3074"/>
    <w:rsid w:val="003E31D9"/>
    <w:rsid w:val="003E335A"/>
    <w:rsid w:val="003E33EE"/>
    <w:rsid w:val="003E3405"/>
    <w:rsid w:val="003E34CF"/>
    <w:rsid w:val="003E378D"/>
    <w:rsid w:val="003E3812"/>
    <w:rsid w:val="003E386D"/>
    <w:rsid w:val="003E3902"/>
    <w:rsid w:val="003E3958"/>
    <w:rsid w:val="003E3998"/>
    <w:rsid w:val="003E39BD"/>
    <w:rsid w:val="003E3B0F"/>
    <w:rsid w:val="003E3B1F"/>
    <w:rsid w:val="003E3B37"/>
    <w:rsid w:val="003E3B9D"/>
    <w:rsid w:val="003E3CFA"/>
    <w:rsid w:val="003E3DD6"/>
    <w:rsid w:val="003E40B2"/>
    <w:rsid w:val="003E414A"/>
    <w:rsid w:val="003E4150"/>
    <w:rsid w:val="003E422E"/>
    <w:rsid w:val="003E42A4"/>
    <w:rsid w:val="003E4619"/>
    <w:rsid w:val="003E46E6"/>
    <w:rsid w:val="003E473A"/>
    <w:rsid w:val="003E47A4"/>
    <w:rsid w:val="003E4871"/>
    <w:rsid w:val="003E48D4"/>
    <w:rsid w:val="003E4A3F"/>
    <w:rsid w:val="003E4A5C"/>
    <w:rsid w:val="003E4BEA"/>
    <w:rsid w:val="003E4DAA"/>
    <w:rsid w:val="003E4DDE"/>
    <w:rsid w:val="003E4E21"/>
    <w:rsid w:val="003E4EDD"/>
    <w:rsid w:val="003E516E"/>
    <w:rsid w:val="003E532E"/>
    <w:rsid w:val="003E536D"/>
    <w:rsid w:val="003E53A0"/>
    <w:rsid w:val="003E552E"/>
    <w:rsid w:val="003E5559"/>
    <w:rsid w:val="003E578F"/>
    <w:rsid w:val="003E57C2"/>
    <w:rsid w:val="003E580E"/>
    <w:rsid w:val="003E5814"/>
    <w:rsid w:val="003E582E"/>
    <w:rsid w:val="003E589C"/>
    <w:rsid w:val="003E58A2"/>
    <w:rsid w:val="003E58E3"/>
    <w:rsid w:val="003E5A75"/>
    <w:rsid w:val="003E5AB1"/>
    <w:rsid w:val="003E5B31"/>
    <w:rsid w:val="003E5BE4"/>
    <w:rsid w:val="003E5C76"/>
    <w:rsid w:val="003E5DD7"/>
    <w:rsid w:val="003E5DDC"/>
    <w:rsid w:val="003E5F8C"/>
    <w:rsid w:val="003E60BE"/>
    <w:rsid w:val="003E6121"/>
    <w:rsid w:val="003E6179"/>
    <w:rsid w:val="003E61C8"/>
    <w:rsid w:val="003E61CA"/>
    <w:rsid w:val="003E6304"/>
    <w:rsid w:val="003E6367"/>
    <w:rsid w:val="003E645F"/>
    <w:rsid w:val="003E65EA"/>
    <w:rsid w:val="003E6601"/>
    <w:rsid w:val="003E6729"/>
    <w:rsid w:val="003E6825"/>
    <w:rsid w:val="003E6864"/>
    <w:rsid w:val="003E68C8"/>
    <w:rsid w:val="003E6A89"/>
    <w:rsid w:val="003E6CB6"/>
    <w:rsid w:val="003E6DC1"/>
    <w:rsid w:val="003E6E2A"/>
    <w:rsid w:val="003E6EAE"/>
    <w:rsid w:val="003E6FE1"/>
    <w:rsid w:val="003E7032"/>
    <w:rsid w:val="003E7096"/>
    <w:rsid w:val="003E70F9"/>
    <w:rsid w:val="003E7242"/>
    <w:rsid w:val="003E7388"/>
    <w:rsid w:val="003E740B"/>
    <w:rsid w:val="003E74C9"/>
    <w:rsid w:val="003E74CC"/>
    <w:rsid w:val="003E74E6"/>
    <w:rsid w:val="003E75A6"/>
    <w:rsid w:val="003E75CF"/>
    <w:rsid w:val="003E7627"/>
    <w:rsid w:val="003E7844"/>
    <w:rsid w:val="003E78B5"/>
    <w:rsid w:val="003E7C63"/>
    <w:rsid w:val="003E7CA8"/>
    <w:rsid w:val="003E7D5C"/>
    <w:rsid w:val="003E7E82"/>
    <w:rsid w:val="003E7EEE"/>
    <w:rsid w:val="003E7F7D"/>
    <w:rsid w:val="003F0011"/>
    <w:rsid w:val="003F009A"/>
    <w:rsid w:val="003F01B6"/>
    <w:rsid w:val="003F01D8"/>
    <w:rsid w:val="003F02EF"/>
    <w:rsid w:val="003F045D"/>
    <w:rsid w:val="003F05B1"/>
    <w:rsid w:val="003F05BA"/>
    <w:rsid w:val="003F05FE"/>
    <w:rsid w:val="003F06BA"/>
    <w:rsid w:val="003F082D"/>
    <w:rsid w:val="003F0AB2"/>
    <w:rsid w:val="003F0C39"/>
    <w:rsid w:val="003F0D1D"/>
    <w:rsid w:val="003F0D50"/>
    <w:rsid w:val="003F0E2C"/>
    <w:rsid w:val="003F0F03"/>
    <w:rsid w:val="003F1017"/>
    <w:rsid w:val="003F11D4"/>
    <w:rsid w:val="003F1554"/>
    <w:rsid w:val="003F15A1"/>
    <w:rsid w:val="003F15AE"/>
    <w:rsid w:val="003F1653"/>
    <w:rsid w:val="003F16A4"/>
    <w:rsid w:val="003F1769"/>
    <w:rsid w:val="003F1771"/>
    <w:rsid w:val="003F18AA"/>
    <w:rsid w:val="003F1947"/>
    <w:rsid w:val="003F1975"/>
    <w:rsid w:val="003F19D3"/>
    <w:rsid w:val="003F1B21"/>
    <w:rsid w:val="003F1CB5"/>
    <w:rsid w:val="003F1E31"/>
    <w:rsid w:val="003F1F08"/>
    <w:rsid w:val="003F2190"/>
    <w:rsid w:val="003F21B9"/>
    <w:rsid w:val="003F231E"/>
    <w:rsid w:val="003F23C3"/>
    <w:rsid w:val="003F24AB"/>
    <w:rsid w:val="003F24E4"/>
    <w:rsid w:val="003F256D"/>
    <w:rsid w:val="003F256E"/>
    <w:rsid w:val="003F25E7"/>
    <w:rsid w:val="003F2662"/>
    <w:rsid w:val="003F26B6"/>
    <w:rsid w:val="003F275D"/>
    <w:rsid w:val="003F29C5"/>
    <w:rsid w:val="003F2A96"/>
    <w:rsid w:val="003F2B17"/>
    <w:rsid w:val="003F2B89"/>
    <w:rsid w:val="003F2C02"/>
    <w:rsid w:val="003F2C1C"/>
    <w:rsid w:val="003F2F38"/>
    <w:rsid w:val="003F324C"/>
    <w:rsid w:val="003F3349"/>
    <w:rsid w:val="003F339B"/>
    <w:rsid w:val="003F34BB"/>
    <w:rsid w:val="003F34E9"/>
    <w:rsid w:val="003F360F"/>
    <w:rsid w:val="003F3622"/>
    <w:rsid w:val="003F3671"/>
    <w:rsid w:val="003F36BB"/>
    <w:rsid w:val="003F3839"/>
    <w:rsid w:val="003F3A7D"/>
    <w:rsid w:val="003F3ADF"/>
    <w:rsid w:val="003F3B6C"/>
    <w:rsid w:val="003F3BA9"/>
    <w:rsid w:val="003F3C0D"/>
    <w:rsid w:val="003F3C18"/>
    <w:rsid w:val="003F3CCF"/>
    <w:rsid w:val="003F3CE0"/>
    <w:rsid w:val="003F3D83"/>
    <w:rsid w:val="003F3D92"/>
    <w:rsid w:val="003F3E97"/>
    <w:rsid w:val="003F3F7E"/>
    <w:rsid w:val="003F4024"/>
    <w:rsid w:val="003F40B2"/>
    <w:rsid w:val="003F41C1"/>
    <w:rsid w:val="003F4292"/>
    <w:rsid w:val="003F42E9"/>
    <w:rsid w:val="003F4369"/>
    <w:rsid w:val="003F43BC"/>
    <w:rsid w:val="003F43F3"/>
    <w:rsid w:val="003F4495"/>
    <w:rsid w:val="003F4533"/>
    <w:rsid w:val="003F476D"/>
    <w:rsid w:val="003F47C5"/>
    <w:rsid w:val="003F49B5"/>
    <w:rsid w:val="003F4C56"/>
    <w:rsid w:val="003F4CFA"/>
    <w:rsid w:val="003F4ECC"/>
    <w:rsid w:val="003F4F36"/>
    <w:rsid w:val="003F4F94"/>
    <w:rsid w:val="003F5056"/>
    <w:rsid w:val="003F50D6"/>
    <w:rsid w:val="003F50DB"/>
    <w:rsid w:val="003F5158"/>
    <w:rsid w:val="003F52F5"/>
    <w:rsid w:val="003F5471"/>
    <w:rsid w:val="003F5507"/>
    <w:rsid w:val="003F556D"/>
    <w:rsid w:val="003F57F9"/>
    <w:rsid w:val="003F58AA"/>
    <w:rsid w:val="003F58C7"/>
    <w:rsid w:val="003F5A24"/>
    <w:rsid w:val="003F5D40"/>
    <w:rsid w:val="003F5DDD"/>
    <w:rsid w:val="003F5DF9"/>
    <w:rsid w:val="003F5E2E"/>
    <w:rsid w:val="003F617F"/>
    <w:rsid w:val="003F6578"/>
    <w:rsid w:val="003F65B1"/>
    <w:rsid w:val="003F67A6"/>
    <w:rsid w:val="003F68DB"/>
    <w:rsid w:val="003F68F0"/>
    <w:rsid w:val="003F6A24"/>
    <w:rsid w:val="003F6A2F"/>
    <w:rsid w:val="003F6BBD"/>
    <w:rsid w:val="003F6D7C"/>
    <w:rsid w:val="003F6DA3"/>
    <w:rsid w:val="003F6DDF"/>
    <w:rsid w:val="003F6E32"/>
    <w:rsid w:val="003F7092"/>
    <w:rsid w:val="003F7218"/>
    <w:rsid w:val="003F7233"/>
    <w:rsid w:val="003F724C"/>
    <w:rsid w:val="003F72EB"/>
    <w:rsid w:val="003F733A"/>
    <w:rsid w:val="003F7593"/>
    <w:rsid w:val="003F77A0"/>
    <w:rsid w:val="003F7881"/>
    <w:rsid w:val="003F78FA"/>
    <w:rsid w:val="003F7915"/>
    <w:rsid w:val="003F79D7"/>
    <w:rsid w:val="003F7B56"/>
    <w:rsid w:val="003F7C0E"/>
    <w:rsid w:val="003F7D72"/>
    <w:rsid w:val="003F7E6D"/>
    <w:rsid w:val="003F7EE8"/>
    <w:rsid w:val="003F7F9D"/>
    <w:rsid w:val="00400010"/>
    <w:rsid w:val="0040012D"/>
    <w:rsid w:val="004001E8"/>
    <w:rsid w:val="0040023A"/>
    <w:rsid w:val="0040029C"/>
    <w:rsid w:val="00400473"/>
    <w:rsid w:val="004004CA"/>
    <w:rsid w:val="004004F7"/>
    <w:rsid w:val="004006BC"/>
    <w:rsid w:val="00400746"/>
    <w:rsid w:val="004007AD"/>
    <w:rsid w:val="004008BE"/>
    <w:rsid w:val="004008C6"/>
    <w:rsid w:val="00400988"/>
    <w:rsid w:val="00400BD8"/>
    <w:rsid w:val="00400BDE"/>
    <w:rsid w:val="00400BE4"/>
    <w:rsid w:val="00400C1F"/>
    <w:rsid w:val="00400C90"/>
    <w:rsid w:val="00400CD1"/>
    <w:rsid w:val="00400DD4"/>
    <w:rsid w:val="00400EB4"/>
    <w:rsid w:val="00401048"/>
    <w:rsid w:val="00401145"/>
    <w:rsid w:val="00401213"/>
    <w:rsid w:val="00401221"/>
    <w:rsid w:val="0040131A"/>
    <w:rsid w:val="0040140E"/>
    <w:rsid w:val="0040145C"/>
    <w:rsid w:val="0040168F"/>
    <w:rsid w:val="004017F9"/>
    <w:rsid w:val="0040196E"/>
    <w:rsid w:val="00401A1E"/>
    <w:rsid w:val="00401A6B"/>
    <w:rsid w:val="00401ADB"/>
    <w:rsid w:val="00401B91"/>
    <w:rsid w:val="00401BC3"/>
    <w:rsid w:val="00401BC6"/>
    <w:rsid w:val="00401C21"/>
    <w:rsid w:val="00401C59"/>
    <w:rsid w:val="00401DE7"/>
    <w:rsid w:val="00401EC9"/>
    <w:rsid w:val="00401F4F"/>
    <w:rsid w:val="0040211A"/>
    <w:rsid w:val="0040212E"/>
    <w:rsid w:val="00402185"/>
    <w:rsid w:val="00402246"/>
    <w:rsid w:val="00402369"/>
    <w:rsid w:val="00402437"/>
    <w:rsid w:val="004024D4"/>
    <w:rsid w:val="00402532"/>
    <w:rsid w:val="004026A5"/>
    <w:rsid w:val="004027A5"/>
    <w:rsid w:val="00402825"/>
    <w:rsid w:val="0040286F"/>
    <w:rsid w:val="0040290E"/>
    <w:rsid w:val="00402977"/>
    <w:rsid w:val="00402ABC"/>
    <w:rsid w:val="00402AE9"/>
    <w:rsid w:val="00402BA8"/>
    <w:rsid w:val="00402BBD"/>
    <w:rsid w:val="00402CE0"/>
    <w:rsid w:val="00402EDA"/>
    <w:rsid w:val="00402F31"/>
    <w:rsid w:val="004030D0"/>
    <w:rsid w:val="004031C9"/>
    <w:rsid w:val="00403334"/>
    <w:rsid w:val="00403422"/>
    <w:rsid w:val="0040353F"/>
    <w:rsid w:val="0040362D"/>
    <w:rsid w:val="004036DD"/>
    <w:rsid w:val="0040374D"/>
    <w:rsid w:val="00403845"/>
    <w:rsid w:val="0040387B"/>
    <w:rsid w:val="004038CD"/>
    <w:rsid w:val="00403A3B"/>
    <w:rsid w:val="00403B5A"/>
    <w:rsid w:val="00403B8F"/>
    <w:rsid w:val="00403C96"/>
    <w:rsid w:val="00403CBA"/>
    <w:rsid w:val="00403D3B"/>
    <w:rsid w:val="00403E3A"/>
    <w:rsid w:val="00403E53"/>
    <w:rsid w:val="00403F29"/>
    <w:rsid w:val="00403FC2"/>
    <w:rsid w:val="00404158"/>
    <w:rsid w:val="00404263"/>
    <w:rsid w:val="00404306"/>
    <w:rsid w:val="0040440B"/>
    <w:rsid w:val="004044D0"/>
    <w:rsid w:val="004044D3"/>
    <w:rsid w:val="004046DD"/>
    <w:rsid w:val="004046EB"/>
    <w:rsid w:val="00404778"/>
    <w:rsid w:val="004047D2"/>
    <w:rsid w:val="004047FA"/>
    <w:rsid w:val="00404909"/>
    <w:rsid w:val="00404A56"/>
    <w:rsid w:val="00404A6F"/>
    <w:rsid w:val="00404AF2"/>
    <w:rsid w:val="00404C3E"/>
    <w:rsid w:val="00404CDB"/>
    <w:rsid w:val="00404D94"/>
    <w:rsid w:val="00404E39"/>
    <w:rsid w:val="00404E88"/>
    <w:rsid w:val="00404FB1"/>
    <w:rsid w:val="00405113"/>
    <w:rsid w:val="00405159"/>
    <w:rsid w:val="004055C6"/>
    <w:rsid w:val="004056B3"/>
    <w:rsid w:val="0040578B"/>
    <w:rsid w:val="00405840"/>
    <w:rsid w:val="004059D8"/>
    <w:rsid w:val="00405A1E"/>
    <w:rsid w:val="00405AF0"/>
    <w:rsid w:val="00405CEE"/>
    <w:rsid w:val="00405E55"/>
    <w:rsid w:val="00405E84"/>
    <w:rsid w:val="00406048"/>
    <w:rsid w:val="004063B4"/>
    <w:rsid w:val="004063E1"/>
    <w:rsid w:val="004064A8"/>
    <w:rsid w:val="004064F0"/>
    <w:rsid w:val="004065A6"/>
    <w:rsid w:val="00406625"/>
    <w:rsid w:val="00406645"/>
    <w:rsid w:val="004066E3"/>
    <w:rsid w:val="004067FF"/>
    <w:rsid w:val="004068A1"/>
    <w:rsid w:val="004068D2"/>
    <w:rsid w:val="00406AC5"/>
    <w:rsid w:val="00406B32"/>
    <w:rsid w:val="00406B47"/>
    <w:rsid w:val="00406B6D"/>
    <w:rsid w:val="00406C75"/>
    <w:rsid w:val="00406D39"/>
    <w:rsid w:val="00406EDC"/>
    <w:rsid w:val="00406FB6"/>
    <w:rsid w:val="00406FEA"/>
    <w:rsid w:val="00407026"/>
    <w:rsid w:val="004070DC"/>
    <w:rsid w:val="0040723C"/>
    <w:rsid w:val="004072E0"/>
    <w:rsid w:val="0040731E"/>
    <w:rsid w:val="0040739D"/>
    <w:rsid w:val="00407494"/>
    <w:rsid w:val="0040749C"/>
    <w:rsid w:val="00407530"/>
    <w:rsid w:val="00407555"/>
    <w:rsid w:val="00407656"/>
    <w:rsid w:val="004076EC"/>
    <w:rsid w:val="004077B4"/>
    <w:rsid w:val="004078CA"/>
    <w:rsid w:val="00407909"/>
    <w:rsid w:val="00407C39"/>
    <w:rsid w:val="00407C81"/>
    <w:rsid w:val="00407D8D"/>
    <w:rsid w:val="00407E0A"/>
    <w:rsid w:val="00407E70"/>
    <w:rsid w:val="004100F6"/>
    <w:rsid w:val="00410134"/>
    <w:rsid w:val="00410654"/>
    <w:rsid w:val="0041072E"/>
    <w:rsid w:val="00410776"/>
    <w:rsid w:val="004107D2"/>
    <w:rsid w:val="00410A1A"/>
    <w:rsid w:val="00410AC9"/>
    <w:rsid w:val="00410BEA"/>
    <w:rsid w:val="00410C60"/>
    <w:rsid w:val="00410D7F"/>
    <w:rsid w:val="00410E23"/>
    <w:rsid w:val="00410E2F"/>
    <w:rsid w:val="00410E5A"/>
    <w:rsid w:val="00410E69"/>
    <w:rsid w:val="00410E8F"/>
    <w:rsid w:val="0041127A"/>
    <w:rsid w:val="004112EA"/>
    <w:rsid w:val="00411331"/>
    <w:rsid w:val="00411482"/>
    <w:rsid w:val="004114A9"/>
    <w:rsid w:val="004115B0"/>
    <w:rsid w:val="0041166D"/>
    <w:rsid w:val="00411687"/>
    <w:rsid w:val="004116E9"/>
    <w:rsid w:val="004117A8"/>
    <w:rsid w:val="004117E6"/>
    <w:rsid w:val="004117E7"/>
    <w:rsid w:val="00411864"/>
    <w:rsid w:val="004118FF"/>
    <w:rsid w:val="004119E3"/>
    <w:rsid w:val="00411A06"/>
    <w:rsid w:val="00411AF3"/>
    <w:rsid w:val="00411B31"/>
    <w:rsid w:val="00411CD8"/>
    <w:rsid w:val="00411F16"/>
    <w:rsid w:val="00411FBB"/>
    <w:rsid w:val="0041217B"/>
    <w:rsid w:val="00412183"/>
    <w:rsid w:val="00412293"/>
    <w:rsid w:val="0041236E"/>
    <w:rsid w:val="004123EF"/>
    <w:rsid w:val="00412414"/>
    <w:rsid w:val="00412425"/>
    <w:rsid w:val="0041256E"/>
    <w:rsid w:val="00412864"/>
    <w:rsid w:val="004128F2"/>
    <w:rsid w:val="00412944"/>
    <w:rsid w:val="00412A7D"/>
    <w:rsid w:val="00412BE6"/>
    <w:rsid w:val="00412CA3"/>
    <w:rsid w:val="00412D0B"/>
    <w:rsid w:val="00412DB3"/>
    <w:rsid w:val="00412E32"/>
    <w:rsid w:val="00412EAF"/>
    <w:rsid w:val="00412F36"/>
    <w:rsid w:val="004131B4"/>
    <w:rsid w:val="004131EA"/>
    <w:rsid w:val="004133C8"/>
    <w:rsid w:val="004134B3"/>
    <w:rsid w:val="00413586"/>
    <w:rsid w:val="004135D8"/>
    <w:rsid w:val="00413881"/>
    <w:rsid w:val="00413AD0"/>
    <w:rsid w:val="00413AE0"/>
    <w:rsid w:val="00413BA9"/>
    <w:rsid w:val="00413C90"/>
    <w:rsid w:val="00413D91"/>
    <w:rsid w:val="00413ED0"/>
    <w:rsid w:val="00413FA4"/>
    <w:rsid w:val="00413FAB"/>
    <w:rsid w:val="00414369"/>
    <w:rsid w:val="00414492"/>
    <w:rsid w:val="004144F0"/>
    <w:rsid w:val="004145B1"/>
    <w:rsid w:val="00414631"/>
    <w:rsid w:val="0041490B"/>
    <w:rsid w:val="00414A83"/>
    <w:rsid w:val="00414B36"/>
    <w:rsid w:val="00414CEF"/>
    <w:rsid w:val="00414D5B"/>
    <w:rsid w:val="00414D91"/>
    <w:rsid w:val="00414E7B"/>
    <w:rsid w:val="0041548A"/>
    <w:rsid w:val="004154D6"/>
    <w:rsid w:val="004154DD"/>
    <w:rsid w:val="0041557D"/>
    <w:rsid w:val="00415727"/>
    <w:rsid w:val="00415766"/>
    <w:rsid w:val="004157A5"/>
    <w:rsid w:val="004157F9"/>
    <w:rsid w:val="004158AC"/>
    <w:rsid w:val="00415C62"/>
    <w:rsid w:val="00415DC6"/>
    <w:rsid w:val="00415F1C"/>
    <w:rsid w:val="00415F8D"/>
    <w:rsid w:val="00415FDB"/>
    <w:rsid w:val="00416213"/>
    <w:rsid w:val="0041643B"/>
    <w:rsid w:val="00416470"/>
    <w:rsid w:val="004165E3"/>
    <w:rsid w:val="00416727"/>
    <w:rsid w:val="00416765"/>
    <w:rsid w:val="0041687B"/>
    <w:rsid w:val="00416964"/>
    <w:rsid w:val="00416A7E"/>
    <w:rsid w:val="00416AB6"/>
    <w:rsid w:val="00416C0F"/>
    <w:rsid w:val="00417108"/>
    <w:rsid w:val="0041730C"/>
    <w:rsid w:val="004173E0"/>
    <w:rsid w:val="00417434"/>
    <w:rsid w:val="004174E6"/>
    <w:rsid w:val="0041759B"/>
    <w:rsid w:val="004175D5"/>
    <w:rsid w:val="004175E3"/>
    <w:rsid w:val="00417732"/>
    <w:rsid w:val="00417873"/>
    <w:rsid w:val="00417934"/>
    <w:rsid w:val="004179CB"/>
    <w:rsid w:val="00417A17"/>
    <w:rsid w:val="00417ACD"/>
    <w:rsid w:val="00417B08"/>
    <w:rsid w:val="00417B80"/>
    <w:rsid w:val="00417ECF"/>
    <w:rsid w:val="00417FE2"/>
    <w:rsid w:val="0042002C"/>
    <w:rsid w:val="004200ED"/>
    <w:rsid w:val="004203C2"/>
    <w:rsid w:val="00420482"/>
    <w:rsid w:val="00420583"/>
    <w:rsid w:val="00420779"/>
    <w:rsid w:val="004207A9"/>
    <w:rsid w:val="004207FA"/>
    <w:rsid w:val="0042084E"/>
    <w:rsid w:val="00420999"/>
    <w:rsid w:val="0042099F"/>
    <w:rsid w:val="00420B14"/>
    <w:rsid w:val="00420B6B"/>
    <w:rsid w:val="00420B85"/>
    <w:rsid w:val="00420D9B"/>
    <w:rsid w:val="00420EB8"/>
    <w:rsid w:val="00420F9A"/>
    <w:rsid w:val="004211D6"/>
    <w:rsid w:val="004212B2"/>
    <w:rsid w:val="00421428"/>
    <w:rsid w:val="004214B7"/>
    <w:rsid w:val="004214F6"/>
    <w:rsid w:val="00421523"/>
    <w:rsid w:val="00421550"/>
    <w:rsid w:val="004215CC"/>
    <w:rsid w:val="0042164B"/>
    <w:rsid w:val="0042168B"/>
    <w:rsid w:val="00421951"/>
    <w:rsid w:val="00421973"/>
    <w:rsid w:val="00421B11"/>
    <w:rsid w:val="00421BC2"/>
    <w:rsid w:val="00421DA6"/>
    <w:rsid w:val="00421F25"/>
    <w:rsid w:val="004220A6"/>
    <w:rsid w:val="004220E5"/>
    <w:rsid w:val="00422114"/>
    <w:rsid w:val="00422266"/>
    <w:rsid w:val="004223B0"/>
    <w:rsid w:val="00422572"/>
    <w:rsid w:val="004225DE"/>
    <w:rsid w:val="004227AD"/>
    <w:rsid w:val="00422921"/>
    <w:rsid w:val="00422986"/>
    <w:rsid w:val="004229F7"/>
    <w:rsid w:val="00422A21"/>
    <w:rsid w:val="00422BB1"/>
    <w:rsid w:val="00422C5B"/>
    <w:rsid w:val="00422D6A"/>
    <w:rsid w:val="0042312B"/>
    <w:rsid w:val="004231FE"/>
    <w:rsid w:val="004234CE"/>
    <w:rsid w:val="0042387F"/>
    <w:rsid w:val="004239E3"/>
    <w:rsid w:val="004239F9"/>
    <w:rsid w:val="00423AF5"/>
    <w:rsid w:val="00423B54"/>
    <w:rsid w:val="00423B66"/>
    <w:rsid w:val="00423C18"/>
    <w:rsid w:val="00423CF3"/>
    <w:rsid w:val="00423CF8"/>
    <w:rsid w:val="00423ECE"/>
    <w:rsid w:val="00423F8E"/>
    <w:rsid w:val="00424241"/>
    <w:rsid w:val="00424410"/>
    <w:rsid w:val="0042444A"/>
    <w:rsid w:val="00424474"/>
    <w:rsid w:val="00424646"/>
    <w:rsid w:val="004246A1"/>
    <w:rsid w:val="004246F9"/>
    <w:rsid w:val="00424870"/>
    <w:rsid w:val="0042488C"/>
    <w:rsid w:val="00424898"/>
    <w:rsid w:val="00424B1B"/>
    <w:rsid w:val="00424C46"/>
    <w:rsid w:val="00424D8D"/>
    <w:rsid w:val="00424FC5"/>
    <w:rsid w:val="00425076"/>
    <w:rsid w:val="00425157"/>
    <w:rsid w:val="004254B2"/>
    <w:rsid w:val="0042550E"/>
    <w:rsid w:val="004255C3"/>
    <w:rsid w:val="00425616"/>
    <w:rsid w:val="0042575D"/>
    <w:rsid w:val="00425775"/>
    <w:rsid w:val="0042582D"/>
    <w:rsid w:val="00425A7E"/>
    <w:rsid w:val="00425ACD"/>
    <w:rsid w:val="00425BD2"/>
    <w:rsid w:val="00425C1C"/>
    <w:rsid w:val="00425E47"/>
    <w:rsid w:val="00425E6C"/>
    <w:rsid w:val="00425E6E"/>
    <w:rsid w:val="00426071"/>
    <w:rsid w:val="004260EA"/>
    <w:rsid w:val="00426588"/>
    <w:rsid w:val="00426596"/>
    <w:rsid w:val="004265A0"/>
    <w:rsid w:val="004265F6"/>
    <w:rsid w:val="004265FC"/>
    <w:rsid w:val="00426613"/>
    <w:rsid w:val="0042666F"/>
    <w:rsid w:val="00426731"/>
    <w:rsid w:val="00426779"/>
    <w:rsid w:val="00426782"/>
    <w:rsid w:val="004267A4"/>
    <w:rsid w:val="0042682E"/>
    <w:rsid w:val="004268F9"/>
    <w:rsid w:val="00426A84"/>
    <w:rsid w:val="00426AB8"/>
    <w:rsid w:val="00426BD1"/>
    <w:rsid w:val="00426D1C"/>
    <w:rsid w:val="00426D80"/>
    <w:rsid w:val="00426E60"/>
    <w:rsid w:val="00426EA2"/>
    <w:rsid w:val="00426FF1"/>
    <w:rsid w:val="00427028"/>
    <w:rsid w:val="0042723C"/>
    <w:rsid w:val="0042729D"/>
    <w:rsid w:val="004272AA"/>
    <w:rsid w:val="00427349"/>
    <w:rsid w:val="0042736A"/>
    <w:rsid w:val="004273AA"/>
    <w:rsid w:val="0042745D"/>
    <w:rsid w:val="004274EC"/>
    <w:rsid w:val="0042753B"/>
    <w:rsid w:val="00427679"/>
    <w:rsid w:val="004276EB"/>
    <w:rsid w:val="00427764"/>
    <w:rsid w:val="0042776D"/>
    <w:rsid w:val="004277A6"/>
    <w:rsid w:val="004277A9"/>
    <w:rsid w:val="004277C8"/>
    <w:rsid w:val="00427802"/>
    <w:rsid w:val="0042780A"/>
    <w:rsid w:val="0042783A"/>
    <w:rsid w:val="004279B2"/>
    <w:rsid w:val="004279DE"/>
    <w:rsid w:val="00427B2E"/>
    <w:rsid w:val="00427B2F"/>
    <w:rsid w:val="00427D91"/>
    <w:rsid w:val="00427E24"/>
    <w:rsid w:val="0043012C"/>
    <w:rsid w:val="004301AF"/>
    <w:rsid w:val="0043022E"/>
    <w:rsid w:val="0043086F"/>
    <w:rsid w:val="00430880"/>
    <w:rsid w:val="0043089B"/>
    <w:rsid w:val="004308BE"/>
    <w:rsid w:val="00430975"/>
    <w:rsid w:val="004309F1"/>
    <w:rsid w:val="00430AC9"/>
    <w:rsid w:val="00430BC2"/>
    <w:rsid w:val="00430BDF"/>
    <w:rsid w:val="00430D2F"/>
    <w:rsid w:val="00430E2E"/>
    <w:rsid w:val="00430FBC"/>
    <w:rsid w:val="004310DA"/>
    <w:rsid w:val="004310E9"/>
    <w:rsid w:val="00431120"/>
    <w:rsid w:val="00431145"/>
    <w:rsid w:val="004312D6"/>
    <w:rsid w:val="004313A0"/>
    <w:rsid w:val="00431461"/>
    <w:rsid w:val="004314E0"/>
    <w:rsid w:val="0043178C"/>
    <w:rsid w:val="004318CD"/>
    <w:rsid w:val="00431923"/>
    <w:rsid w:val="00431941"/>
    <w:rsid w:val="0043197F"/>
    <w:rsid w:val="00431A78"/>
    <w:rsid w:val="00431BE4"/>
    <w:rsid w:val="00431C3F"/>
    <w:rsid w:val="00431D77"/>
    <w:rsid w:val="00431F50"/>
    <w:rsid w:val="004320BA"/>
    <w:rsid w:val="004321EE"/>
    <w:rsid w:val="00432210"/>
    <w:rsid w:val="00432274"/>
    <w:rsid w:val="004322D8"/>
    <w:rsid w:val="00432336"/>
    <w:rsid w:val="0043247B"/>
    <w:rsid w:val="004324DB"/>
    <w:rsid w:val="00432545"/>
    <w:rsid w:val="00432659"/>
    <w:rsid w:val="00432A98"/>
    <w:rsid w:val="00432B6F"/>
    <w:rsid w:val="00432BCB"/>
    <w:rsid w:val="00432CE1"/>
    <w:rsid w:val="00432D17"/>
    <w:rsid w:val="00432DA8"/>
    <w:rsid w:val="00432E6E"/>
    <w:rsid w:val="00432E82"/>
    <w:rsid w:val="00432EB1"/>
    <w:rsid w:val="00432F27"/>
    <w:rsid w:val="00432F90"/>
    <w:rsid w:val="00433124"/>
    <w:rsid w:val="0043318A"/>
    <w:rsid w:val="00433217"/>
    <w:rsid w:val="00433318"/>
    <w:rsid w:val="00433336"/>
    <w:rsid w:val="00433380"/>
    <w:rsid w:val="00433430"/>
    <w:rsid w:val="004334D6"/>
    <w:rsid w:val="004335DB"/>
    <w:rsid w:val="004336A5"/>
    <w:rsid w:val="0043381E"/>
    <w:rsid w:val="00433A74"/>
    <w:rsid w:val="00433AEA"/>
    <w:rsid w:val="00433AF7"/>
    <w:rsid w:val="00433D37"/>
    <w:rsid w:val="00434059"/>
    <w:rsid w:val="0043414F"/>
    <w:rsid w:val="00434239"/>
    <w:rsid w:val="004342EB"/>
    <w:rsid w:val="00434692"/>
    <w:rsid w:val="00434713"/>
    <w:rsid w:val="00434774"/>
    <w:rsid w:val="00434791"/>
    <w:rsid w:val="0043481C"/>
    <w:rsid w:val="004349E2"/>
    <w:rsid w:val="00434A82"/>
    <w:rsid w:val="00434CD7"/>
    <w:rsid w:val="00434DC9"/>
    <w:rsid w:val="00434E17"/>
    <w:rsid w:val="00434F2F"/>
    <w:rsid w:val="00434FEC"/>
    <w:rsid w:val="0043504E"/>
    <w:rsid w:val="00435162"/>
    <w:rsid w:val="004351E5"/>
    <w:rsid w:val="004353E0"/>
    <w:rsid w:val="004354FD"/>
    <w:rsid w:val="00435662"/>
    <w:rsid w:val="00435935"/>
    <w:rsid w:val="00435B8F"/>
    <w:rsid w:val="00435BDB"/>
    <w:rsid w:val="00435C08"/>
    <w:rsid w:val="00435CFA"/>
    <w:rsid w:val="00435D29"/>
    <w:rsid w:val="00435FC4"/>
    <w:rsid w:val="004360E5"/>
    <w:rsid w:val="004360E9"/>
    <w:rsid w:val="00436134"/>
    <w:rsid w:val="00436215"/>
    <w:rsid w:val="00436246"/>
    <w:rsid w:val="00436392"/>
    <w:rsid w:val="0043645C"/>
    <w:rsid w:val="00436524"/>
    <w:rsid w:val="00436573"/>
    <w:rsid w:val="004367EC"/>
    <w:rsid w:val="00436904"/>
    <w:rsid w:val="00436928"/>
    <w:rsid w:val="004369CD"/>
    <w:rsid w:val="00436B25"/>
    <w:rsid w:val="00436B6C"/>
    <w:rsid w:val="00436BA5"/>
    <w:rsid w:val="00436DB7"/>
    <w:rsid w:val="00436E06"/>
    <w:rsid w:val="00436FFB"/>
    <w:rsid w:val="004370B5"/>
    <w:rsid w:val="004370F6"/>
    <w:rsid w:val="004371F2"/>
    <w:rsid w:val="0043731B"/>
    <w:rsid w:val="00437371"/>
    <w:rsid w:val="004373F6"/>
    <w:rsid w:val="004374E2"/>
    <w:rsid w:val="00437652"/>
    <w:rsid w:val="00437701"/>
    <w:rsid w:val="004377D3"/>
    <w:rsid w:val="00437885"/>
    <w:rsid w:val="00437979"/>
    <w:rsid w:val="00437C99"/>
    <w:rsid w:val="00440101"/>
    <w:rsid w:val="0044010A"/>
    <w:rsid w:val="00440234"/>
    <w:rsid w:val="0044029B"/>
    <w:rsid w:val="0044047C"/>
    <w:rsid w:val="0044060E"/>
    <w:rsid w:val="00440747"/>
    <w:rsid w:val="00440775"/>
    <w:rsid w:val="00440826"/>
    <w:rsid w:val="004408B7"/>
    <w:rsid w:val="00440C14"/>
    <w:rsid w:val="00440CA0"/>
    <w:rsid w:val="00440ED3"/>
    <w:rsid w:val="00441005"/>
    <w:rsid w:val="004410DE"/>
    <w:rsid w:val="004410FB"/>
    <w:rsid w:val="0044113B"/>
    <w:rsid w:val="0044121F"/>
    <w:rsid w:val="00441260"/>
    <w:rsid w:val="00441263"/>
    <w:rsid w:val="00441291"/>
    <w:rsid w:val="00441295"/>
    <w:rsid w:val="00441364"/>
    <w:rsid w:val="0044136B"/>
    <w:rsid w:val="004413C1"/>
    <w:rsid w:val="004413D3"/>
    <w:rsid w:val="0044152F"/>
    <w:rsid w:val="0044153F"/>
    <w:rsid w:val="0044173E"/>
    <w:rsid w:val="004417FC"/>
    <w:rsid w:val="004419C5"/>
    <w:rsid w:val="00441AED"/>
    <w:rsid w:val="00441B67"/>
    <w:rsid w:val="00441C7A"/>
    <w:rsid w:val="00441DDD"/>
    <w:rsid w:val="00441E58"/>
    <w:rsid w:val="00441E70"/>
    <w:rsid w:val="00441F3D"/>
    <w:rsid w:val="00441FD0"/>
    <w:rsid w:val="00441FD1"/>
    <w:rsid w:val="004420C2"/>
    <w:rsid w:val="00442528"/>
    <w:rsid w:val="00442665"/>
    <w:rsid w:val="004426BB"/>
    <w:rsid w:val="00442A24"/>
    <w:rsid w:val="00442AD4"/>
    <w:rsid w:val="00442ADA"/>
    <w:rsid w:val="00442BAB"/>
    <w:rsid w:val="00443007"/>
    <w:rsid w:val="00443050"/>
    <w:rsid w:val="00443102"/>
    <w:rsid w:val="00443249"/>
    <w:rsid w:val="00443408"/>
    <w:rsid w:val="004434BA"/>
    <w:rsid w:val="00443525"/>
    <w:rsid w:val="00443571"/>
    <w:rsid w:val="004436EA"/>
    <w:rsid w:val="00443829"/>
    <w:rsid w:val="00443A55"/>
    <w:rsid w:val="00443C51"/>
    <w:rsid w:val="00443D32"/>
    <w:rsid w:val="00443D84"/>
    <w:rsid w:val="00443DCF"/>
    <w:rsid w:val="00443E7C"/>
    <w:rsid w:val="00444059"/>
    <w:rsid w:val="0044405C"/>
    <w:rsid w:val="0044408D"/>
    <w:rsid w:val="00444093"/>
    <w:rsid w:val="00444570"/>
    <w:rsid w:val="004445A0"/>
    <w:rsid w:val="004445A4"/>
    <w:rsid w:val="00444632"/>
    <w:rsid w:val="00444652"/>
    <w:rsid w:val="004447BF"/>
    <w:rsid w:val="00444813"/>
    <w:rsid w:val="004448D1"/>
    <w:rsid w:val="004448E3"/>
    <w:rsid w:val="00444934"/>
    <w:rsid w:val="00444D2E"/>
    <w:rsid w:val="00444D32"/>
    <w:rsid w:val="00444D8E"/>
    <w:rsid w:val="00444E9D"/>
    <w:rsid w:val="00445243"/>
    <w:rsid w:val="00445281"/>
    <w:rsid w:val="004452F3"/>
    <w:rsid w:val="004452F6"/>
    <w:rsid w:val="004452FB"/>
    <w:rsid w:val="00445472"/>
    <w:rsid w:val="0044561F"/>
    <w:rsid w:val="004457E4"/>
    <w:rsid w:val="0044580E"/>
    <w:rsid w:val="0044583D"/>
    <w:rsid w:val="00445939"/>
    <w:rsid w:val="00445A0A"/>
    <w:rsid w:val="00445A19"/>
    <w:rsid w:val="00445ADF"/>
    <w:rsid w:val="00445BA7"/>
    <w:rsid w:val="00445BAA"/>
    <w:rsid w:val="00445D04"/>
    <w:rsid w:val="00445FB4"/>
    <w:rsid w:val="004460B2"/>
    <w:rsid w:val="004461A9"/>
    <w:rsid w:val="0044623D"/>
    <w:rsid w:val="004462AB"/>
    <w:rsid w:val="00446453"/>
    <w:rsid w:val="00446795"/>
    <w:rsid w:val="004467CD"/>
    <w:rsid w:val="00446850"/>
    <w:rsid w:val="00446E3B"/>
    <w:rsid w:val="00446F38"/>
    <w:rsid w:val="0044701D"/>
    <w:rsid w:val="004471A8"/>
    <w:rsid w:val="004472B8"/>
    <w:rsid w:val="004472DC"/>
    <w:rsid w:val="0044757B"/>
    <w:rsid w:val="004476A2"/>
    <w:rsid w:val="004477B1"/>
    <w:rsid w:val="004477C1"/>
    <w:rsid w:val="00447818"/>
    <w:rsid w:val="00447A49"/>
    <w:rsid w:val="00447B84"/>
    <w:rsid w:val="00447BC9"/>
    <w:rsid w:val="00447C54"/>
    <w:rsid w:val="00447C57"/>
    <w:rsid w:val="00447C6C"/>
    <w:rsid w:val="00447C74"/>
    <w:rsid w:val="00447C93"/>
    <w:rsid w:val="00447D52"/>
    <w:rsid w:val="00447D80"/>
    <w:rsid w:val="00447DD8"/>
    <w:rsid w:val="00447DE4"/>
    <w:rsid w:val="00450045"/>
    <w:rsid w:val="0045007D"/>
    <w:rsid w:val="004500E0"/>
    <w:rsid w:val="00450144"/>
    <w:rsid w:val="004501B0"/>
    <w:rsid w:val="004501BD"/>
    <w:rsid w:val="00450207"/>
    <w:rsid w:val="00450253"/>
    <w:rsid w:val="004502A1"/>
    <w:rsid w:val="004502AC"/>
    <w:rsid w:val="0045037E"/>
    <w:rsid w:val="004504FE"/>
    <w:rsid w:val="004505D7"/>
    <w:rsid w:val="004507EA"/>
    <w:rsid w:val="0045093B"/>
    <w:rsid w:val="0045099D"/>
    <w:rsid w:val="004509D9"/>
    <w:rsid w:val="00450AB9"/>
    <w:rsid w:val="00450BAA"/>
    <w:rsid w:val="00450C5E"/>
    <w:rsid w:val="00450D08"/>
    <w:rsid w:val="00450D9B"/>
    <w:rsid w:val="00450D9E"/>
    <w:rsid w:val="00450E15"/>
    <w:rsid w:val="0045111F"/>
    <w:rsid w:val="004511B0"/>
    <w:rsid w:val="0045139C"/>
    <w:rsid w:val="004513E6"/>
    <w:rsid w:val="004515DC"/>
    <w:rsid w:val="004516DB"/>
    <w:rsid w:val="004516FC"/>
    <w:rsid w:val="00451728"/>
    <w:rsid w:val="004518D3"/>
    <w:rsid w:val="004518F5"/>
    <w:rsid w:val="00451ABE"/>
    <w:rsid w:val="00451B0A"/>
    <w:rsid w:val="00451CC7"/>
    <w:rsid w:val="00451CE4"/>
    <w:rsid w:val="00451EBD"/>
    <w:rsid w:val="00451FEF"/>
    <w:rsid w:val="0045204A"/>
    <w:rsid w:val="004521A1"/>
    <w:rsid w:val="00452423"/>
    <w:rsid w:val="004524BE"/>
    <w:rsid w:val="00452534"/>
    <w:rsid w:val="00452582"/>
    <w:rsid w:val="004525B3"/>
    <w:rsid w:val="004525B9"/>
    <w:rsid w:val="0045260F"/>
    <w:rsid w:val="0045261E"/>
    <w:rsid w:val="0045272D"/>
    <w:rsid w:val="00452742"/>
    <w:rsid w:val="00452743"/>
    <w:rsid w:val="00452839"/>
    <w:rsid w:val="00452889"/>
    <w:rsid w:val="00452952"/>
    <w:rsid w:val="004529D0"/>
    <w:rsid w:val="004529D2"/>
    <w:rsid w:val="00452B0B"/>
    <w:rsid w:val="00452C21"/>
    <w:rsid w:val="00452FA6"/>
    <w:rsid w:val="00453023"/>
    <w:rsid w:val="0045303C"/>
    <w:rsid w:val="00453165"/>
    <w:rsid w:val="00453195"/>
    <w:rsid w:val="004531C4"/>
    <w:rsid w:val="0045328C"/>
    <w:rsid w:val="0045344F"/>
    <w:rsid w:val="00453477"/>
    <w:rsid w:val="004534BB"/>
    <w:rsid w:val="004535F1"/>
    <w:rsid w:val="00453732"/>
    <w:rsid w:val="004537E0"/>
    <w:rsid w:val="0045381E"/>
    <w:rsid w:val="00453955"/>
    <w:rsid w:val="0045396B"/>
    <w:rsid w:val="00453A1C"/>
    <w:rsid w:val="00453A69"/>
    <w:rsid w:val="00453ACC"/>
    <w:rsid w:val="00453D42"/>
    <w:rsid w:val="00453E5B"/>
    <w:rsid w:val="00453F83"/>
    <w:rsid w:val="00454112"/>
    <w:rsid w:val="0045412F"/>
    <w:rsid w:val="004541BB"/>
    <w:rsid w:val="004541DA"/>
    <w:rsid w:val="00454287"/>
    <w:rsid w:val="004542A6"/>
    <w:rsid w:val="0045432C"/>
    <w:rsid w:val="004544CA"/>
    <w:rsid w:val="00454587"/>
    <w:rsid w:val="00454758"/>
    <w:rsid w:val="0045484C"/>
    <w:rsid w:val="00454854"/>
    <w:rsid w:val="004548A6"/>
    <w:rsid w:val="004548AA"/>
    <w:rsid w:val="00454A56"/>
    <w:rsid w:val="00454AC6"/>
    <w:rsid w:val="00454AC8"/>
    <w:rsid w:val="00454C40"/>
    <w:rsid w:val="00454CDA"/>
    <w:rsid w:val="004550C0"/>
    <w:rsid w:val="004550E2"/>
    <w:rsid w:val="004550FB"/>
    <w:rsid w:val="0045513B"/>
    <w:rsid w:val="004551C4"/>
    <w:rsid w:val="004551F2"/>
    <w:rsid w:val="0045529D"/>
    <w:rsid w:val="004552A1"/>
    <w:rsid w:val="004552DA"/>
    <w:rsid w:val="00455368"/>
    <w:rsid w:val="0045547D"/>
    <w:rsid w:val="004554D4"/>
    <w:rsid w:val="004554D9"/>
    <w:rsid w:val="0045553F"/>
    <w:rsid w:val="004556CE"/>
    <w:rsid w:val="00455715"/>
    <w:rsid w:val="0045576A"/>
    <w:rsid w:val="00455889"/>
    <w:rsid w:val="004558BA"/>
    <w:rsid w:val="00455989"/>
    <w:rsid w:val="00455A76"/>
    <w:rsid w:val="00455A9E"/>
    <w:rsid w:val="00455C10"/>
    <w:rsid w:val="00455C14"/>
    <w:rsid w:val="00456002"/>
    <w:rsid w:val="0045620B"/>
    <w:rsid w:val="00456440"/>
    <w:rsid w:val="00456464"/>
    <w:rsid w:val="0045657B"/>
    <w:rsid w:val="004566A9"/>
    <w:rsid w:val="00456819"/>
    <w:rsid w:val="00456891"/>
    <w:rsid w:val="00456909"/>
    <w:rsid w:val="004569B4"/>
    <w:rsid w:val="004569FA"/>
    <w:rsid w:val="00456B06"/>
    <w:rsid w:val="00456B14"/>
    <w:rsid w:val="00456B15"/>
    <w:rsid w:val="00456C5E"/>
    <w:rsid w:val="00456CF7"/>
    <w:rsid w:val="00456D0B"/>
    <w:rsid w:val="00456D66"/>
    <w:rsid w:val="00456DDD"/>
    <w:rsid w:val="00456E90"/>
    <w:rsid w:val="00456FAB"/>
    <w:rsid w:val="00456FC9"/>
    <w:rsid w:val="004571F8"/>
    <w:rsid w:val="00457263"/>
    <w:rsid w:val="00457384"/>
    <w:rsid w:val="0045767B"/>
    <w:rsid w:val="004576F6"/>
    <w:rsid w:val="00457723"/>
    <w:rsid w:val="00457851"/>
    <w:rsid w:val="004579EA"/>
    <w:rsid w:val="00457AB6"/>
    <w:rsid w:val="00457ACE"/>
    <w:rsid w:val="00457AF4"/>
    <w:rsid w:val="00457E87"/>
    <w:rsid w:val="00457F48"/>
    <w:rsid w:val="00457FF2"/>
    <w:rsid w:val="00460162"/>
    <w:rsid w:val="004601AB"/>
    <w:rsid w:val="004603D3"/>
    <w:rsid w:val="004605CF"/>
    <w:rsid w:val="0046069E"/>
    <w:rsid w:val="00460833"/>
    <w:rsid w:val="00460901"/>
    <w:rsid w:val="00460966"/>
    <w:rsid w:val="00460AD8"/>
    <w:rsid w:val="00460B4C"/>
    <w:rsid w:val="00460C56"/>
    <w:rsid w:val="00460D75"/>
    <w:rsid w:val="00460EAD"/>
    <w:rsid w:val="00460F80"/>
    <w:rsid w:val="00461088"/>
    <w:rsid w:val="004611A9"/>
    <w:rsid w:val="0046123E"/>
    <w:rsid w:val="004612F4"/>
    <w:rsid w:val="004612FD"/>
    <w:rsid w:val="0046135D"/>
    <w:rsid w:val="00461360"/>
    <w:rsid w:val="004614F0"/>
    <w:rsid w:val="00461791"/>
    <w:rsid w:val="00461792"/>
    <w:rsid w:val="004617BC"/>
    <w:rsid w:val="0046182F"/>
    <w:rsid w:val="004618C7"/>
    <w:rsid w:val="004619BA"/>
    <w:rsid w:val="00461A90"/>
    <w:rsid w:val="00461C80"/>
    <w:rsid w:val="00461C91"/>
    <w:rsid w:val="00461CA1"/>
    <w:rsid w:val="00461CBE"/>
    <w:rsid w:val="00461D17"/>
    <w:rsid w:val="00461D24"/>
    <w:rsid w:val="00461DD6"/>
    <w:rsid w:val="00461E88"/>
    <w:rsid w:val="00461EF9"/>
    <w:rsid w:val="00462005"/>
    <w:rsid w:val="00462050"/>
    <w:rsid w:val="00462063"/>
    <w:rsid w:val="0046216B"/>
    <w:rsid w:val="00462196"/>
    <w:rsid w:val="00462282"/>
    <w:rsid w:val="004622F3"/>
    <w:rsid w:val="0046238A"/>
    <w:rsid w:val="00462499"/>
    <w:rsid w:val="00462633"/>
    <w:rsid w:val="00462739"/>
    <w:rsid w:val="00462774"/>
    <w:rsid w:val="00462821"/>
    <w:rsid w:val="0046287D"/>
    <w:rsid w:val="00462E4C"/>
    <w:rsid w:val="00462E5A"/>
    <w:rsid w:val="00462EDB"/>
    <w:rsid w:val="00462EE5"/>
    <w:rsid w:val="00462FDF"/>
    <w:rsid w:val="004631AE"/>
    <w:rsid w:val="0046329C"/>
    <w:rsid w:val="004633AA"/>
    <w:rsid w:val="0046352C"/>
    <w:rsid w:val="00463591"/>
    <w:rsid w:val="004635E9"/>
    <w:rsid w:val="0046374A"/>
    <w:rsid w:val="004637A4"/>
    <w:rsid w:val="004637F1"/>
    <w:rsid w:val="00463835"/>
    <w:rsid w:val="004639D8"/>
    <w:rsid w:val="00463D3C"/>
    <w:rsid w:val="00463E56"/>
    <w:rsid w:val="00463EBE"/>
    <w:rsid w:val="0046412D"/>
    <w:rsid w:val="00464172"/>
    <w:rsid w:val="00464414"/>
    <w:rsid w:val="0046443C"/>
    <w:rsid w:val="004645E1"/>
    <w:rsid w:val="0046464F"/>
    <w:rsid w:val="00464766"/>
    <w:rsid w:val="004647C3"/>
    <w:rsid w:val="004647FC"/>
    <w:rsid w:val="00464819"/>
    <w:rsid w:val="00464893"/>
    <w:rsid w:val="004648C6"/>
    <w:rsid w:val="00464921"/>
    <w:rsid w:val="00464A05"/>
    <w:rsid w:val="00464AEF"/>
    <w:rsid w:val="00464D4F"/>
    <w:rsid w:val="00464D79"/>
    <w:rsid w:val="00464E8F"/>
    <w:rsid w:val="00464F3D"/>
    <w:rsid w:val="00465183"/>
    <w:rsid w:val="00465286"/>
    <w:rsid w:val="00465333"/>
    <w:rsid w:val="00465479"/>
    <w:rsid w:val="004656AE"/>
    <w:rsid w:val="00465730"/>
    <w:rsid w:val="00465795"/>
    <w:rsid w:val="00465965"/>
    <w:rsid w:val="00465AE5"/>
    <w:rsid w:val="00465C05"/>
    <w:rsid w:val="00465C9C"/>
    <w:rsid w:val="00465D07"/>
    <w:rsid w:val="00465DFD"/>
    <w:rsid w:val="00465EFD"/>
    <w:rsid w:val="00465F35"/>
    <w:rsid w:val="00465F69"/>
    <w:rsid w:val="004663B2"/>
    <w:rsid w:val="00466450"/>
    <w:rsid w:val="004665F2"/>
    <w:rsid w:val="00466634"/>
    <w:rsid w:val="00466662"/>
    <w:rsid w:val="0046666C"/>
    <w:rsid w:val="004666DD"/>
    <w:rsid w:val="00466792"/>
    <w:rsid w:val="00466A7A"/>
    <w:rsid w:val="00466ABF"/>
    <w:rsid w:val="00466AFC"/>
    <w:rsid w:val="00466B4B"/>
    <w:rsid w:val="00466BCE"/>
    <w:rsid w:val="00466BEC"/>
    <w:rsid w:val="00466BFA"/>
    <w:rsid w:val="00466C90"/>
    <w:rsid w:val="00466CB2"/>
    <w:rsid w:val="00466D7B"/>
    <w:rsid w:val="00466EF6"/>
    <w:rsid w:val="00467082"/>
    <w:rsid w:val="004671CD"/>
    <w:rsid w:val="00467364"/>
    <w:rsid w:val="00467398"/>
    <w:rsid w:val="004676A6"/>
    <w:rsid w:val="004676CC"/>
    <w:rsid w:val="0046786B"/>
    <w:rsid w:val="00467889"/>
    <w:rsid w:val="00467A50"/>
    <w:rsid w:val="00467A5E"/>
    <w:rsid w:val="00467AA4"/>
    <w:rsid w:val="00467ACD"/>
    <w:rsid w:val="00467C5D"/>
    <w:rsid w:val="00467F30"/>
    <w:rsid w:val="00470094"/>
    <w:rsid w:val="0047022E"/>
    <w:rsid w:val="00470368"/>
    <w:rsid w:val="00470438"/>
    <w:rsid w:val="0047043E"/>
    <w:rsid w:val="00470526"/>
    <w:rsid w:val="00470643"/>
    <w:rsid w:val="00470709"/>
    <w:rsid w:val="004707CC"/>
    <w:rsid w:val="004708F4"/>
    <w:rsid w:val="00470B7E"/>
    <w:rsid w:val="00470C0C"/>
    <w:rsid w:val="00470D4C"/>
    <w:rsid w:val="00470D8D"/>
    <w:rsid w:val="00470DA8"/>
    <w:rsid w:val="00470F56"/>
    <w:rsid w:val="00471023"/>
    <w:rsid w:val="004710E2"/>
    <w:rsid w:val="00471107"/>
    <w:rsid w:val="00471120"/>
    <w:rsid w:val="00471132"/>
    <w:rsid w:val="00471164"/>
    <w:rsid w:val="0047116D"/>
    <w:rsid w:val="004711A9"/>
    <w:rsid w:val="004711C1"/>
    <w:rsid w:val="00471256"/>
    <w:rsid w:val="004712BB"/>
    <w:rsid w:val="00471313"/>
    <w:rsid w:val="004713EA"/>
    <w:rsid w:val="0047148E"/>
    <w:rsid w:val="004714A4"/>
    <w:rsid w:val="004714CB"/>
    <w:rsid w:val="004714CD"/>
    <w:rsid w:val="004715DA"/>
    <w:rsid w:val="00471622"/>
    <w:rsid w:val="00471635"/>
    <w:rsid w:val="0047171B"/>
    <w:rsid w:val="00471791"/>
    <w:rsid w:val="00471969"/>
    <w:rsid w:val="00471A5A"/>
    <w:rsid w:val="00471B93"/>
    <w:rsid w:val="00471CB9"/>
    <w:rsid w:val="00471E11"/>
    <w:rsid w:val="00471FBE"/>
    <w:rsid w:val="00471FCD"/>
    <w:rsid w:val="00472084"/>
    <w:rsid w:val="0047213B"/>
    <w:rsid w:val="0047222D"/>
    <w:rsid w:val="00472344"/>
    <w:rsid w:val="004723A9"/>
    <w:rsid w:val="00472435"/>
    <w:rsid w:val="00472455"/>
    <w:rsid w:val="00472596"/>
    <w:rsid w:val="00472777"/>
    <w:rsid w:val="004727F5"/>
    <w:rsid w:val="00472856"/>
    <w:rsid w:val="00472900"/>
    <w:rsid w:val="00472975"/>
    <w:rsid w:val="00472CC4"/>
    <w:rsid w:val="00472F1B"/>
    <w:rsid w:val="00472F28"/>
    <w:rsid w:val="00473235"/>
    <w:rsid w:val="0047328D"/>
    <w:rsid w:val="004733D8"/>
    <w:rsid w:val="004734F3"/>
    <w:rsid w:val="0047356A"/>
    <w:rsid w:val="0047374B"/>
    <w:rsid w:val="00473960"/>
    <w:rsid w:val="004739E2"/>
    <w:rsid w:val="004744F8"/>
    <w:rsid w:val="00474656"/>
    <w:rsid w:val="004746F5"/>
    <w:rsid w:val="00474755"/>
    <w:rsid w:val="0047484E"/>
    <w:rsid w:val="0047486D"/>
    <w:rsid w:val="004749C5"/>
    <w:rsid w:val="004749EC"/>
    <w:rsid w:val="00474A93"/>
    <w:rsid w:val="00474B50"/>
    <w:rsid w:val="00474BF3"/>
    <w:rsid w:val="00474C9A"/>
    <w:rsid w:val="00474E55"/>
    <w:rsid w:val="00474ED6"/>
    <w:rsid w:val="00474F1E"/>
    <w:rsid w:val="0047511F"/>
    <w:rsid w:val="0047513C"/>
    <w:rsid w:val="0047517C"/>
    <w:rsid w:val="004751F7"/>
    <w:rsid w:val="00475243"/>
    <w:rsid w:val="00475547"/>
    <w:rsid w:val="0047566F"/>
    <w:rsid w:val="00475728"/>
    <w:rsid w:val="00475827"/>
    <w:rsid w:val="0047584E"/>
    <w:rsid w:val="00475A0E"/>
    <w:rsid w:val="00475A44"/>
    <w:rsid w:val="00475BD2"/>
    <w:rsid w:val="00475E7F"/>
    <w:rsid w:val="00475EF1"/>
    <w:rsid w:val="00475F48"/>
    <w:rsid w:val="0047610F"/>
    <w:rsid w:val="00476191"/>
    <w:rsid w:val="0047621B"/>
    <w:rsid w:val="004762D4"/>
    <w:rsid w:val="00476384"/>
    <w:rsid w:val="004764CA"/>
    <w:rsid w:val="004764F4"/>
    <w:rsid w:val="00476516"/>
    <w:rsid w:val="00476657"/>
    <w:rsid w:val="004766A3"/>
    <w:rsid w:val="004767FA"/>
    <w:rsid w:val="004768F0"/>
    <w:rsid w:val="00476BA9"/>
    <w:rsid w:val="00476CE8"/>
    <w:rsid w:val="00476DC9"/>
    <w:rsid w:val="00476EBD"/>
    <w:rsid w:val="00476EF8"/>
    <w:rsid w:val="0047708C"/>
    <w:rsid w:val="004770A3"/>
    <w:rsid w:val="0047727E"/>
    <w:rsid w:val="00477296"/>
    <w:rsid w:val="004772B2"/>
    <w:rsid w:val="00477436"/>
    <w:rsid w:val="004775B5"/>
    <w:rsid w:val="0047771D"/>
    <w:rsid w:val="004777C7"/>
    <w:rsid w:val="004779FB"/>
    <w:rsid w:val="00477A37"/>
    <w:rsid w:val="00477A63"/>
    <w:rsid w:val="00477AE9"/>
    <w:rsid w:val="00477B35"/>
    <w:rsid w:val="00477C43"/>
    <w:rsid w:val="00477D8B"/>
    <w:rsid w:val="00477E37"/>
    <w:rsid w:val="00477EBA"/>
    <w:rsid w:val="00477FEF"/>
    <w:rsid w:val="00480098"/>
    <w:rsid w:val="004800A7"/>
    <w:rsid w:val="004800D7"/>
    <w:rsid w:val="004801C9"/>
    <w:rsid w:val="004802D5"/>
    <w:rsid w:val="0048037A"/>
    <w:rsid w:val="00480395"/>
    <w:rsid w:val="0048062E"/>
    <w:rsid w:val="00480744"/>
    <w:rsid w:val="004807BF"/>
    <w:rsid w:val="004807D0"/>
    <w:rsid w:val="00480926"/>
    <w:rsid w:val="0048098C"/>
    <w:rsid w:val="00480A72"/>
    <w:rsid w:val="00480B45"/>
    <w:rsid w:val="00480C4C"/>
    <w:rsid w:val="00480CDA"/>
    <w:rsid w:val="00480D85"/>
    <w:rsid w:val="004811A0"/>
    <w:rsid w:val="0048128F"/>
    <w:rsid w:val="004813A1"/>
    <w:rsid w:val="004813EA"/>
    <w:rsid w:val="004813F0"/>
    <w:rsid w:val="00481486"/>
    <w:rsid w:val="004814C5"/>
    <w:rsid w:val="004814D3"/>
    <w:rsid w:val="004814F9"/>
    <w:rsid w:val="0048158C"/>
    <w:rsid w:val="004815F0"/>
    <w:rsid w:val="004815FE"/>
    <w:rsid w:val="004818D3"/>
    <w:rsid w:val="004818D7"/>
    <w:rsid w:val="00481A74"/>
    <w:rsid w:val="00481AAC"/>
    <w:rsid w:val="00481D90"/>
    <w:rsid w:val="00481E58"/>
    <w:rsid w:val="0048207D"/>
    <w:rsid w:val="00482240"/>
    <w:rsid w:val="00482269"/>
    <w:rsid w:val="00482378"/>
    <w:rsid w:val="004823CC"/>
    <w:rsid w:val="0048241E"/>
    <w:rsid w:val="004825E5"/>
    <w:rsid w:val="004826F6"/>
    <w:rsid w:val="00482761"/>
    <w:rsid w:val="004827E9"/>
    <w:rsid w:val="004828A6"/>
    <w:rsid w:val="004828FA"/>
    <w:rsid w:val="0048298A"/>
    <w:rsid w:val="00482A5B"/>
    <w:rsid w:val="00482EA6"/>
    <w:rsid w:val="00482FBD"/>
    <w:rsid w:val="00483105"/>
    <w:rsid w:val="004832CE"/>
    <w:rsid w:val="00483308"/>
    <w:rsid w:val="00483407"/>
    <w:rsid w:val="004834F3"/>
    <w:rsid w:val="00483519"/>
    <w:rsid w:val="0048351A"/>
    <w:rsid w:val="004835BF"/>
    <w:rsid w:val="00483650"/>
    <w:rsid w:val="00483846"/>
    <w:rsid w:val="00483988"/>
    <w:rsid w:val="00483A1E"/>
    <w:rsid w:val="00483AE3"/>
    <w:rsid w:val="00483B3A"/>
    <w:rsid w:val="00483C44"/>
    <w:rsid w:val="00483D05"/>
    <w:rsid w:val="00483EC9"/>
    <w:rsid w:val="00483F35"/>
    <w:rsid w:val="00483FB7"/>
    <w:rsid w:val="00483FBD"/>
    <w:rsid w:val="00484294"/>
    <w:rsid w:val="004842D6"/>
    <w:rsid w:val="0048434A"/>
    <w:rsid w:val="004843AE"/>
    <w:rsid w:val="00484416"/>
    <w:rsid w:val="004844BD"/>
    <w:rsid w:val="00484527"/>
    <w:rsid w:val="00484547"/>
    <w:rsid w:val="004845AC"/>
    <w:rsid w:val="00484630"/>
    <w:rsid w:val="00484709"/>
    <w:rsid w:val="00484795"/>
    <w:rsid w:val="004847E7"/>
    <w:rsid w:val="00484811"/>
    <w:rsid w:val="00484839"/>
    <w:rsid w:val="00484A7C"/>
    <w:rsid w:val="00484B85"/>
    <w:rsid w:val="00484CD5"/>
    <w:rsid w:val="00484D41"/>
    <w:rsid w:val="00484D7E"/>
    <w:rsid w:val="00484DA9"/>
    <w:rsid w:val="00484F53"/>
    <w:rsid w:val="00485033"/>
    <w:rsid w:val="00485052"/>
    <w:rsid w:val="0048515B"/>
    <w:rsid w:val="0048522C"/>
    <w:rsid w:val="0048527A"/>
    <w:rsid w:val="004852B2"/>
    <w:rsid w:val="00485392"/>
    <w:rsid w:val="004853F5"/>
    <w:rsid w:val="0048557F"/>
    <w:rsid w:val="0048559C"/>
    <w:rsid w:val="00485720"/>
    <w:rsid w:val="0048577D"/>
    <w:rsid w:val="004857CA"/>
    <w:rsid w:val="0048585A"/>
    <w:rsid w:val="004859C8"/>
    <w:rsid w:val="00485BC8"/>
    <w:rsid w:val="00485C1D"/>
    <w:rsid w:val="00485D8F"/>
    <w:rsid w:val="00485DEA"/>
    <w:rsid w:val="00485E17"/>
    <w:rsid w:val="00485E44"/>
    <w:rsid w:val="00486206"/>
    <w:rsid w:val="004862BA"/>
    <w:rsid w:val="004862BE"/>
    <w:rsid w:val="00486359"/>
    <w:rsid w:val="00486597"/>
    <w:rsid w:val="00486689"/>
    <w:rsid w:val="00486837"/>
    <w:rsid w:val="0048698C"/>
    <w:rsid w:val="00486A2A"/>
    <w:rsid w:val="00486BDB"/>
    <w:rsid w:val="00486BFB"/>
    <w:rsid w:val="00486C4E"/>
    <w:rsid w:val="00486D10"/>
    <w:rsid w:val="00487128"/>
    <w:rsid w:val="00487191"/>
    <w:rsid w:val="00487202"/>
    <w:rsid w:val="00487606"/>
    <w:rsid w:val="0048767F"/>
    <w:rsid w:val="004877CA"/>
    <w:rsid w:val="0048788F"/>
    <w:rsid w:val="004878FB"/>
    <w:rsid w:val="00487A7D"/>
    <w:rsid w:val="00487AB5"/>
    <w:rsid w:val="00487CCC"/>
    <w:rsid w:val="00487F81"/>
    <w:rsid w:val="004900FC"/>
    <w:rsid w:val="00490257"/>
    <w:rsid w:val="004904ED"/>
    <w:rsid w:val="00490904"/>
    <w:rsid w:val="00490B4B"/>
    <w:rsid w:val="00490B77"/>
    <w:rsid w:val="00490B8B"/>
    <w:rsid w:val="00490D2B"/>
    <w:rsid w:val="00490D67"/>
    <w:rsid w:val="00490E5D"/>
    <w:rsid w:val="00491060"/>
    <w:rsid w:val="004910B7"/>
    <w:rsid w:val="004913D3"/>
    <w:rsid w:val="0049142B"/>
    <w:rsid w:val="00491789"/>
    <w:rsid w:val="004917DA"/>
    <w:rsid w:val="004917E5"/>
    <w:rsid w:val="004919AF"/>
    <w:rsid w:val="004919DA"/>
    <w:rsid w:val="004919F9"/>
    <w:rsid w:val="00491C61"/>
    <w:rsid w:val="00491DB8"/>
    <w:rsid w:val="00491E80"/>
    <w:rsid w:val="0049204A"/>
    <w:rsid w:val="0049204B"/>
    <w:rsid w:val="00492074"/>
    <w:rsid w:val="004921B3"/>
    <w:rsid w:val="00492298"/>
    <w:rsid w:val="0049230E"/>
    <w:rsid w:val="00492320"/>
    <w:rsid w:val="00492386"/>
    <w:rsid w:val="00492392"/>
    <w:rsid w:val="00492452"/>
    <w:rsid w:val="004924CD"/>
    <w:rsid w:val="00492742"/>
    <w:rsid w:val="0049292C"/>
    <w:rsid w:val="00492948"/>
    <w:rsid w:val="00492974"/>
    <w:rsid w:val="00492A44"/>
    <w:rsid w:val="00492A46"/>
    <w:rsid w:val="00492A67"/>
    <w:rsid w:val="00492B45"/>
    <w:rsid w:val="00492B53"/>
    <w:rsid w:val="00492BB2"/>
    <w:rsid w:val="00492BD0"/>
    <w:rsid w:val="00492BDC"/>
    <w:rsid w:val="00492D31"/>
    <w:rsid w:val="00492D91"/>
    <w:rsid w:val="00492E17"/>
    <w:rsid w:val="0049332B"/>
    <w:rsid w:val="00493355"/>
    <w:rsid w:val="00493365"/>
    <w:rsid w:val="0049337D"/>
    <w:rsid w:val="00493405"/>
    <w:rsid w:val="00493507"/>
    <w:rsid w:val="0049360E"/>
    <w:rsid w:val="0049376A"/>
    <w:rsid w:val="004937FC"/>
    <w:rsid w:val="00493A9A"/>
    <w:rsid w:val="00493DA6"/>
    <w:rsid w:val="00493F04"/>
    <w:rsid w:val="00493FE9"/>
    <w:rsid w:val="00493FF4"/>
    <w:rsid w:val="0049405B"/>
    <w:rsid w:val="0049416F"/>
    <w:rsid w:val="0049426B"/>
    <w:rsid w:val="004942BE"/>
    <w:rsid w:val="004942DE"/>
    <w:rsid w:val="00494351"/>
    <w:rsid w:val="00494409"/>
    <w:rsid w:val="00494435"/>
    <w:rsid w:val="004944D3"/>
    <w:rsid w:val="00494595"/>
    <w:rsid w:val="0049463F"/>
    <w:rsid w:val="004947B5"/>
    <w:rsid w:val="004947C9"/>
    <w:rsid w:val="00494A3C"/>
    <w:rsid w:val="00494A51"/>
    <w:rsid w:val="00494AC5"/>
    <w:rsid w:val="00494BC8"/>
    <w:rsid w:val="00494BF4"/>
    <w:rsid w:val="00494C30"/>
    <w:rsid w:val="00494CD8"/>
    <w:rsid w:val="00494D1C"/>
    <w:rsid w:val="00494E7F"/>
    <w:rsid w:val="00494F2E"/>
    <w:rsid w:val="00495226"/>
    <w:rsid w:val="00495497"/>
    <w:rsid w:val="004955A7"/>
    <w:rsid w:val="00495653"/>
    <w:rsid w:val="004956C6"/>
    <w:rsid w:val="004956E2"/>
    <w:rsid w:val="004959C2"/>
    <w:rsid w:val="00495D51"/>
    <w:rsid w:val="00495FF2"/>
    <w:rsid w:val="0049619B"/>
    <w:rsid w:val="00496379"/>
    <w:rsid w:val="00496388"/>
    <w:rsid w:val="004964FA"/>
    <w:rsid w:val="00496617"/>
    <w:rsid w:val="00496740"/>
    <w:rsid w:val="004968D9"/>
    <w:rsid w:val="0049694B"/>
    <w:rsid w:val="00496B50"/>
    <w:rsid w:val="00496D53"/>
    <w:rsid w:val="00496E14"/>
    <w:rsid w:val="00496E1E"/>
    <w:rsid w:val="00497055"/>
    <w:rsid w:val="00497234"/>
    <w:rsid w:val="00497238"/>
    <w:rsid w:val="0049723A"/>
    <w:rsid w:val="0049731A"/>
    <w:rsid w:val="00497365"/>
    <w:rsid w:val="00497415"/>
    <w:rsid w:val="004975E2"/>
    <w:rsid w:val="0049761D"/>
    <w:rsid w:val="004978B7"/>
    <w:rsid w:val="0049799A"/>
    <w:rsid w:val="004979A3"/>
    <w:rsid w:val="00497A4C"/>
    <w:rsid w:val="00497AEA"/>
    <w:rsid w:val="00497BC5"/>
    <w:rsid w:val="00497BED"/>
    <w:rsid w:val="00497C04"/>
    <w:rsid w:val="00497C88"/>
    <w:rsid w:val="00497CE7"/>
    <w:rsid w:val="00497D44"/>
    <w:rsid w:val="00497D6C"/>
    <w:rsid w:val="004A0004"/>
    <w:rsid w:val="004A02E9"/>
    <w:rsid w:val="004A04B5"/>
    <w:rsid w:val="004A068B"/>
    <w:rsid w:val="004A0719"/>
    <w:rsid w:val="004A093E"/>
    <w:rsid w:val="004A0CFD"/>
    <w:rsid w:val="004A0D56"/>
    <w:rsid w:val="004A0DDD"/>
    <w:rsid w:val="004A0E4C"/>
    <w:rsid w:val="004A0E9D"/>
    <w:rsid w:val="004A1110"/>
    <w:rsid w:val="004A11C7"/>
    <w:rsid w:val="004A1291"/>
    <w:rsid w:val="004A13EF"/>
    <w:rsid w:val="004A15E5"/>
    <w:rsid w:val="004A16C8"/>
    <w:rsid w:val="004A1704"/>
    <w:rsid w:val="004A1832"/>
    <w:rsid w:val="004A1835"/>
    <w:rsid w:val="004A1968"/>
    <w:rsid w:val="004A1A1F"/>
    <w:rsid w:val="004A1A7C"/>
    <w:rsid w:val="004A1AC0"/>
    <w:rsid w:val="004A1B33"/>
    <w:rsid w:val="004A1B7D"/>
    <w:rsid w:val="004A1C3D"/>
    <w:rsid w:val="004A1DD4"/>
    <w:rsid w:val="004A200A"/>
    <w:rsid w:val="004A209D"/>
    <w:rsid w:val="004A20FD"/>
    <w:rsid w:val="004A22E7"/>
    <w:rsid w:val="004A234E"/>
    <w:rsid w:val="004A263A"/>
    <w:rsid w:val="004A268D"/>
    <w:rsid w:val="004A2741"/>
    <w:rsid w:val="004A2768"/>
    <w:rsid w:val="004A276A"/>
    <w:rsid w:val="004A2795"/>
    <w:rsid w:val="004A27D1"/>
    <w:rsid w:val="004A283F"/>
    <w:rsid w:val="004A2B8C"/>
    <w:rsid w:val="004A2BF5"/>
    <w:rsid w:val="004A2C49"/>
    <w:rsid w:val="004A2D64"/>
    <w:rsid w:val="004A2DD9"/>
    <w:rsid w:val="004A2DF9"/>
    <w:rsid w:val="004A2EE3"/>
    <w:rsid w:val="004A2F0F"/>
    <w:rsid w:val="004A2F92"/>
    <w:rsid w:val="004A2F97"/>
    <w:rsid w:val="004A3085"/>
    <w:rsid w:val="004A30BE"/>
    <w:rsid w:val="004A30C4"/>
    <w:rsid w:val="004A30F4"/>
    <w:rsid w:val="004A3198"/>
    <w:rsid w:val="004A3241"/>
    <w:rsid w:val="004A329C"/>
    <w:rsid w:val="004A333E"/>
    <w:rsid w:val="004A337F"/>
    <w:rsid w:val="004A3398"/>
    <w:rsid w:val="004A3426"/>
    <w:rsid w:val="004A3437"/>
    <w:rsid w:val="004A3490"/>
    <w:rsid w:val="004A34D2"/>
    <w:rsid w:val="004A353B"/>
    <w:rsid w:val="004A381E"/>
    <w:rsid w:val="004A38F5"/>
    <w:rsid w:val="004A39B9"/>
    <w:rsid w:val="004A3AC7"/>
    <w:rsid w:val="004A3B72"/>
    <w:rsid w:val="004A3D37"/>
    <w:rsid w:val="004A3FA3"/>
    <w:rsid w:val="004A406A"/>
    <w:rsid w:val="004A4088"/>
    <w:rsid w:val="004A41D3"/>
    <w:rsid w:val="004A41FD"/>
    <w:rsid w:val="004A429B"/>
    <w:rsid w:val="004A4307"/>
    <w:rsid w:val="004A4378"/>
    <w:rsid w:val="004A44CC"/>
    <w:rsid w:val="004A4565"/>
    <w:rsid w:val="004A4612"/>
    <w:rsid w:val="004A4662"/>
    <w:rsid w:val="004A4700"/>
    <w:rsid w:val="004A470A"/>
    <w:rsid w:val="004A477B"/>
    <w:rsid w:val="004A490E"/>
    <w:rsid w:val="004A497C"/>
    <w:rsid w:val="004A4AE9"/>
    <w:rsid w:val="004A4B06"/>
    <w:rsid w:val="004A4B5E"/>
    <w:rsid w:val="004A4BB9"/>
    <w:rsid w:val="004A4C46"/>
    <w:rsid w:val="004A4EBE"/>
    <w:rsid w:val="004A4EF5"/>
    <w:rsid w:val="004A4FF2"/>
    <w:rsid w:val="004A5281"/>
    <w:rsid w:val="004A53CA"/>
    <w:rsid w:val="004A5501"/>
    <w:rsid w:val="004A5599"/>
    <w:rsid w:val="004A5781"/>
    <w:rsid w:val="004A5888"/>
    <w:rsid w:val="004A5B25"/>
    <w:rsid w:val="004A5BFD"/>
    <w:rsid w:val="004A5C6C"/>
    <w:rsid w:val="004A5CFE"/>
    <w:rsid w:val="004A5D17"/>
    <w:rsid w:val="004A5D2E"/>
    <w:rsid w:val="004A5DE9"/>
    <w:rsid w:val="004A6104"/>
    <w:rsid w:val="004A6362"/>
    <w:rsid w:val="004A637F"/>
    <w:rsid w:val="004A64BE"/>
    <w:rsid w:val="004A65A1"/>
    <w:rsid w:val="004A65CA"/>
    <w:rsid w:val="004A6615"/>
    <w:rsid w:val="004A6619"/>
    <w:rsid w:val="004A66B7"/>
    <w:rsid w:val="004A684D"/>
    <w:rsid w:val="004A69B8"/>
    <w:rsid w:val="004A6B64"/>
    <w:rsid w:val="004A6C0B"/>
    <w:rsid w:val="004A6C69"/>
    <w:rsid w:val="004A6C70"/>
    <w:rsid w:val="004A6D0D"/>
    <w:rsid w:val="004A6E04"/>
    <w:rsid w:val="004A6EE5"/>
    <w:rsid w:val="004A6F7B"/>
    <w:rsid w:val="004A6FD0"/>
    <w:rsid w:val="004A6FE7"/>
    <w:rsid w:val="004A7023"/>
    <w:rsid w:val="004A708E"/>
    <w:rsid w:val="004A70E6"/>
    <w:rsid w:val="004A7224"/>
    <w:rsid w:val="004A7942"/>
    <w:rsid w:val="004A7AE7"/>
    <w:rsid w:val="004A7B49"/>
    <w:rsid w:val="004A7C61"/>
    <w:rsid w:val="004A7CBA"/>
    <w:rsid w:val="004A7D37"/>
    <w:rsid w:val="004A7E34"/>
    <w:rsid w:val="004A7E80"/>
    <w:rsid w:val="004B0061"/>
    <w:rsid w:val="004B017E"/>
    <w:rsid w:val="004B0317"/>
    <w:rsid w:val="004B04F6"/>
    <w:rsid w:val="004B05EB"/>
    <w:rsid w:val="004B07B8"/>
    <w:rsid w:val="004B0850"/>
    <w:rsid w:val="004B0881"/>
    <w:rsid w:val="004B0919"/>
    <w:rsid w:val="004B0B89"/>
    <w:rsid w:val="004B0BA7"/>
    <w:rsid w:val="004B0BED"/>
    <w:rsid w:val="004B0C5D"/>
    <w:rsid w:val="004B0D81"/>
    <w:rsid w:val="004B0EBC"/>
    <w:rsid w:val="004B0ED8"/>
    <w:rsid w:val="004B13EF"/>
    <w:rsid w:val="004B145C"/>
    <w:rsid w:val="004B1535"/>
    <w:rsid w:val="004B1548"/>
    <w:rsid w:val="004B159D"/>
    <w:rsid w:val="004B1648"/>
    <w:rsid w:val="004B1705"/>
    <w:rsid w:val="004B17CD"/>
    <w:rsid w:val="004B180B"/>
    <w:rsid w:val="004B1845"/>
    <w:rsid w:val="004B1920"/>
    <w:rsid w:val="004B1AEC"/>
    <w:rsid w:val="004B1B25"/>
    <w:rsid w:val="004B1B7E"/>
    <w:rsid w:val="004B1D48"/>
    <w:rsid w:val="004B20BC"/>
    <w:rsid w:val="004B222E"/>
    <w:rsid w:val="004B2261"/>
    <w:rsid w:val="004B227C"/>
    <w:rsid w:val="004B2301"/>
    <w:rsid w:val="004B2543"/>
    <w:rsid w:val="004B25C7"/>
    <w:rsid w:val="004B2889"/>
    <w:rsid w:val="004B28EA"/>
    <w:rsid w:val="004B2967"/>
    <w:rsid w:val="004B2BEA"/>
    <w:rsid w:val="004B2D1E"/>
    <w:rsid w:val="004B2FAA"/>
    <w:rsid w:val="004B2FFD"/>
    <w:rsid w:val="004B3102"/>
    <w:rsid w:val="004B3184"/>
    <w:rsid w:val="004B328B"/>
    <w:rsid w:val="004B32C1"/>
    <w:rsid w:val="004B32F0"/>
    <w:rsid w:val="004B3355"/>
    <w:rsid w:val="004B3372"/>
    <w:rsid w:val="004B337B"/>
    <w:rsid w:val="004B33D1"/>
    <w:rsid w:val="004B33E4"/>
    <w:rsid w:val="004B3450"/>
    <w:rsid w:val="004B345A"/>
    <w:rsid w:val="004B3643"/>
    <w:rsid w:val="004B36EA"/>
    <w:rsid w:val="004B3817"/>
    <w:rsid w:val="004B38EB"/>
    <w:rsid w:val="004B393F"/>
    <w:rsid w:val="004B3D43"/>
    <w:rsid w:val="004B3E88"/>
    <w:rsid w:val="004B4186"/>
    <w:rsid w:val="004B41B4"/>
    <w:rsid w:val="004B41FF"/>
    <w:rsid w:val="004B4345"/>
    <w:rsid w:val="004B4411"/>
    <w:rsid w:val="004B4425"/>
    <w:rsid w:val="004B44A1"/>
    <w:rsid w:val="004B45C4"/>
    <w:rsid w:val="004B48BC"/>
    <w:rsid w:val="004B48EA"/>
    <w:rsid w:val="004B48F2"/>
    <w:rsid w:val="004B4A88"/>
    <w:rsid w:val="004B4A8C"/>
    <w:rsid w:val="004B4C01"/>
    <w:rsid w:val="004B4C86"/>
    <w:rsid w:val="004B4E13"/>
    <w:rsid w:val="004B4F3D"/>
    <w:rsid w:val="004B5041"/>
    <w:rsid w:val="004B504E"/>
    <w:rsid w:val="004B509B"/>
    <w:rsid w:val="004B520F"/>
    <w:rsid w:val="004B5233"/>
    <w:rsid w:val="004B53EF"/>
    <w:rsid w:val="004B5416"/>
    <w:rsid w:val="004B5565"/>
    <w:rsid w:val="004B5579"/>
    <w:rsid w:val="004B5591"/>
    <w:rsid w:val="004B5621"/>
    <w:rsid w:val="004B565E"/>
    <w:rsid w:val="004B567B"/>
    <w:rsid w:val="004B57D6"/>
    <w:rsid w:val="004B58C7"/>
    <w:rsid w:val="004B58F2"/>
    <w:rsid w:val="004B59CE"/>
    <w:rsid w:val="004B5A4D"/>
    <w:rsid w:val="004B5A90"/>
    <w:rsid w:val="004B5AE6"/>
    <w:rsid w:val="004B5AED"/>
    <w:rsid w:val="004B5B25"/>
    <w:rsid w:val="004B5B39"/>
    <w:rsid w:val="004B5B68"/>
    <w:rsid w:val="004B5BF0"/>
    <w:rsid w:val="004B5D3D"/>
    <w:rsid w:val="004B5DC4"/>
    <w:rsid w:val="004B5FB0"/>
    <w:rsid w:val="004B5FDF"/>
    <w:rsid w:val="004B608D"/>
    <w:rsid w:val="004B61F1"/>
    <w:rsid w:val="004B62D2"/>
    <w:rsid w:val="004B62E4"/>
    <w:rsid w:val="004B6337"/>
    <w:rsid w:val="004B64BA"/>
    <w:rsid w:val="004B65C6"/>
    <w:rsid w:val="004B668B"/>
    <w:rsid w:val="004B67B4"/>
    <w:rsid w:val="004B69A9"/>
    <w:rsid w:val="004B6B57"/>
    <w:rsid w:val="004B6E23"/>
    <w:rsid w:val="004B6F1B"/>
    <w:rsid w:val="004B7089"/>
    <w:rsid w:val="004B70C3"/>
    <w:rsid w:val="004B714B"/>
    <w:rsid w:val="004B71D0"/>
    <w:rsid w:val="004B71E8"/>
    <w:rsid w:val="004B73FE"/>
    <w:rsid w:val="004B7598"/>
    <w:rsid w:val="004B75B1"/>
    <w:rsid w:val="004B7822"/>
    <w:rsid w:val="004B7992"/>
    <w:rsid w:val="004B799E"/>
    <w:rsid w:val="004B7FEA"/>
    <w:rsid w:val="004C0234"/>
    <w:rsid w:val="004C0290"/>
    <w:rsid w:val="004C02A8"/>
    <w:rsid w:val="004C02F6"/>
    <w:rsid w:val="004C0384"/>
    <w:rsid w:val="004C03B2"/>
    <w:rsid w:val="004C0684"/>
    <w:rsid w:val="004C06C1"/>
    <w:rsid w:val="004C0708"/>
    <w:rsid w:val="004C076A"/>
    <w:rsid w:val="004C077D"/>
    <w:rsid w:val="004C0825"/>
    <w:rsid w:val="004C0830"/>
    <w:rsid w:val="004C09EC"/>
    <w:rsid w:val="004C0A1B"/>
    <w:rsid w:val="004C0A4F"/>
    <w:rsid w:val="004C0B76"/>
    <w:rsid w:val="004C0C21"/>
    <w:rsid w:val="004C0C4D"/>
    <w:rsid w:val="004C0CCF"/>
    <w:rsid w:val="004C0D93"/>
    <w:rsid w:val="004C0ED1"/>
    <w:rsid w:val="004C105D"/>
    <w:rsid w:val="004C11B9"/>
    <w:rsid w:val="004C11BF"/>
    <w:rsid w:val="004C12E1"/>
    <w:rsid w:val="004C12FE"/>
    <w:rsid w:val="004C136F"/>
    <w:rsid w:val="004C15AC"/>
    <w:rsid w:val="004C1601"/>
    <w:rsid w:val="004C16D5"/>
    <w:rsid w:val="004C184E"/>
    <w:rsid w:val="004C1874"/>
    <w:rsid w:val="004C1967"/>
    <w:rsid w:val="004C19CC"/>
    <w:rsid w:val="004C1C68"/>
    <w:rsid w:val="004C1C87"/>
    <w:rsid w:val="004C1CD7"/>
    <w:rsid w:val="004C1ED0"/>
    <w:rsid w:val="004C1EF8"/>
    <w:rsid w:val="004C207E"/>
    <w:rsid w:val="004C21C8"/>
    <w:rsid w:val="004C224A"/>
    <w:rsid w:val="004C2263"/>
    <w:rsid w:val="004C22EF"/>
    <w:rsid w:val="004C2436"/>
    <w:rsid w:val="004C26B7"/>
    <w:rsid w:val="004C2736"/>
    <w:rsid w:val="004C28D2"/>
    <w:rsid w:val="004C2981"/>
    <w:rsid w:val="004C2B09"/>
    <w:rsid w:val="004C2B1A"/>
    <w:rsid w:val="004C2BBE"/>
    <w:rsid w:val="004C2BDD"/>
    <w:rsid w:val="004C2BF7"/>
    <w:rsid w:val="004C2C8F"/>
    <w:rsid w:val="004C2EE4"/>
    <w:rsid w:val="004C2F6E"/>
    <w:rsid w:val="004C312A"/>
    <w:rsid w:val="004C324E"/>
    <w:rsid w:val="004C32C3"/>
    <w:rsid w:val="004C3376"/>
    <w:rsid w:val="004C3479"/>
    <w:rsid w:val="004C34EC"/>
    <w:rsid w:val="004C359B"/>
    <w:rsid w:val="004C3621"/>
    <w:rsid w:val="004C374E"/>
    <w:rsid w:val="004C38E7"/>
    <w:rsid w:val="004C392D"/>
    <w:rsid w:val="004C3AF7"/>
    <w:rsid w:val="004C3B4E"/>
    <w:rsid w:val="004C3C25"/>
    <w:rsid w:val="004C3C30"/>
    <w:rsid w:val="004C3C35"/>
    <w:rsid w:val="004C3C5C"/>
    <w:rsid w:val="004C3CDC"/>
    <w:rsid w:val="004C3D3B"/>
    <w:rsid w:val="004C3D50"/>
    <w:rsid w:val="004C3D8C"/>
    <w:rsid w:val="004C3E7F"/>
    <w:rsid w:val="004C3F17"/>
    <w:rsid w:val="004C3FC8"/>
    <w:rsid w:val="004C40D3"/>
    <w:rsid w:val="004C41EA"/>
    <w:rsid w:val="004C42A4"/>
    <w:rsid w:val="004C4371"/>
    <w:rsid w:val="004C440E"/>
    <w:rsid w:val="004C448F"/>
    <w:rsid w:val="004C44AB"/>
    <w:rsid w:val="004C44B5"/>
    <w:rsid w:val="004C4656"/>
    <w:rsid w:val="004C46E2"/>
    <w:rsid w:val="004C480A"/>
    <w:rsid w:val="004C4875"/>
    <w:rsid w:val="004C48CB"/>
    <w:rsid w:val="004C4A11"/>
    <w:rsid w:val="004C4A52"/>
    <w:rsid w:val="004C4C53"/>
    <w:rsid w:val="004C4C77"/>
    <w:rsid w:val="004C4CF6"/>
    <w:rsid w:val="004C4E66"/>
    <w:rsid w:val="004C4F52"/>
    <w:rsid w:val="004C4F64"/>
    <w:rsid w:val="004C4F6D"/>
    <w:rsid w:val="004C4FB1"/>
    <w:rsid w:val="004C5025"/>
    <w:rsid w:val="004C5218"/>
    <w:rsid w:val="004C529B"/>
    <w:rsid w:val="004C53CB"/>
    <w:rsid w:val="004C5426"/>
    <w:rsid w:val="004C55E7"/>
    <w:rsid w:val="004C5631"/>
    <w:rsid w:val="004C5762"/>
    <w:rsid w:val="004C58A5"/>
    <w:rsid w:val="004C5A5A"/>
    <w:rsid w:val="004C5B9D"/>
    <w:rsid w:val="004C5C28"/>
    <w:rsid w:val="004C5C5F"/>
    <w:rsid w:val="004C5C60"/>
    <w:rsid w:val="004C5E8C"/>
    <w:rsid w:val="004C5F32"/>
    <w:rsid w:val="004C6000"/>
    <w:rsid w:val="004C600F"/>
    <w:rsid w:val="004C6030"/>
    <w:rsid w:val="004C606B"/>
    <w:rsid w:val="004C623D"/>
    <w:rsid w:val="004C62FC"/>
    <w:rsid w:val="004C652A"/>
    <w:rsid w:val="004C6807"/>
    <w:rsid w:val="004C68F2"/>
    <w:rsid w:val="004C6AD4"/>
    <w:rsid w:val="004C6AD9"/>
    <w:rsid w:val="004C6B05"/>
    <w:rsid w:val="004C6B98"/>
    <w:rsid w:val="004C6BE3"/>
    <w:rsid w:val="004C6C5F"/>
    <w:rsid w:val="004C6D13"/>
    <w:rsid w:val="004C6D71"/>
    <w:rsid w:val="004C6DB3"/>
    <w:rsid w:val="004C6E4C"/>
    <w:rsid w:val="004C6F15"/>
    <w:rsid w:val="004C6F83"/>
    <w:rsid w:val="004C6FDE"/>
    <w:rsid w:val="004C7064"/>
    <w:rsid w:val="004C711C"/>
    <w:rsid w:val="004C7152"/>
    <w:rsid w:val="004C71FB"/>
    <w:rsid w:val="004C7285"/>
    <w:rsid w:val="004C7293"/>
    <w:rsid w:val="004C72E8"/>
    <w:rsid w:val="004C7433"/>
    <w:rsid w:val="004C758F"/>
    <w:rsid w:val="004C75CB"/>
    <w:rsid w:val="004C761E"/>
    <w:rsid w:val="004C7697"/>
    <w:rsid w:val="004C7786"/>
    <w:rsid w:val="004C784D"/>
    <w:rsid w:val="004C78D5"/>
    <w:rsid w:val="004C79C3"/>
    <w:rsid w:val="004C79D2"/>
    <w:rsid w:val="004C79FC"/>
    <w:rsid w:val="004C7A24"/>
    <w:rsid w:val="004C7B94"/>
    <w:rsid w:val="004C7CC2"/>
    <w:rsid w:val="004C7D50"/>
    <w:rsid w:val="004C7DB4"/>
    <w:rsid w:val="004C7DB8"/>
    <w:rsid w:val="004C7DCB"/>
    <w:rsid w:val="004C7E9E"/>
    <w:rsid w:val="004C7F8F"/>
    <w:rsid w:val="004C7FA0"/>
    <w:rsid w:val="004D01A1"/>
    <w:rsid w:val="004D0435"/>
    <w:rsid w:val="004D0657"/>
    <w:rsid w:val="004D06CA"/>
    <w:rsid w:val="004D07F4"/>
    <w:rsid w:val="004D09D4"/>
    <w:rsid w:val="004D09EA"/>
    <w:rsid w:val="004D0A6D"/>
    <w:rsid w:val="004D0BA1"/>
    <w:rsid w:val="004D0BFC"/>
    <w:rsid w:val="004D0D08"/>
    <w:rsid w:val="004D0D9F"/>
    <w:rsid w:val="004D0E27"/>
    <w:rsid w:val="004D0E2B"/>
    <w:rsid w:val="004D0EB7"/>
    <w:rsid w:val="004D0EC1"/>
    <w:rsid w:val="004D0F0A"/>
    <w:rsid w:val="004D0F57"/>
    <w:rsid w:val="004D100F"/>
    <w:rsid w:val="004D1273"/>
    <w:rsid w:val="004D139D"/>
    <w:rsid w:val="004D1511"/>
    <w:rsid w:val="004D15C5"/>
    <w:rsid w:val="004D173B"/>
    <w:rsid w:val="004D1750"/>
    <w:rsid w:val="004D1835"/>
    <w:rsid w:val="004D1864"/>
    <w:rsid w:val="004D1ABF"/>
    <w:rsid w:val="004D1C3B"/>
    <w:rsid w:val="004D1D9E"/>
    <w:rsid w:val="004D1E54"/>
    <w:rsid w:val="004D1ED2"/>
    <w:rsid w:val="004D1F20"/>
    <w:rsid w:val="004D1F5B"/>
    <w:rsid w:val="004D1F95"/>
    <w:rsid w:val="004D2059"/>
    <w:rsid w:val="004D2071"/>
    <w:rsid w:val="004D20C8"/>
    <w:rsid w:val="004D222D"/>
    <w:rsid w:val="004D227D"/>
    <w:rsid w:val="004D229E"/>
    <w:rsid w:val="004D2714"/>
    <w:rsid w:val="004D278A"/>
    <w:rsid w:val="004D283C"/>
    <w:rsid w:val="004D28D0"/>
    <w:rsid w:val="004D2A38"/>
    <w:rsid w:val="004D2B64"/>
    <w:rsid w:val="004D2C74"/>
    <w:rsid w:val="004D2D3C"/>
    <w:rsid w:val="004D2E31"/>
    <w:rsid w:val="004D2E7D"/>
    <w:rsid w:val="004D2EF5"/>
    <w:rsid w:val="004D2FB8"/>
    <w:rsid w:val="004D301E"/>
    <w:rsid w:val="004D31B8"/>
    <w:rsid w:val="004D3271"/>
    <w:rsid w:val="004D32C3"/>
    <w:rsid w:val="004D34BE"/>
    <w:rsid w:val="004D34EC"/>
    <w:rsid w:val="004D357F"/>
    <w:rsid w:val="004D359C"/>
    <w:rsid w:val="004D35B1"/>
    <w:rsid w:val="004D364F"/>
    <w:rsid w:val="004D36BE"/>
    <w:rsid w:val="004D3858"/>
    <w:rsid w:val="004D3942"/>
    <w:rsid w:val="004D39FA"/>
    <w:rsid w:val="004D3A2E"/>
    <w:rsid w:val="004D3A8C"/>
    <w:rsid w:val="004D3A91"/>
    <w:rsid w:val="004D3C91"/>
    <w:rsid w:val="004D3CDE"/>
    <w:rsid w:val="004D3F22"/>
    <w:rsid w:val="004D3F85"/>
    <w:rsid w:val="004D402E"/>
    <w:rsid w:val="004D436B"/>
    <w:rsid w:val="004D43FA"/>
    <w:rsid w:val="004D4466"/>
    <w:rsid w:val="004D458D"/>
    <w:rsid w:val="004D45C3"/>
    <w:rsid w:val="004D4600"/>
    <w:rsid w:val="004D46D7"/>
    <w:rsid w:val="004D4772"/>
    <w:rsid w:val="004D48A8"/>
    <w:rsid w:val="004D4946"/>
    <w:rsid w:val="004D4989"/>
    <w:rsid w:val="004D4996"/>
    <w:rsid w:val="004D4A35"/>
    <w:rsid w:val="004D4B81"/>
    <w:rsid w:val="004D4CFA"/>
    <w:rsid w:val="004D4D1C"/>
    <w:rsid w:val="004D4D69"/>
    <w:rsid w:val="004D4E3C"/>
    <w:rsid w:val="004D4EFA"/>
    <w:rsid w:val="004D5008"/>
    <w:rsid w:val="004D5072"/>
    <w:rsid w:val="004D5104"/>
    <w:rsid w:val="004D51D3"/>
    <w:rsid w:val="004D5450"/>
    <w:rsid w:val="004D556E"/>
    <w:rsid w:val="004D5732"/>
    <w:rsid w:val="004D5805"/>
    <w:rsid w:val="004D5840"/>
    <w:rsid w:val="004D5841"/>
    <w:rsid w:val="004D5AC9"/>
    <w:rsid w:val="004D5DD1"/>
    <w:rsid w:val="004D5E1D"/>
    <w:rsid w:val="004D5E2F"/>
    <w:rsid w:val="004D5EA4"/>
    <w:rsid w:val="004D5F12"/>
    <w:rsid w:val="004D5F7D"/>
    <w:rsid w:val="004D6027"/>
    <w:rsid w:val="004D60C0"/>
    <w:rsid w:val="004D610A"/>
    <w:rsid w:val="004D61C3"/>
    <w:rsid w:val="004D62AD"/>
    <w:rsid w:val="004D63C1"/>
    <w:rsid w:val="004D63E2"/>
    <w:rsid w:val="004D6531"/>
    <w:rsid w:val="004D65F5"/>
    <w:rsid w:val="004D670C"/>
    <w:rsid w:val="004D67BC"/>
    <w:rsid w:val="004D6882"/>
    <w:rsid w:val="004D6A74"/>
    <w:rsid w:val="004D6ADC"/>
    <w:rsid w:val="004D6B3A"/>
    <w:rsid w:val="004D6C51"/>
    <w:rsid w:val="004D6D4C"/>
    <w:rsid w:val="004D6D8F"/>
    <w:rsid w:val="004D6F0A"/>
    <w:rsid w:val="004D6F96"/>
    <w:rsid w:val="004D7118"/>
    <w:rsid w:val="004D71EC"/>
    <w:rsid w:val="004D7331"/>
    <w:rsid w:val="004D74E1"/>
    <w:rsid w:val="004D762D"/>
    <w:rsid w:val="004D763E"/>
    <w:rsid w:val="004D7652"/>
    <w:rsid w:val="004D7672"/>
    <w:rsid w:val="004D76CE"/>
    <w:rsid w:val="004D7815"/>
    <w:rsid w:val="004D7852"/>
    <w:rsid w:val="004D792A"/>
    <w:rsid w:val="004D79C0"/>
    <w:rsid w:val="004D7A0D"/>
    <w:rsid w:val="004D7AAF"/>
    <w:rsid w:val="004D7AC5"/>
    <w:rsid w:val="004D7AEA"/>
    <w:rsid w:val="004D7B4F"/>
    <w:rsid w:val="004D7B52"/>
    <w:rsid w:val="004D7BFF"/>
    <w:rsid w:val="004D7F71"/>
    <w:rsid w:val="004D7FA8"/>
    <w:rsid w:val="004E011C"/>
    <w:rsid w:val="004E014D"/>
    <w:rsid w:val="004E0226"/>
    <w:rsid w:val="004E02B2"/>
    <w:rsid w:val="004E03AF"/>
    <w:rsid w:val="004E0938"/>
    <w:rsid w:val="004E098B"/>
    <w:rsid w:val="004E0B18"/>
    <w:rsid w:val="004E0CC6"/>
    <w:rsid w:val="004E0D34"/>
    <w:rsid w:val="004E0DA2"/>
    <w:rsid w:val="004E0ED3"/>
    <w:rsid w:val="004E0FED"/>
    <w:rsid w:val="004E101D"/>
    <w:rsid w:val="004E10AC"/>
    <w:rsid w:val="004E1107"/>
    <w:rsid w:val="004E11CA"/>
    <w:rsid w:val="004E1260"/>
    <w:rsid w:val="004E12CB"/>
    <w:rsid w:val="004E164B"/>
    <w:rsid w:val="004E166E"/>
    <w:rsid w:val="004E18C9"/>
    <w:rsid w:val="004E18F5"/>
    <w:rsid w:val="004E1A6F"/>
    <w:rsid w:val="004E1B72"/>
    <w:rsid w:val="004E1CCF"/>
    <w:rsid w:val="004E1CF6"/>
    <w:rsid w:val="004E1E2C"/>
    <w:rsid w:val="004E1E31"/>
    <w:rsid w:val="004E1EC3"/>
    <w:rsid w:val="004E1EFE"/>
    <w:rsid w:val="004E1F54"/>
    <w:rsid w:val="004E20DA"/>
    <w:rsid w:val="004E227B"/>
    <w:rsid w:val="004E238E"/>
    <w:rsid w:val="004E24C0"/>
    <w:rsid w:val="004E24D5"/>
    <w:rsid w:val="004E25C4"/>
    <w:rsid w:val="004E25F4"/>
    <w:rsid w:val="004E261E"/>
    <w:rsid w:val="004E26FB"/>
    <w:rsid w:val="004E2760"/>
    <w:rsid w:val="004E27E7"/>
    <w:rsid w:val="004E2809"/>
    <w:rsid w:val="004E292F"/>
    <w:rsid w:val="004E296C"/>
    <w:rsid w:val="004E29C4"/>
    <w:rsid w:val="004E2AA2"/>
    <w:rsid w:val="004E2AE0"/>
    <w:rsid w:val="004E2AFA"/>
    <w:rsid w:val="004E2B31"/>
    <w:rsid w:val="004E2B5E"/>
    <w:rsid w:val="004E2BBE"/>
    <w:rsid w:val="004E2C6F"/>
    <w:rsid w:val="004E2D51"/>
    <w:rsid w:val="004E2E59"/>
    <w:rsid w:val="004E2E88"/>
    <w:rsid w:val="004E2F81"/>
    <w:rsid w:val="004E2FC2"/>
    <w:rsid w:val="004E3010"/>
    <w:rsid w:val="004E32EC"/>
    <w:rsid w:val="004E33B1"/>
    <w:rsid w:val="004E33B5"/>
    <w:rsid w:val="004E33BC"/>
    <w:rsid w:val="004E33FC"/>
    <w:rsid w:val="004E34A6"/>
    <w:rsid w:val="004E36F4"/>
    <w:rsid w:val="004E3707"/>
    <w:rsid w:val="004E372F"/>
    <w:rsid w:val="004E377A"/>
    <w:rsid w:val="004E3862"/>
    <w:rsid w:val="004E399F"/>
    <w:rsid w:val="004E3A1D"/>
    <w:rsid w:val="004E3AB9"/>
    <w:rsid w:val="004E3ACD"/>
    <w:rsid w:val="004E3AFD"/>
    <w:rsid w:val="004E3BC8"/>
    <w:rsid w:val="004E3CEC"/>
    <w:rsid w:val="004E3CF9"/>
    <w:rsid w:val="004E3DFE"/>
    <w:rsid w:val="004E3E07"/>
    <w:rsid w:val="004E3E23"/>
    <w:rsid w:val="004E3E60"/>
    <w:rsid w:val="004E3FD2"/>
    <w:rsid w:val="004E4027"/>
    <w:rsid w:val="004E40AB"/>
    <w:rsid w:val="004E4130"/>
    <w:rsid w:val="004E43A9"/>
    <w:rsid w:val="004E43AE"/>
    <w:rsid w:val="004E4600"/>
    <w:rsid w:val="004E4698"/>
    <w:rsid w:val="004E49C0"/>
    <w:rsid w:val="004E4A92"/>
    <w:rsid w:val="004E4CFD"/>
    <w:rsid w:val="004E4DB1"/>
    <w:rsid w:val="004E4E29"/>
    <w:rsid w:val="004E4EEE"/>
    <w:rsid w:val="004E4F34"/>
    <w:rsid w:val="004E5047"/>
    <w:rsid w:val="004E50A0"/>
    <w:rsid w:val="004E5285"/>
    <w:rsid w:val="004E52A7"/>
    <w:rsid w:val="004E52B4"/>
    <w:rsid w:val="004E5379"/>
    <w:rsid w:val="004E53B9"/>
    <w:rsid w:val="004E5404"/>
    <w:rsid w:val="004E563B"/>
    <w:rsid w:val="004E575A"/>
    <w:rsid w:val="004E5820"/>
    <w:rsid w:val="004E59E4"/>
    <w:rsid w:val="004E5D27"/>
    <w:rsid w:val="004E5EB1"/>
    <w:rsid w:val="004E5FD2"/>
    <w:rsid w:val="004E5FEB"/>
    <w:rsid w:val="004E6096"/>
    <w:rsid w:val="004E611F"/>
    <w:rsid w:val="004E617C"/>
    <w:rsid w:val="004E632E"/>
    <w:rsid w:val="004E6484"/>
    <w:rsid w:val="004E65F6"/>
    <w:rsid w:val="004E6680"/>
    <w:rsid w:val="004E66DD"/>
    <w:rsid w:val="004E671C"/>
    <w:rsid w:val="004E672C"/>
    <w:rsid w:val="004E67EA"/>
    <w:rsid w:val="004E68B6"/>
    <w:rsid w:val="004E68EC"/>
    <w:rsid w:val="004E6962"/>
    <w:rsid w:val="004E6D10"/>
    <w:rsid w:val="004E6D87"/>
    <w:rsid w:val="004E6E19"/>
    <w:rsid w:val="004E6EEA"/>
    <w:rsid w:val="004E6F93"/>
    <w:rsid w:val="004E7198"/>
    <w:rsid w:val="004E71D1"/>
    <w:rsid w:val="004E720E"/>
    <w:rsid w:val="004E7290"/>
    <w:rsid w:val="004E72B5"/>
    <w:rsid w:val="004E739F"/>
    <w:rsid w:val="004E740B"/>
    <w:rsid w:val="004E74B8"/>
    <w:rsid w:val="004E7596"/>
    <w:rsid w:val="004E75E2"/>
    <w:rsid w:val="004E778F"/>
    <w:rsid w:val="004E7986"/>
    <w:rsid w:val="004E79F2"/>
    <w:rsid w:val="004E7A26"/>
    <w:rsid w:val="004E7A93"/>
    <w:rsid w:val="004E7BDA"/>
    <w:rsid w:val="004F0050"/>
    <w:rsid w:val="004F00BD"/>
    <w:rsid w:val="004F0185"/>
    <w:rsid w:val="004F028C"/>
    <w:rsid w:val="004F0325"/>
    <w:rsid w:val="004F038C"/>
    <w:rsid w:val="004F0485"/>
    <w:rsid w:val="004F052E"/>
    <w:rsid w:val="004F0626"/>
    <w:rsid w:val="004F0673"/>
    <w:rsid w:val="004F0680"/>
    <w:rsid w:val="004F06BD"/>
    <w:rsid w:val="004F0807"/>
    <w:rsid w:val="004F080E"/>
    <w:rsid w:val="004F0B99"/>
    <w:rsid w:val="004F0DEB"/>
    <w:rsid w:val="004F0ED7"/>
    <w:rsid w:val="004F0EE4"/>
    <w:rsid w:val="004F0EE8"/>
    <w:rsid w:val="004F0FE9"/>
    <w:rsid w:val="004F1191"/>
    <w:rsid w:val="004F1410"/>
    <w:rsid w:val="004F14E6"/>
    <w:rsid w:val="004F1649"/>
    <w:rsid w:val="004F17EA"/>
    <w:rsid w:val="004F188B"/>
    <w:rsid w:val="004F190B"/>
    <w:rsid w:val="004F1A2C"/>
    <w:rsid w:val="004F1C15"/>
    <w:rsid w:val="004F1C47"/>
    <w:rsid w:val="004F1D25"/>
    <w:rsid w:val="004F1D3A"/>
    <w:rsid w:val="004F2003"/>
    <w:rsid w:val="004F2095"/>
    <w:rsid w:val="004F2130"/>
    <w:rsid w:val="004F21D9"/>
    <w:rsid w:val="004F2248"/>
    <w:rsid w:val="004F22B8"/>
    <w:rsid w:val="004F237D"/>
    <w:rsid w:val="004F252B"/>
    <w:rsid w:val="004F26AF"/>
    <w:rsid w:val="004F2714"/>
    <w:rsid w:val="004F2721"/>
    <w:rsid w:val="004F278E"/>
    <w:rsid w:val="004F29A6"/>
    <w:rsid w:val="004F2A51"/>
    <w:rsid w:val="004F2B39"/>
    <w:rsid w:val="004F2B91"/>
    <w:rsid w:val="004F2DBA"/>
    <w:rsid w:val="004F2E8A"/>
    <w:rsid w:val="004F2EE8"/>
    <w:rsid w:val="004F301A"/>
    <w:rsid w:val="004F3059"/>
    <w:rsid w:val="004F3085"/>
    <w:rsid w:val="004F3106"/>
    <w:rsid w:val="004F3207"/>
    <w:rsid w:val="004F324A"/>
    <w:rsid w:val="004F3256"/>
    <w:rsid w:val="004F329E"/>
    <w:rsid w:val="004F33B9"/>
    <w:rsid w:val="004F358C"/>
    <w:rsid w:val="004F3621"/>
    <w:rsid w:val="004F36D0"/>
    <w:rsid w:val="004F379D"/>
    <w:rsid w:val="004F37A9"/>
    <w:rsid w:val="004F37FF"/>
    <w:rsid w:val="004F387A"/>
    <w:rsid w:val="004F3AAE"/>
    <w:rsid w:val="004F3AFE"/>
    <w:rsid w:val="004F3B17"/>
    <w:rsid w:val="004F3CB7"/>
    <w:rsid w:val="004F3D54"/>
    <w:rsid w:val="004F3DBC"/>
    <w:rsid w:val="004F3E05"/>
    <w:rsid w:val="004F4003"/>
    <w:rsid w:val="004F4098"/>
    <w:rsid w:val="004F40F7"/>
    <w:rsid w:val="004F4166"/>
    <w:rsid w:val="004F4271"/>
    <w:rsid w:val="004F436D"/>
    <w:rsid w:val="004F47E8"/>
    <w:rsid w:val="004F47F5"/>
    <w:rsid w:val="004F47FF"/>
    <w:rsid w:val="004F48D5"/>
    <w:rsid w:val="004F48E0"/>
    <w:rsid w:val="004F49FD"/>
    <w:rsid w:val="004F4BDC"/>
    <w:rsid w:val="004F4E05"/>
    <w:rsid w:val="004F5016"/>
    <w:rsid w:val="004F502B"/>
    <w:rsid w:val="004F50C3"/>
    <w:rsid w:val="004F50E1"/>
    <w:rsid w:val="004F51FC"/>
    <w:rsid w:val="004F52AA"/>
    <w:rsid w:val="004F5334"/>
    <w:rsid w:val="004F53F7"/>
    <w:rsid w:val="004F569A"/>
    <w:rsid w:val="004F579B"/>
    <w:rsid w:val="004F5874"/>
    <w:rsid w:val="004F5A10"/>
    <w:rsid w:val="004F5B3F"/>
    <w:rsid w:val="004F5C96"/>
    <w:rsid w:val="004F5CD8"/>
    <w:rsid w:val="004F5D70"/>
    <w:rsid w:val="004F6027"/>
    <w:rsid w:val="004F605A"/>
    <w:rsid w:val="004F6149"/>
    <w:rsid w:val="004F62CD"/>
    <w:rsid w:val="004F639F"/>
    <w:rsid w:val="004F6425"/>
    <w:rsid w:val="004F642D"/>
    <w:rsid w:val="004F65B7"/>
    <w:rsid w:val="004F6614"/>
    <w:rsid w:val="004F6678"/>
    <w:rsid w:val="004F6704"/>
    <w:rsid w:val="004F670E"/>
    <w:rsid w:val="004F68C2"/>
    <w:rsid w:val="004F6910"/>
    <w:rsid w:val="004F6921"/>
    <w:rsid w:val="004F699F"/>
    <w:rsid w:val="004F6AFB"/>
    <w:rsid w:val="004F6B33"/>
    <w:rsid w:val="004F6BD5"/>
    <w:rsid w:val="004F6D4D"/>
    <w:rsid w:val="004F6D4F"/>
    <w:rsid w:val="004F6D8E"/>
    <w:rsid w:val="004F6E5F"/>
    <w:rsid w:val="004F6FC3"/>
    <w:rsid w:val="004F71F7"/>
    <w:rsid w:val="004F73B8"/>
    <w:rsid w:val="004F743A"/>
    <w:rsid w:val="004F7498"/>
    <w:rsid w:val="004F7703"/>
    <w:rsid w:val="004F7726"/>
    <w:rsid w:val="004F7817"/>
    <w:rsid w:val="004F7834"/>
    <w:rsid w:val="004F7AE4"/>
    <w:rsid w:val="004F7BEC"/>
    <w:rsid w:val="004F7D73"/>
    <w:rsid w:val="004F7DEB"/>
    <w:rsid w:val="004F7E87"/>
    <w:rsid w:val="004F7E8B"/>
    <w:rsid w:val="004F7EEF"/>
    <w:rsid w:val="004F7F89"/>
    <w:rsid w:val="005001B2"/>
    <w:rsid w:val="0050029B"/>
    <w:rsid w:val="005002A5"/>
    <w:rsid w:val="00500352"/>
    <w:rsid w:val="00500453"/>
    <w:rsid w:val="00500680"/>
    <w:rsid w:val="005008E7"/>
    <w:rsid w:val="00500A3E"/>
    <w:rsid w:val="00500AE7"/>
    <w:rsid w:val="00500B0E"/>
    <w:rsid w:val="00500C4B"/>
    <w:rsid w:val="00500D8C"/>
    <w:rsid w:val="00500DC6"/>
    <w:rsid w:val="00500E2A"/>
    <w:rsid w:val="00500E80"/>
    <w:rsid w:val="00501132"/>
    <w:rsid w:val="005011C1"/>
    <w:rsid w:val="005012DB"/>
    <w:rsid w:val="005012E7"/>
    <w:rsid w:val="005016A8"/>
    <w:rsid w:val="0050171B"/>
    <w:rsid w:val="00501720"/>
    <w:rsid w:val="005017B8"/>
    <w:rsid w:val="00501882"/>
    <w:rsid w:val="00501C61"/>
    <w:rsid w:val="00501C72"/>
    <w:rsid w:val="00501D1B"/>
    <w:rsid w:val="00501DD3"/>
    <w:rsid w:val="00501EB2"/>
    <w:rsid w:val="00501EC3"/>
    <w:rsid w:val="00502051"/>
    <w:rsid w:val="00502056"/>
    <w:rsid w:val="005021A0"/>
    <w:rsid w:val="00502452"/>
    <w:rsid w:val="005026A6"/>
    <w:rsid w:val="00502744"/>
    <w:rsid w:val="0050281B"/>
    <w:rsid w:val="005029AC"/>
    <w:rsid w:val="005029D9"/>
    <w:rsid w:val="005029F8"/>
    <w:rsid w:val="00502A69"/>
    <w:rsid w:val="00502AA3"/>
    <w:rsid w:val="00502AC6"/>
    <w:rsid w:val="00502B2D"/>
    <w:rsid w:val="00502C17"/>
    <w:rsid w:val="00502E44"/>
    <w:rsid w:val="005030FE"/>
    <w:rsid w:val="005031D0"/>
    <w:rsid w:val="005031F2"/>
    <w:rsid w:val="00503319"/>
    <w:rsid w:val="00503331"/>
    <w:rsid w:val="005033A0"/>
    <w:rsid w:val="005033C8"/>
    <w:rsid w:val="005033F9"/>
    <w:rsid w:val="005034BE"/>
    <w:rsid w:val="005034C7"/>
    <w:rsid w:val="00503799"/>
    <w:rsid w:val="00503857"/>
    <w:rsid w:val="00503970"/>
    <w:rsid w:val="00503BF8"/>
    <w:rsid w:val="00503D5C"/>
    <w:rsid w:val="00503D82"/>
    <w:rsid w:val="00503E43"/>
    <w:rsid w:val="00503F07"/>
    <w:rsid w:val="00503F2D"/>
    <w:rsid w:val="005040A1"/>
    <w:rsid w:val="0050416B"/>
    <w:rsid w:val="00504241"/>
    <w:rsid w:val="00504374"/>
    <w:rsid w:val="0050443B"/>
    <w:rsid w:val="00504584"/>
    <w:rsid w:val="0050459E"/>
    <w:rsid w:val="005046A5"/>
    <w:rsid w:val="005047DB"/>
    <w:rsid w:val="00504981"/>
    <w:rsid w:val="00504995"/>
    <w:rsid w:val="00504A69"/>
    <w:rsid w:val="00504AF3"/>
    <w:rsid w:val="00504AFD"/>
    <w:rsid w:val="00504B58"/>
    <w:rsid w:val="00504C1A"/>
    <w:rsid w:val="00504C7B"/>
    <w:rsid w:val="00504F9A"/>
    <w:rsid w:val="005050A2"/>
    <w:rsid w:val="0050511A"/>
    <w:rsid w:val="00505305"/>
    <w:rsid w:val="00505322"/>
    <w:rsid w:val="00505327"/>
    <w:rsid w:val="005055DC"/>
    <w:rsid w:val="00505700"/>
    <w:rsid w:val="005057FB"/>
    <w:rsid w:val="0050591F"/>
    <w:rsid w:val="00505A14"/>
    <w:rsid w:val="00505A43"/>
    <w:rsid w:val="00505A95"/>
    <w:rsid w:val="00505BA5"/>
    <w:rsid w:val="00505CEF"/>
    <w:rsid w:val="00505D38"/>
    <w:rsid w:val="00505F6B"/>
    <w:rsid w:val="00506096"/>
    <w:rsid w:val="005061B1"/>
    <w:rsid w:val="0050623F"/>
    <w:rsid w:val="005062B1"/>
    <w:rsid w:val="005062D2"/>
    <w:rsid w:val="00506485"/>
    <w:rsid w:val="00506486"/>
    <w:rsid w:val="00506787"/>
    <w:rsid w:val="005067DD"/>
    <w:rsid w:val="005067E6"/>
    <w:rsid w:val="00506821"/>
    <w:rsid w:val="005068A3"/>
    <w:rsid w:val="00506B6D"/>
    <w:rsid w:val="00506BFA"/>
    <w:rsid w:val="00506C19"/>
    <w:rsid w:val="00506C65"/>
    <w:rsid w:val="00507038"/>
    <w:rsid w:val="0050708F"/>
    <w:rsid w:val="0050709B"/>
    <w:rsid w:val="0050715A"/>
    <w:rsid w:val="0050735A"/>
    <w:rsid w:val="00507638"/>
    <w:rsid w:val="00507817"/>
    <w:rsid w:val="00507856"/>
    <w:rsid w:val="00507908"/>
    <w:rsid w:val="00507AB9"/>
    <w:rsid w:val="00507B4F"/>
    <w:rsid w:val="00507D5E"/>
    <w:rsid w:val="00507EBF"/>
    <w:rsid w:val="00507F2B"/>
    <w:rsid w:val="00507F86"/>
    <w:rsid w:val="00510021"/>
    <w:rsid w:val="00510118"/>
    <w:rsid w:val="0051016B"/>
    <w:rsid w:val="00510261"/>
    <w:rsid w:val="005102BC"/>
    <w:rsid w:val="00510905"/>
    <w:rsid w:val="0051096B"/>
    <w:rsid w:val="005109FB"/>
    <w:rsid w:val="005109FC"/>
    <w:rsid w:val="00510A17"/>
    <w:rsid w:val="00510A58"/>
    <w:rsid w:val="00510AC6"/>
    <w:rsid w:val="00510B2B"/>
    <w:rsid w:val="00510CF1"/>
    <w:rsid w:val="00510D0A"/>
    <w:rsid w:val="00510DDE"/>
    <w:rsid w:val="00510F2C"/>
    <w:rsid w:val="00511012"/>
    <w:rsid w:val="0051112E"/>
    <w:rsid w:val="00511196"/>
    <w:rsid w:val="0051129A"/>
    <w:rsid w:val="005112C2"/>
    <w:rsid w:val="0051140E"/>
    <w:rsid w:val="00511430"/>
    <w:rsid w:val="005114B8"/>
    <w:rsid w:val="00511521"/>
    <w:rsid w:val="005115D9"/>
    <w:rsid w:val="00511716"/>
    <w:rsid w:val="005117B9"/>
    <w:rsid w:val="005117C0"/>
    <w:rsid w:val="005117D3"/>
    <w:rsid w:val="00511832"/>
    <w:rsid w:val="00511855"/>
    <w:rsid w:val="0051186E"/>
    <w:rsid w:val="005118E6"/>
    <w:rsid w:val="0051199D"/>
    <w:rsid w:val="00511B61"/>
    <w:rsid w:val="00511BAE"/>
    <w:rsid w:val="00511BBC"/>
    <w:rsid w:val="00511BCB"/>
    <w:rsid w:val="00511CA4"/>
    <w:rsid w:val="00511D7C"/>
    <w:rsid w:val="00511DB9"/>
    <w:rsid w:val="00511E73"/>
    <w:rsid w:val="00511EBC"/>
    <w:rsid w:val="00511F69"/>
    <w:rsid w:val="00512313"/>
    <w:rsid w:val="00512342"/>
    <w:rsid w:val="0051234D"/>
    <w:rsid w:val="00512355"/>
    <w:rsid w:val="0051240E"/>
    <w:rsid w:val="0051240F"/>
    <w:rsid w:val="00512601"/>
    <w:rsid w:val="00512616"/>
    <w:rsid w:val="0051263A"/>
    <w:rsid w:val="005126AE"/>
    <w:rsid w:val="00512928"/>
    <w:rsid w:val="0051295E"/>
    <w:rsid w:val="005129AE"/>
    <w:rsid w:val="005129DF"/>
    <w:rsid w:val="00512A5E"/>
    <w:rsid w:val="00512A62"/>
    <w:rsid w:val="00512B0A"/>
    <w:rsid w:val="00512BF6"/>
    <w:rsid w:val="00512C02"/>
    <w:rsid w:val="00512C37"/>
    <w:rsid w:val="00512C50"/>
    <w:rsid w:val="00512D6E"/>
    <w:rsid w:val="00513025"/>
    <w:rsid w:val="0051324E"/>
    <w:rsid w:val="00513290"/>
    <w:rsid w:val="0051329E"/>
    <w:rsid w:val="0051348D"/>
    <w:rsid w:val="005134C1"/>
    <w:rsid w:val="0051393E"/>
    <w:rsid w:val="00513991"/>
    <w:rsid w:val="005139BF"/>
    <w:rsid w:val="00513A88"/>
    <w:rsid w:val="00513B4D"/>
    <w:rsid w:val="00513CF4"/>
    <w:rsid w:val="00513D72"/>
    <w:rsid w:val="00513DA6"/>
    <w:rsid w:val="00513E3E"/>
    <w:rsid w:val="00513FA9"/>
    <w:rsid w:val="00514023"/>
    <w:rsid w:val="005140D6"/>
    <w:rsid w:val="00514225"/>
    <w:rsid w:val="005143F9"/>
    <w:rsid w:val="00514483"/>
    <w:rsid w:val="00514497"/>
    <w:rsid w:val="00514575"/>
    <w:rsid w:val="00514671"/>
    <w:rsid w:val="005147CB"/>
    <w:rsid w:val="005149FD"/>
    <w:rsid w:val="00514A90"/>
    <w:rsid w:val="00514B10"/>
    <w:rsid w:val="00514C1B"/>
    <w:rsid w:val="00514F85"/>
    <w:rsid w:val="0051512C"/>
    <w:rsid w:val="005151C3"/>
    <w:rsid w:val="0051536B"/>
    <w:rsid w:val="005155AD"/>
    <w:rsid w:val="0051567C"/>
    <w:rsid w:val="0051571A"/>
    <w:rsid w:val="005159AA"/>
    <w:rsid w:val="00515B1D"/>
    <w:rsid w:val="00515DDF"/>
    <w:rsid w:val="00515DEB"/>
    <w:rsid w:val="00515E08"/>
    <w:rsid w:val="00515E74"/>
    <w:rsid w:val="00515E86"/>
    <w:rsid w:val="00515EFF"/>
    <w:rsid w:val="005160A9"/>
    <w:rsid w:val="005160F8"/>
    <w:rsid w:val="0051623A"/>
    <w:rsid w:val="0051627C"/>
    <w:rsid w:val="005162EE"/>
    <w:rsid w:val="005163CE"/>
    <w:rsid w:val="00516425"/>
    <w:rsid w:val="00516515"/>
    <w:rsid w:val="0051661B"/>
    <w:rsid w:val="0051663F"/>
    <w:rsid w:val="005166DC"/>
    <w:rsid w:val="0051684B"/>
    <w:rsid w:val="005168F8"/>
    <w:rsid w:val="00516A57"/>
    <w:rsid w:val="00516B48"/>
    <w:rsid w:val="00516BCC"/>
    <w:rsid w:val="00516C3A"/>
    <w:rsid w:val="00516CDD"/>
    <w:rsid w:val="00516EBD"/>
    <w:rsid w:val="00516FB0"/>
    <w:rsid w:val="00517077"/>
    <w:rsid w:val="00517272"/>
    <w:rsid w:val="00517468"/>
    <w:rsid w:val="0051751D"/>
    <w:rsid w:val="00517668"/>
    <w:rsid w:val="005176E6"/>
    <w:rsid w:val="00517766"/>
    <w:rsid w:val="00517ABF"/>
    <w:rsid w:val="00517BB4"/>
    <w:rsid w:val="00517BC4"/>
    <w:rsid w:val="00517C35"/>
    <w:rsid w:val="00517CC9"/>
    <w:rsid w:val="00517DE9"/>
    <w:rsid w:val="00517EEF"/>
    <w:rsid w:val="00517F7A"/>
    <w:rsid w:val="0052005D"/>
    <w:rsid w:val="005201A0"/>
    <w:rsid w:val="00520317"/>
    <w:rsid w:val="005203C5"/>
    <w:rsid w:val="00520679"/>
    <w:rsid w:val="00520754"/>
    <w:rsid w:val="0052088D"/>
    <w:rsid w:val="00520891"/>
    <w:rsid w:val="005208D0"/>
    <w:rsid w:val="0052094B"/>
    <w:rsid w:val="00520B97"/>
    <w:rsid w:val="00520BFB"/>
    <w:rsid w:val="00520D95"/>
    <w:rsid w:val="00520E19"/>
    <w:rsid w:val="0052108C"/>
    <w:rsid w:val="0052123C"/>
    <w:rsid w:val="00521270"/>
    <w:rsid w:val="00521332"/>
    <w:rsid w:val="0052150A"/>
    <w:rsid w:val="005215A5"/>
    <w:rsid w:val="005215C7"/>
    <w:rsid w:val="00521A5F"/>
    <w:rsid w:val="00521BC1"/>
    <w:rsid w:val="00521F9D"/>
    <w:rsid w:val="005224D8"/>
    <w:rsid w:val="005225DB"/>
    <w:rsid w:val="005225F0"/>
    <w:rsid w:val="00522672"/>
    <w:rsid w:val="005227B5"/>
    <w:rsid w:val="005227DF"/>
    <w:rsid w:val="0052280E"/>
    <w:rsid w:val="0052296E"/>
    <w:rsid w:val="005229DC"/>
    <w:rsid w:val="00522ACB"/>
    <w:rsid w:val="00522AFD"/>
    <w:rsid w:val="00522B0C"/>
    <w:rsid w:val="00522B81"/>
    <w:rsid w:val="00522C12"/>
    <w:rsid w:val="00522C33"/>
    <w:rsid w:val="00522D09"/>
    <w:rsid w:val="00522D3C"/>
    <w:rsid w:val="00522D81"/>
    <w:rsid w:val="00522DC4"/>
    <w:rsid w:val="00522DDB"/>
    <w:rsid w:val="00522FB6"/>
    <w:rsid w:val="00523122"/>
    <w:rsid w:val="005231BC"/>
    <w:rsid w:val="00523248"/>
    <w:rsid w:val="00523282"/>
    <w:rsid w:val="0052329A"/>
    <w:rsid w:val="00523379"/>
    <w:rsid w:val="005234B1"/>
    <w:rsid w:val="005235C6"/>
    <w:rsid w:val="005235EF"/>
    <w:rsid w:val="005235FE"/>
    <w:rsid w:val="0052364B"/>
    <w:rsid w:val="00523752"/>
    <w:rsid w:val="0052382F"/>
    <w:rsid w:val="005238B1"/>
    <w:rsid w:val="005238CF"/>
    <w:rsid w:val="005238FC"/>
    <w:rsid w:val="0052396D"/>
    <w:rsid w:val="005239B1"/>
    <w:rsid w:val="005239F9"/>
    <w:rsid w:val="00523A00"/>
    <w:rsid w:val="00523A7C"/>
    <w:rsid w:val="00523A82"/>
    <w:rsid w:val="00523AA3"/>
    <w:rsid w:val="00523AF2"/>
    <w:rsid w:val="00523B59"/>
    <w:rsid w:val="00523DB3"/>
    <w:rsid w:val="00523E20"/>
    <w:rsid w:val="00523F64"/>
    <w:rsid w:val="00523FFC"/>
    <w:rsid w:val="005240D0"/>
    <w:rsid w:val="00524183"/>
    <w:rsid w:val="005244DA"/>
    <w:rsid w:val="0052452B"/>
    <w:rsid w:val="005245E5"/>
    <w:rsid w:val="00524975"/>
    <w:rsid w:val="00524B2C"/>
    <w:rsid w:val="00524BCB"/>
    <w:rsid w:val="00524C8E"/>
    <w:rsid w:val="00524CE1"/>
    <w:rsid w:val="00524EE5"/>
    <w:rsid w:val="00524F28"/>
    <w:rsid w:val="00524F2B"/>
    <w:rsid w:val="00524FAE"/>
    <w:rsid w:val="0052504F"/>
    <w:rsid w:val="0052513A"/>
    <w:rsid w:val="005251A5"/>
    <w:rsid w:val="005251F1"/>
    <w:rsid w:val="00525253"/>
    <w:rsid w:val="005252C5"/>
    <w:rsid w:val="00525391"/>
    <w:rsid w:val="005253C9"/>
    <w:rsid w:val="005253CF"/>
    <w:rsid w:val="005253D7"/>
    <w:rsid w:val="005253D9"/>
    <w:rsid w:val="005254E0"/>
    <w:rsid w:val="005256F5"/>
    <w:rsid w:val="0052573C"/>
    <w:rsid w:val="00525786"/>
    <w:rsid w:val="005257BE"/>
    <w:rsid w:val="00525803"/>
    <w:rsid w:val="00525869"/>
    <w:rsid w:val="005258B5"/>
    <w:rsid w:val="00525A64"/>
    <w:rsid w:val="00525C20"/>
    <w:rsid w:val="00525CC5"/>
    <w:rsid w:val="00525E3E"/>
    <w:rsid w:val="005260E8"/>
    <w:rsid w:val="0052617F"/>
    <w:rsid w:val="005261F4"/>
    <w:rsid w:val="00526367"/>
    <w:rsid w:val="0052647E"/>
    <w:rsid w:val="00526534"/>
    <w:rsid w:val="005266B0"/>
    <w:rsid w:val="00526710"/>
    <w:rsid w:val="005267A9"/>
    <w:rsid w:val="005267F6"/>
    <w:rsid w:val="00526874"/>
    <w:rsid w:val="005268CE"/>
    <w:rsid w:val="005268EA"/>
    <w:rsid w:val="0052694D"/>
    <w:rsid w:val="005269BE"/>
    <w:rsid w:val="00526A9A"/>
    <w:rsid w:val="00526AC4"/>
    <w:rsid w:val="00526AC8"/>
    <w:rsid w:val="00526AE0"/>
    <w:rsid w:val="00526AFC"/>
    <w:rsid w:val="00526BEE"/>
    <w:rsid w:val="00526C60"/>
    <w:rsid w:val="00526C95"/>
    <w:rsid w:val="00526D74"/>
    <w:rsid w:val="00526E06"/>
    <w:rsid w:val="00526E49"/>
    <w:rsid w:val="00526F51"/>
    <w:rsid w:val="00526FDD"/>
    <w:rsid w:val="00527122"/>
    <w:rsid w:val="005271A8"/>
    <w:rsid w:val="00527383"/>
    <w:rsid w:val="005273F7"/>
    <w:rsid w:val="00527465"/>
    <w:rsid w:val="005275C9"/>
    <w:rsid w:val="005275D2"/>
    <w:rsid w:val="00527856"/>
    <w:rsid w:val="00527AAB"/>
    <w:rsid w:val="00527BDD"/>
    <w:rsid w:val="00527C36"/>
    <w:rsid w:val="00527CD1"/>
    <w:rsid w:val="00527DD2"/>
    <w:rsid w:val="00527E9E"/>
    <w:rsid w:val="00527EC9"/>
    <w:rsid w:val="00527FD9"/>
    <w:rsid w:val="005300A3"/>
    <w:rsid w:val="00530129"/>
    <w:rsid w:val="0053020B"/>
    <w:rsid w:val="0053037B"/>
    <w:rsid w:val="005303B4"/>
    <w:rsid w:val="00530623"/>
    <w:rsid w:val="00530647"/>
    <w:rsid w:val="00530673"/>
    <w:rsid w:val="00530782"/>
    <w:rsid w:val="005308A8"/>
    <w:rsid w:val="00530946"/>
    <w:rsid w:val="00530970"/>
    <w:rsid w:val="00530A65"/>
    <w:rsid w:val="00530B4A"/>
    <w:rsid w:val="00530B99"/>
    <w:rsid w:val="00530F36"/>
    <w:rsid w:val="0053104A"/>
    <w:rsid w:val="0053105D"/>
    <w:rsid w:val="005310C4"/>
    <w:rsid w:val="005311E3"/>
    <w:rsid w:val="0053125A"/>
    <w:rsid w:val="0053137C"/>
    <w:rsid w:val="0053139E"/>
    <w:rsid w:val="00531557"/>
    <w:rsid w:val="00531588"/>
    <w:rsid w:val="0053163C"/>
    <w:rsid w:val="00531721"/>
    <w:rsid w:val="00531B66"/>
    <w:rsid w:val="00531BED"/>
    <w:rsid w:val="00531C0F"/>
    <w:rsid w:val="00531D05"/>
    <w:rsid w:val="00531F49"/>
    <w:rsid w:val="005322A7"/>
    <w:rsid w:val="0053235B"/>
    <w:rsid w:val="0053238C"/>
    <w:rsid w:val="005323E2"/>
    <w:rsid w:val="005324CE"/>
    <w:rsid w:val="005324FC"/>
    <w:rsid w:val="00532605"/>
    <w:rsid w:val="00532732"/>
    <w:rsid w:val="005327AD"/>
    <w:rsid w:val="005327EA"/>
    <w:rsid w:val="00532810"/>
    <w:rsid w:val="005328C2"/>
    <w:rsid w:val="005328E6"/>
    <w:rsid w:val="005329E3"/>
    <w:rsid w:val="00532AB3"/>
    <w:rsid w:val="00532CBC"/>
    <w:rsid w:val="00532CD9"/>
    <w:rsid w:val="00532D2B"/>
    <w:rsid w:val="00532D6E"/>
    <w:rsid w:val="00532EBD"/>
    <w:rsid w:val="0053307A"/>
    <w:rsid w:val="0053310B"/>
    <w:rsid w:val="00533164"/>
    <w:rsid w:val="005331A7"/>
    <w:rsid w:val="00533232"/>
    <w:rsid w:val="005332B3"/>
    <w:rsid w:val="00533396"/>
    <w:rsid w:val="005333F7"/>
    <w:rsid w:val="00533464"/>
    <w:rsid w:val="005334C5"/>
    <w:rsid w:val="00533515"/>
    <w:rsid w:val="005335A8"/>
    <w:rsid w:val="005336F4"/>
    <w:rsid w:val="0053375A"/>
    <w:rsid w:val="00533B11"/>
    <w:rsid w:val="00533BD6"/>
    <w:rsid w:val="00533D3B"/>
    <w:rsid w:val="00533FE4"/>
    <w:rsid w:val="00534076"/>
    <w:rsid w:val="00534263"/>
    <w:rsid w:val="00534360"/>
    <w:rsid w:val="00534397"/>
    <w:rsid w:val="00534409"/>
    <w:rsid w:val="00534447"/>
    <w:rsid w:val="0053447F"/>
    <w:rsid w:val="00534579"/>
    <w:rsid w:val="0053477B"/>
    <w:rsid w:val="005348BD"/>
    <w:rsid w:val="005349D4"/>
    <w:rsid w:val="00534A37"/>
    <w:rsid w:val="00534AF3"/>
    <w:rsid w:val="00534D6F"/>
    <w:rsid w:val="00534F0D"/>
    <w:rsid w:val="00534F30"/>
    <w:rsid w:val="00534FAB"/>
    <w:rsid w:val="00535047"/>
    <w:rsid w:val="0053526D"/>
    <w:rsid w:val="00535447"/>
    <w:rsid w:val="00535491"/>
    <w:rsid w:val="00535540"/>
    <w:rsid w:val="0053554F"/>
    <w:rsid w:val="00535674"/>
    <w:rsid w:val="0053574E"/>
    <w:rsid w:val="00535763"/>
    <w:rsid w:val="00535952"/>
    <w:rsid w:val="00535A3C"/>
    <w:rsid w:val="00535AA9"/>
    <w:rsid w:val="00535AAB"/>
    <w:rsid w:val="00535AC8"/>
    <w:rsid w:val="00535C7E"/>
    <w:rsid w:val="00535E78"/>
    <w:rsid w:val="00535F93"/>
    <w:rsid w:val="00536021"/>
    <w:rsid w:val="00536069"/>
    <w:rsid w:val="00536082"/>
    <w:rsid w:val="00536085"/>
    <w:rsid w:val="0053609E"/>
    <w:rsid w:val="00536135"/>
    <w:rsid w:val="00536138"/>
    <w:rsid w:val="005361C6"/>
    <w:rsid w:val="0053628D"/>
    <w:rsid w:val="005363EC"/>
    <w:rsid w:val="00536633"/>
    <w:rsid w:val="005367A0"/>
    <w:rsid w:val="005367BA"/>
    <w:rsid w:val="005367CA"/>
    <w:rsid w:val="00536819"/>
    <w:rsid w:val="0053681F"/>
    <w:rsid w:val="00536845"/>
    <w:rsid w:val="00536918"/>
    <w:rsid w:val="00536967"/>
    <w:rsid w:val="00536ABF"/>
    <w:rsid w:val="00536E76"/>
    <w:rsid w:val="00536F85"/>
    <w:rsid w:val="00536F94"/>
    <w:rsid w:val="005371DF"/>
    <w:rsid w:val="00537259"/>
    <w:rsid w:val="005372DD"/>
    <w:rsid w:val="005372E1"/>
    <w:rsid w:val="00537356"/>
    <w:rsid w:val="00537567"/>
    <w:rsid w:val="0053756C"/>
    <w:rsid w:val="0053758D"/>
    <w:rsid w:val="005376D4"/>
    <w:rsid w:val="0053775E"/>
    <w:rsid w:val="005378B0"/>
    <w:rsid w:val="005378B8"/>
    <w:rsid w:val="00537926"/>
    <w:rsid w:val="00537ACB"/>
    <w:rsid w:val="00537D6A"/>
    <w:rsid w:val="00537DBB"/>
    <w:rsid w:val="00537E20"/>
    <w:rsid w:val="00537EA3"/>
    <w:rsid w:val="0054009A"/>
    <w:rsid w:val="0054011F"/>
    <w:rsid w:val="00540174"/>
    <w:rsid w:val="0054019D"/>
    <w:rsid w:val="005401C2"/>
    <w:rsid w:val="00540281"/>
    <w:rsid w:val="005405AF"/>
    <w:rsid w:val="00540661"/>
    <w:rsid w:val="005406E8"/>
    <w:rsid w:val="0054072D"/>
    <w:rsid w:val="00540774"/>
    <w:rsid w:val="005409DE"/>
    <w:rsid w:val="00540B03"/>
    <w:rsid w:val="00540B49"/>
    <w:rsid w:val="00540BD3"/>
    <w:rsid w:val="00540BF8"/>
    <w:rsid w:val="00540CB1"/>
    <w:rsid w:val="00540D45"/>
    <w:rsid w:val="00540D8C"/>
    <w:rsid w:val="00540E3C"/>
    <w:rsid w:val="00540E4C"/>
    <w:rsid w:val="00540E79"/>
    <w:rsid w:val="00540EED"/>
    <w:rsid w:val="0054100C"/>
    <w:rsid w:val="0054112D"/>
    <w:rsid w:val="005412B3"/>
    <w:rsid w:val="005413B3"/>
    <w:rsid w:val="005413D7"/>
    <w:rsid w:val="005414E2"/>
    <w:rsid w:val="005414FC"/>
    <w:rsid w:val="005415CB"/>
    <w:rsid w:val="00541741"/>
    <w:rsid w:val="00541752"/>
    <w:rsid w:val="0054187B"/>
    <w:rsid w:val="00541892"/>
    <w:rsid w:val="00541895"/>
    <w:rsid w:val="005419C4"/>
    <w:rsid w:val="00541AC5"/>
    <w:rsid w:val="00541CEE"/>
    <w:rsid w:val="00541D89"/>
    <w:rsid w:val="00541E8B"/>
    <w:rsid w:val="00541E92"/>
    <w:rsid w:val="00541EDE"/>
    <w:rsid w:val="00541EFA"/>
    <w:rsid w:val="00541F8B"/>
    <w:rsid w:val="00541FC9"/>
    <w:rsid w:val="00542029"/>
    <w:rsid w:val="00542055"/>
    <w:rsid w:val="0054205B"/>
    <w:rsid w:val="005420F3"/>
    <w:rsid w:val="005422ED"/>
    <w:rsid w:val="0054238C"/>
    <w:rsid w:val="00542424"/>
    <w:rsid w:val="00542489"/>
    <w:rsid w:val="00542823"/>
    <w:rsid w:val="0054285B"/>
    <w:rsid w:val="0054297A"/>
    <w:rsid w:val="00542ADB"/>
    <w:rsid w:val="00542B1C"/>
    <w:rsid w:val="00542B6A"/>
    <w:rsid w:val="00542B93"/>
    <w:rsid w:val="00542C05"/>
    <w:rsid w:val="00542C38"/>
    <w:rsid w:val="00542F3A"/>
    <w:rsid w:val="00542FF3"/>
    <w:rsid w:val="00542FFA"/>
    <w:rsid w:val="005430E7"/>
    <w:rsid w:val="00543170"/>
    <w:rsid w:val="00543231"/>
    <w:rsid w:val="00543327"/>
    <w:rsid w:val="00543403"/>
    <w:rsid w:val="0054340A"/>
    <w:rsid w:val="0054356E"/>
    <w:rsid w:val="00543607"/>
    <w:rsid w:val="00543674"/>
    <w:rsid w:val="00543782"/>
    <w:rsid w:val="00543882"/>
    <w:rsid w:val="00543911"/>
    <w:rsid w:val="005439C6"/>
    <w:rsid w:val="00543A27"/>
    <w:rsid w:val="00543A45"/>
    <w:rsid w:val="00543B02"/>
    <w:rsid w:val="00543C8B"/>
    <w:rsid w:val="00543CC4"/>
    <w:rsid w:val="00543F28"/>
    <w:rsid w:val="00543F66"/>
    <w:rsid w:val="00544048"/>
    <w:rsid w:val="005440BB"/>
    <w:rsid w:val="00544387"/>
    <w:rsid w:val="005443D2"/>
    <w:rsid w:val="0054461E"/>
    <w:rsid w:val="00544647"/>
    <w:rsid w:val="005446AE"/>
    <w:rsid w:val="0054482E"/>
    <w:rsid w:val="00544854"/>
    <w:rsid w:val="00544934"/>
    <w:rsid w:val="00544AAF"/>
    <w:rsid w:val="005450C6"/>
    <w:rsid w:val="005451C6"/>
    <w:rsid w:val="005451F2"/>
    <w:rsid w:val="0054532C"/>
    <w:rsid w:val="0054536C"/>
    <w:rsid w:val="00545428"/>
    <w:rsid w:val="00545485"/>
    <w:rsid w:val="00545632"/>
    <w:rsid w:val="00545CA9"/>
    <w:rsid w:val="00545CF8"/>
    <w:rsid w:val="00545DE5"/>
    <w:rsid w:val="00545FD8"/>
    <w:rsid w:val="0054602A"/>
    <w:rsid w:val="00546030"/>
    <w:rsid w:val="005461F6"/>
    <w:rsid w:val="005463F6"/>
    <w:rsid w:val="00546498"/>
    <w:rsid w:val="005464E1"/>
    <w:rsid w:val="00546544"/>
    <w:rsid w:val="00546715"/>
    <w:rsid w:val="0054672F"/>
    <w:rsid w:val="00546894"/>
    <w:rsid w:val="005469CB"/>
    <w:rsid w:val="00546B98"/>
    <w:rsid w:val="00546BD0"/>
    <w:rsid w:val="00546CBD"/>
    <w:rsid w:val="00546F71"/>
    <w:rsid w:val="00546FBC"/>
    <w:rsid w:val="0054706A"/>
    <w:rsid w:val="005470D1"/>
    <w:rsid w:val="005470EF"/>
    <w:rsid w:val="0054710F"/>
    <w:rsid w:val="0054716D"/>
    <w:rsid w:val="00547225"/>
    <w:rsid w:val="0054737C"/>
    <w:rsid w:val="00547399"/>
    <w:rsid w:val="005474D6"/>
    <w:rsid w:val="0054755B"/>
    <w:rsid w:val="00547577"/>
    <w:rsid w:val="0054766D"/>
    <w:rsid w:val="005477AD"/>
    <w:rsid w:val="005477EA"/>
    <w:rsid w:val="00547A79"/>
    <w:rsid w:val="00547AA2"/>
    <w:rsid w:val="00547DC8"/>
    <w:rsid w:val="00547EAC"/>
    <w:rsid w:val="00547F5E"/>
    <w:rsid w:val="00550331"/>
    <w:rsid w:val="00550520"/>
    <w:rsid w:val="00550603"/>
    <w:rsid w:val="0055066B"/>
    <w:rsid w:val="005506B7"/>
    <w:rsid w:val="0055082C"/>
    <w:rsid w:val="005508D7"/>
    <w:rsid w:val="0055096B"/>
    <w:rsid w:val="00550B25"/>
    <w:rsid w:val="00550DA9"/>
    <w:rsid w:val="00550DE0"/>
    <w:rsid w:val="00550EA7"/>
    <w:rsid w:val="00551034"/>
    <w:rsid w:val="005511B2"/>
    <w:rsid w:val="005513AA"/>
    <w:rsid w:val="00551413"/>
    <w:rsid w:val="00551458"/>
    <w:rsid w:val="005517B3"/>
    <w:rsid w:val="00551948"/>
    <w:rsid w:val="00551A74"/>
    <w:rsid w:val="00551D26"/>
    <w:rsid w:val="00551D4B"/>
    <w:rsid w:val="00551D5E"/>
    <w:rsid w:val="00551F18"/>
    <w:rsid w:val="00552031"/>
    <w:rsid w:val="0055208C"/>
    <w:rsid w:val="00552441"/>
    <w:rsid w:val="005527C1"/>
    <w:rsid w:val="005528C3"/>
    <w:rsid w:val="00552B21"/>
    <w:rsid w:val="00552B66"/>
    <w:rsid w:val="00552B91"/>
    <w:rsid w:val="00552D18"/>
    <w:rsid w:val="00552D4A"/>
    <w:rsid w:val="00552DCA"/>
    <w:rsid w:val="00552E61"/>
    <w:rsid w:val="00552E7A"/>
    <w:rsid w:val="00552EAC"/>
    <w:rsid w:val="00552EB3"/>
    <w:rsid w:val="00552F4B"/>
    <w:rsid w:val="00552F69"/>
    <w:rsid w:val="00552FBD"/>
    <w:rsid w:val="005530FF"/>
    <w:rsid w:val="00553103"/>
    <w:rsid w:val="005532AD"/>
    <w:rsid w:val="00553431"/>
    <w:rsid w:val="00553484"/>
    <w:rsid w:val="005534E7"/>
    <w:rsid w:val="0055350A"/>
    <w:rsid w:val="00553708"/>
    <w:rsid w:val="005537B2"/>
    <w:rsid w:val="0055383E"/>
    <w:rsid w:val="0055390D"/>
    <w:rsid w:val="00553C5B"/>
    <w:rsid w:val="00553DED"/>
    <w:rsid w:val="00553E38"/>
    <w:rsid w:val="00553EC5"/>
    <w:rsid w:val="00553F58"/>
    <w:rsid w:val="00553FAB"/>
    <w:rsid w:val="00553FC5"/>
    <w:rsid w:val="00554109"/>
    <w:rsid w:val="00554326"/>
    <w:rsid w:val="00554398"/>
    <w:rsid w:val="005543A1"/>
    <w:rsid w:val="00554432"/>
    <w:rsid w:val="0055448D"/>
    <w:rsid w:val="00554574"/>
    <w:rsid w:val="00554655"/>
    <w:rsid w:val="00554708"/>
    <w:rsid w:val="00554755"/>
    <w:rsid w:val="005549A3"/>
    <w:rsid w:val="00554A1F"/>
    <w:rsid w:val="00554A5C"/>
    <w:rsid w:val="00554B5C"/>
    <w:rsid w:val="00554BD3"/>
    <w:rsid w:val="00554CF8"/>
    <w:rsid w:val="00554D6D"/>
    <w:rsid w:val="00554DB7"/>
    <w:rsid w:val="00554FD0"/>
    <w:rsid w:val="005551AC"/>
    <w:rsid w:val="00555240"/>
    <w:rsid w:val="0055528B"/>
    <w:rsid w:val="00555364"/>
    <w:rsid w:val="00555389"/>
    <w:rsid w:val="005553DE"/>
    <w:rsid w:val="00555518"/>
    <w:rsid w:val="005555E3"/>
    <w:rsid w:val="005556BC"/>
    <w:rsid w:val="00555801"/>
    <w:rsid w:val="005558CC"/>
    <w:rsid w:val="005559A2"/>
    <w:rsid w:val="00555A44"/>
    <w:rsid w:val="00555B81"/>
    <w:rsid w:val="00555BE3"/>
    <w:rsid w:val="00555C2D"/>
    <w:rsid w:val="00555D1A"/>
    <w:rsid w:val="00555E32"/>
    <w:rsid w:val="00555E7D"/>
    <w:rsid w:val="00556014"/>
    <w:rsid w:val="00556298"/>
    <w:rsid w:val="005562AF"/>
    <w:rsid w:val="005567BC"/>
    <w:rsid w:val="00556955"/>
    <w:rsid w:val="00556A04"/>
    <w:rsid w:val="00556A10"/>
    <w:rsid w:val="00556B37"/>
    <w:rsid w:val="00556C3E"/>
    <w:rsid w:val="00556C86"/>
    <w:rsid w:val="00556DB1"/>
    <w:rsid w:val="00556E98"/>
    <w:rsid w:val="00556EAC"/>
    <w:rsid w:val="00556ECD"/>
    <w:rsid w:val="00556F1C"/>
    <w:rsid w:val="00556F97"/>
    <w:rsid w:val="00556FE2"/>
    <w:rsid w:val="0055722E"/>
    <w:rsid w:val="00557346"/>
    <w:rsid w:val="005575D0"/>
    <w:rsid w:val="0055766E"/>
    <w:rsid w:val="005577B3"/>
    <w:rsid w:val="00557824"/>
    <w:rsid w:val="0055783E"/>
    <w:rsid w:val="00557893"/>
    <w:rsid w:val="005579A6"/>
    <w:rsid w:val="00557AAB"/>
    <w:rsid w:val="00557B7A"/>
    <w:rsid w:val="00557C10"/>
    <w:rsid w:val="00557C18"/>
    <w:rsid w:val="00557CE9"/>
    <w:rsid w:val="00557F8A"/>
    <w:rsid w:val="00560073"/>
    <w:rsid w:val="005600D0"/>
    <w:rsid w:val="00560109"/>
    <w:rsid w:val="005604CE"/>
    <w:rsid w:val="005604DF"/>
    <w:rsid w:val="0056063B"/>
    <w:rsid w:val="00560673"/>
    <w:rsid w:val="005606EF"/>
    <w:rsid w:val="0056094C"/>
    <w:rsid w:val="005609A1"/>
    <w:rsid w:val="00560A84"/>
    <w:rsid w:val="00560B0F"/>
    <w:rsid w:val="00560BAD"/>
    <w:rsid w:val="00560C5D"/>
    <w:rsid w:val="00560C82"/>
    <w:rsid w:val="00560D44"/>
    <w:rsid w:val="00560D7B"/>
    <w:rsid w:val="00560F89"/>
    <w:rsid w:val="00561013"/>
    <w:rsid w:val="00561131"/>
    <w:rsid w:val="0056128E"/>
    <w:rsid w:val="00561411"/>
    <w:rsid w:val="005614C7"/>
    <w:rsid w:val="00561544"/>
    <w:rsid w:val="0056156F"/>
    <w:rsid w:val="0056179B"/>
    <w:rsid w:val="00561863"/>
    <w:rsid w:val="0056190D"/>
    <w:rsid w:val="0056193F"/>
    <w:rsid w:val="00561B1D"/>
    <w:rsid w:val="00561B29"/>
    <w:rsid w:val="00561B41"/>
    <w:rsid w:val="00561D0A"/>
    <w:rsid w:val="00561DF2"/>
    <w:rsid w:val="00561E5D"/>
    <w:rsid w:val="00561F0A"/>
    <w:rsid w:val="00561F70"/>
    <w:rsid w:val="00561F90"/>
    <w:rsid w:val="00562006"/>
    <w:rsid w:val="005620B0"/>
    <w:rsid w:val="0056215F"/>
    <w:rsid w:val="00562300"/>
    <w:rsid w:val="00562414"/>
    <w:rsid w:val="005624E9"/>
    <w:rsid w:val="00562682"/>
    <w:rsid w:val="005626B5"/>
    <w:rsid w:val="0056276C"/>
    <w:rsid w:val="005627C5"/>
    <w:rsid w:val="00562934"/>
    <w:rsid w:val="00562952"/>
    <w:rsid w:val="005629F2"/>
    <w:rsid w:val="00562B6E"/>
    <w:rsid w:val="00562E1F"/>
    <w:rsid w:val="00562F11"/>
    <w:rsid w:val="00562FCC"/>
    <w:rsid w:val="00562FDF"/>
    <w:rsid w:val="00563038"/>
    <w:rsid w:val="0056310E"/>
    <w:rsid w:val="00563177"/>
    <w:rsid w:val="00563388"/>
    <w:rsid w:val="005633E4"/>
    <w:rsid w:val="00563419"/>
    <w:rsid w:val="0056343E"/>
    <w:rsid w:val="0056348F"/>
    <w:rsid w:val="0056357C"/>
    <w:rsid w:val="0056359A"/>
    <w:rsid w:val="00563625"/>
    <w:rsid w:val="005637A2"/>
    <w:rsid w:val="00563854"/>
    <w:rsid w:val="005639AC"/>
    <w:rsid w:val="00563CF0"/>
    <w:rsid w:val="00563D26"/>
    <w:rsid w:val="00563DA8"/>
    <w:rsid w:val="00563DD3"/>
    <w:rsid w:val="005640C6"/>
    <w:rsid w:val="005640D6"/>
    <w:rsid w:val="00564173"/>
    <w:rsid w:val="0056425C"/>
    <w:rsid w:val="00564291"/>
    <w:rsid w:val="0056429B"/>
    <w:rsid w:val="0056430B"/>
    <w:rsid w:val="00564469"/>
    <w:rsid w:val="0056450E"/>
    <w:rsid w:val="00564727"/>
    <w:rsid w:val="00564745"/>
    <w:rsid w:val="0056486F"/>
    <w:rsid w:val="005648C9"/>
    <w:rsid w:val="00564A96"/>
    <w:rsid w:val="00564AB8"/>
    <w:rsid w:val="00564B13"/>
    <w:rsid w:val="00564BB1"/>
    <w:rsid w:val="00564C67"/>
    <w:rsid w:val="00564D8B"/>
    <w:rsid w:val="00564E03"/>
    <w:rsid w:val="00565053"/>
    <w:rsid w:val="00565250"/>
    <w:rsid w:val="005653CB"/>
    <w:rsid w:val="00565588"/>
    <w:rsid w:val="0056562E"/>
    <w:rsid w:val="0056568C"/>
    <w:rsid w:val="005656AE"/>
    <w:rsid w:val="005656DA"/>
    <w:rsid w:val="0056580F"/>
    <w:rsid w:val="005659BE"/>
    <w:rsid w:val="00565A6F"/>
    <w:rsid w:val="00565BDD"/>
    <w:rsid w:val="00565E48"/>
    <w:rsid w:val="00565E6A"/>
    <w:rsid w:val="00565FE7"/>
    <w:rsid w:val="00566038"/>
    <w:rsid w:val="00566061"/>
    <w:rsid w:val="00566319"/>
    <w:rsid w:val="0056639E"/>
    <w:rsid w:val="005663D4"/>
    <w:rsid w:val="005663EC"/>
    <w:rsid w:val="005664B5"/>
    <w:rsid w:val="005664D6"/>
    <w:rsid w:val="005664EE"/>
    <w:rsid w:val="005665BB"/>
    <w:rsid w:val="005665DD"/>
    <w:rsid w:val="00566667"/>
    <w:rsid w:val="005666CC"/>
    <w:rsid w:val="005667A0"/>
    <w:rsid w:val="005667E1"/>
    <w:rsid w:val="00566B22"/>
    <w:rsid w:val="00566B28"/>
    <w:rsid w:val="00566B7E"/>
    <w:rsid w:val="00566BE5"/>
    <w:rsid w:val="00566D14"/>
    <w:rsid w:val="00566F8E"/>
    <w:rsid w:val="0056704F"/>
    <w:rsid w:val="005670CE"/>
    <w:rsid w:val="00567120"/>
    <w:rsid w:val="0056716C"/>
    <w:rsid w:val="005672AC"/>
    <w:rsid w:val="005672F7"/>
    <w:rsid w:val="00567327"/>
    <w:rsid w:val="00567539"/>
    <w:rsid w:val="00567639"/>
    <w:rsid w:val="005676BF"/>
    <w:rsid w:val="00567802"/>
    <w:rsid w:val="005678C8"/>
    <w:rsid w:val="00567A5B"/>
    <w:rsid w:val="00567B00"/>
    <w:rsid w:val="00567B96"/>
    <w:rsid w:val="00567BB1"/>
    <w:rsid w:val="00567C6B"/>
    <w:rsid w:val="00567C7E"/>
    <w:rsid w:val="00567D5D"/>
    <w:rsid w:val="00567D64"/>
    <w:rsid w:val="00567D7A"/>
    <w:rsid w:val="00567E48"/>
    <w:rsid w:val="00567E57"/>
    <w:rsid w:val="00567FF4"/>
    <w:rsid w:val="00570001"/>
    <w:rsid w:val="00570026"/>
    <w:rsid w:val="00570379"/>
    <w:rsid w:val="00570409"/>
    <w:rsid w:val="00570423"/>
    <w:rsid w:val="00570467"/>
    <w:rsid w:val="0057051A"/>
    <w:rsid w:val="00570730"/>
    <w:rsid w:val="005707B6"/>
    <w:rsid w:val="005707E9"/>
    <w:rsid w:val="0057089A"/>
    <w:rsid w:val="005708A1"/>
    <w:rsid w:val="00570A1C"/>
    <w:rsid w:val="00570ACB"/>
    <w:rsid w:val="00570D20"/>
    <w:rsid w:val="00570E42"/>
    <w:rsid w:val="00570E73"/>
    <w:rsid w:val="00570E89"/>
    <w:rsid w:val="00570EA5"/>
    <w:rsid w:val="00570EBA"/>
    <w:rsid w:val="00570F49"/>
    <w:rsid w:val="00570F57"/>
    <w:rsid w:val="00570F96"/>
    <w:rsid w:val="00571005"/>
    <w:rsid w:val="0057106C"/>
    <w:rsid w:val="005710A0"/>
    <w:rsid w:val="0057113C"/>
    <w:rsid w:val="00571226"/>
    <w:rsid w:val="00571273"/>
    <w:rsid w:val="00571316"/>
    <w:rsid w:val="005713FF"/>
    <w:rsid w:val="00571429"/>
    <w:rsid w:val="0057151B"/>
    <w:rsid w:val="005715D7"/>
    <w:rsid w:val="00571657"/>
    <w:rsid w:val="00571787"/>
    <w:rsid w:val="00571A52"/>
    <w:rsid w:val="00571A5A"/>
    <w:rsid w:val="00571B98"/>
    <w:rsid w:val="00571BE7"/>
    <w:rsid w:val="00571C47"/>
    <w:rsid w:val="00571C9C"/>
    <w:rsid w:val="00571D45"/>
    <w:rsid w:val="00571FEC"/>
    <w:rsid w:val="00572193"/>
    <w:rsid w:val="00572397"/>
    <w:rsid w:val="00572707"/>
    <w:rsid w:val="0057277C"/>
    <w:rsid w:val="005727ED"/>
    <w:rsid w:val="0057295B"/>
    <w:rsid w:val="00572A1E"/>
    <w:rsid w:val="00572ACB"/>
    <w:rsid w:val="00572B9B"/>
    <w:rsid w:val="00572BF9"/>
    <w:rsid w:val="00572CE8"/>
    <w:rsid w:val="00572DC0"/>
    <w:rsid w:val="00572EE0"/>
    <w:rsid w:val="00572F24"/>
    <w:rsid w:val="00572F9E"/>
    <w:rsid w:val="00572FCA"/>
    <w:rsid w:val="005730CA"/>
    <w:rsid w:val="0057350A"/>
    <w:rsid w:val="00573607"/>
    <w:rsid w:val="00573743"/>
    <w:rsid w:val="0057382A"/>
    <w:rsid w:val="00573887"/>
    <w:rsid w:val="00573919"/>
    <w:rsid w:val="00573B90"/>
    <w:rsid w:val="00573BF3"/>
    <w:rsid w:val="00573C54"/>
    <w:rsid w:val="00573C5F"/>
    <w:rsid w:val="00573DAF"/>
    <w:rsid w:val="00573DDD"/>
    <w:rsid w:val="00573DEB"/>
    <w:rsid w:val="00573EED"/>
    <w:rsid w:val="00573F9F"/>
    <w:rsid w:val="00573FD0"/>
    <w:rsid w:val="00574119"/>
    <w:rsid w:val="0057413B"/>
    <w:rsid w:val="00574209"/>
    <w:rsid w:val="005742F6"/>
    <w:rsid w:val="00574346"/>
    <w:rsid w:val="00574460"/>
    <w:rsid w:val="0057467E"/>
    <w:rsid w:val="005746B5"/>
    <w:rsid w:val="005747FD"/>
    <w:rsid w:val="00574831"/>
    <w:rsid w:val="005748F3"/>
    <w:rsid w:val="00574924"/>
    <w:rsid w:val="00574B3E"/>
    <w:rsid w:val="00574B99"/>
    <w:rsid w:val="00574C76"/>
    <w:rsid w:val="00574CA2"/>
    <w:rsid w:val="00574E24"/>
    <w:rsid w:val="0057515A"/>
    <w:rsid w:val="005753B8"/>
    <w:rsid w:val="00575749"/>
    <w:rsid w:val="0057576A"/>
    <w:rsid w:val="005758B2"/>
    <w:rsid w:val="005758C6"/>
    <w:rsid w:val="0057595E"/>
    <w:rsid w:val="00575B2A"/>
    <w:rsid w:val="00575BF3"/>
    <w:rsid w:val="00575D80"/>
    <w:rsid w:val="00575DA6"/>
    <w:rsid w:val="00575E23"/>
    <w:rsid w:val="00575E88"/>
    <w:rsid w:val="00575F46"/>
    <w:rsid w:val="00575FA7"/>
    <w:rsid w:val="00575FC2"/>
    <w:rsid w:val="0057601E"/>
    <w:rsid w:val="005760A5"/>
    <w:rsid w:val="0057612B"/>
    <w:rsid w:val="005761D4"/>
    <w:rsid w:val="00576392"/>
    <w:rsid w:val="005764AC"/>
    <w:rsid w:val="0057658A"/>
    <w:rsid w:val="005765A6"/>
    <w:rsid w:val="00576765"/>
    <w:rsid w:val="0057676D"/>
    <w:rsid w:val="00576800"/>
    <w:rsid w:val="00576828"/>
    <w:rsid w:val="00576BE0"/>
    <w:rsid w:val="00576C07"/>
    <w:rsid w:val="00576C86"/>
    <w:rsid w:val="00576EA7"/>
    <w:rsid w:val="00576FB1"/>
    <w:rsid w:val="00576FCC"/>
    <w:rsid w:val="00577486"/>
    <w:rsid w:val="005775DF"/>
    <w:rsid w:val="00577728"/>
    <w:rsid w:val="005778C2"/>
    <w:rsid w:val="005779C2"/>
    <w:rsid w:val="00577A83"/>
    <w:rsid w:val="00577C79"/>
    <w:rsid w:val="00577CA7"/>
    <w:rsid w:val="00577DBA"/>
    <w:rsid w:val="00577E30"/>
    <w:rsid w:val="00577E57"/>
    <w:rsid w:val="00577EC0"/>
    <w:rsid w:val="00577FC7"/>
    <w:rsid w:val="00580138"/>
    <w:rsid w:val="0058030D"/>
    <w:rsid w:val="005803D5"/>
    <w:rsid w:val="00580633"/>
    <w:rsid w:val="0058075A"/>
    <w:rsid w:val="0058087A"/>
    <w:rsid w:val="00580893"/>
    <w:rsid w:val="005809EB"/>
    <w:rsid w:val="00580A96"/>
    <w:rsid w:val="00580BCA"/>
    <w:rsid w:val="00580D03"/>
    <w:rsid w:val="00580E30"/>
    <w:rsid w:val="00580EA6"/>
    <w:rsid w:val="00580EEE"/>
    <w:rsid w:val="00580F68"/>
    <w:rsid w:val="00580F9E"/>
    <w:rsid w:val="00580FAF"/>
    <w:rsid w:val="00580FC4"/>
    <w:rsid w:val="005810B3"/>
    <w:rsid w:val="00581133"/>
    <w:rsid w:val="005811AC"/>
    <w:rsid w:val="00581381"/>
    <w:rsid w:val="005813AA"/>
    <w:rsid w:val="00581443"/>
    <w:rsid w:val="005814E5"/>
    <w:rsid w:val="00581521"/>
    <w:rsid w:val="0058158A"/>
    <w:rsid w:val="0058171C"/>
    <w:rsid w:val="0058191A"/>
    <w:rsid w:val="00581977"/>
    <w:rsid w:val="005819BE"/>
    <w:rsid w:val="00581AEE"/>
    <w:rsid w:val="00581B26"/>
    <w:rsid w:val="00581B4C"/>
    <w:rsid w:val="00581BC9"/>
    <w:rsid w:val="00581C24"/>
    <w:rsid w:val="00581E6D"/>
    <w:rsid w:val="00581F40"/>
    <w:rsid w:val="00581F51"/>
    <w:rsid w:val="0058205D"/>
    <w:rsid w:val="005821A4"/>
    <w:rsid w:val="005821C1"/>
    <w:rsid w:val="005822E2"/>
    <w:rsid w:val="0058239A"/>
    <w:rsid w:val="005825D8"/>
    <w:rsid w:val="0058285A"/>
    <w:rsid w:val="005828C5"/>
    <w:rsid w:val="00582907"/>
    <w:rsid w:val="00582969"/>
    <w:rsid w:val="00582AD1"/>
    <w:rsid w:val="00582C07"/>
    <w:rsid w:val="00582E33"/>
    <w:rsid w:val="00582EA5"/>
    <w:rsid w:val="00582EAC"/>
    <w:rsid w:val="00582F54"/>
    <w:rsid w:val="00583007"/>
    <w:rsid w:val="0058304D"/>
    <w:rsid w:val="005830DD"/>
    <w:rsid w:val="0058322A"/>
    <w:rsid w:val="0058331F"/>
    <w:rsid w:val="0058339A"/>
    <w:rsid w:val="00583414"/>
    <w:rsid w:val="005834AC"/>
    <w:rsid w:val="00583573"/>
    <w:rsid w:val="005837F9"/>
    <w:rsid w:val="00583804"/>
    <w:rsid w:val="0058389A"/>
    <w:rsid w:val="00583999"/>
    <w:rsid w:val="005839CC"/>
    <w:rsid w:val="00583A16"/>
    <w:rsid w:val="00583AED"/>
    <w:rsid w:val="00583B47"/>
    <w:rsid w:val="00583BAD"/>
    <w:rsid w:val="00583C75"/>
    <w:rsid w:val="00583CAC"/>
    <w:rsid w:val="00583CDA"/>
    <w:rsid w:val="00583EE5"/>
    <w:rsid w:val="00583FB4"/>
    <w:rsid w:val="00583FEE"/>
    <w:rsid w:val="005840DE"/>
    <w:rsid w:val="005841B3"/>
    <w:rsid w:val="0058423E"/>
    <w:rsid w:val="005842F0"/>
    <w:rsid w:val="005843EA"/>
    <w:rsid w:val="005845C2"/>
    <w:rsid w:val="00584628"/>
    <w:rsid w:val="0058466E"/>
    <w:rsid w:val="00584747"/>
    <w:rsid w:val="00584829"/>
    <w:rsid w:val="005848A7"/>
    <w:rsid w:val="005849AC"/>
    <w:rsid w:val="005849BF"/>
    <w:rsid w:val="00584AE8"/>
    <w:rsid w:val="00584D3C"/>
    <w:rsid w:val="00584EB4"/>
    <w:rsid w:val="00584F4D"/>
    <w:rsid w:val="00585007"/>
    <w:rsid w:val="0058502E"/>
    <w:rsid w:val="0058503E"/>
    <w:rsid w:val="00585075"/>
    <w:rsid w:val="00585093"/>
    <w:rsid w:val="0058509C"/>
    <w:rsid w:val="005850D7"/>
    <w:rsid w:val="00585344"/>
    <w:rsid w:val="0058534B"/>
    <w:rsid w:val="0058541C"/>
    <w:rsid w:val="0058542C"/>
    <w:rsid w:val="005854A3"/>
    <w:rsid w:val="00585873"/>
    <w:rsid w:val="005858CF"/>
    <w:rsid w:val="00585934"/>
    <w:rsid w:val="00585B0A"/>
    <w:rsid w:val="00585BA5"/>
    <w:rsid w:val="00585BE2"/>
    <w:rsid w:val="00585D5F"/>
    <w:rsid w:val="00585DC0"/>
    <w:rsid w:val="00585DF4"/>
    <w:rsid w:val="00585F2E"/>
    <w:rsid w:val="005860B4"/>
    <w:rsid w:val="005861A1"/>
    <w:rsid w:val="005861EB"/>
    <w:rsid w:val="005862D2"/>
    <w:rsid w:val="00586442"/>
    <w:rsid w:val="0058657A"/>
    <w:rsid w:val="0058659F"/>
    <w:rsid w:val="00586670"/>
    <w:rsid w:val="005868BB"/>
    <w:rsid w:val="00586A64"/>
    <w:rsid w:val="00586BA1"/>
    <w:rsid w:val="00586BA8"/>
    <w:rsid w:val="00586C4F"/>
    <w:rsid w:val="00586DD7"/>
    <w:rsid w:val="00586E60"/>
    <w:rsid w:val="00586F4A"/>
    <w:rsid w:val="00586F5F"/>
    <w:rsid w:val="0058711A"/>
    <w:rsid w:val="00587164"/>
    <w:rsid w:val="00587375"/>
    <w:rsid w:val="005874FC"/>
    <w:rsid w:val="00587676"/>
    <w:rsid w:val="00587696"/>
    <w:rsid w:val="005876EE"/>
    <w:rsid w:val="00587814"/>
    <w:rsid w:val="005878EF"/>
    <w:rsid w:val="00587ABC"/>
    <w:rsid w:val="00587AC5"/>
    <w:rsid w:val="00587CA0"/>
    <w:rsid w:val="00587EEF"/>
    <w:rsid w:val="00590084"/>
    <w:rsid w:val="005901C3"/>
    <w:rsid w:val="0059023E"/>
    <w:rsid w:val="005902FF"/>
    <w:rsid w:val="0059037A"/>
    <w:rsid w:val="005903A9"/>
    <w:rsid w:val="0059045B"/>
    <w:rsid w:val="005904B5"/>
    <w:rsid w:val="00590545"/>
    <w:rsid w:val="0059063D"/>
    <w:rsid w:val="0059068F"/>
    <w:rsid w:val="005906CA"/>
    <w:rsid w:val="00590801"/>
    <w:rsid w:val="00590855"/>
    <w:rsid w:val="005909DE"/>
    <w:rsid w:val="00590C56"/>
    <w:rsid w:val="00590C7E"/>
    <w:rsid w:val="00590D17"/>
    <w:rsid w:val="00590E87"/>
    <w:rsid w:val="00590EDB"/>
    <w:rsid w:val="00590F32"/>
    <w:rsid w:val="00590FE9"/>
    <w:rsid w:val="0059108C"/>
    <w:rsid w:val="00591114"/>
    <w:rsid w:val="005914A8"/>
    <w:rsid w:val="005914DF"/>
    <w:rsid w:val="0059153A"/>
    <w:rsid w:val="0059153F"/>
    <w:rsid w:val="00591676"/>
    <w:rsid w:val="005918D2"/>
    <w:rsid w:val="00591915"/>
    <w:rsid w:val="00591957"/>
    <w:rsid w:val="0059197E"/>
    <w:rsid w:val="00591A6D"/>
    <w:rsid w:val="00591B55"/>
    <w:rsid w:val="00591BC8"/>
    <w:rsid w:val="00591D21"/>
    <w:rsid w:val="00591D24"/>
    <w:rsid w:val="00591DD3"/>
    <w:rsid w:val="00591E4A"/>
    <w:rsid w:val="00591ED1"/>
    <w:rsid w:val="00591F26"/>
    <w:rsid w:val="00591F7C"/>
    <w:rsid w:val="00592015"/>
    <w:rsid w:val="0059217C"/>
    <w:rsid w:val="00592249"/>
    <w:rsid w:val="00592508"/>
    <w:rsid w:val="0059250F"/>
    <w:rsid w:val="00592519"/>
    <w:rsid w:val="0059252F"/>
    <w:rsid w:val="00592696"/>
    <w:rsid w:val="0059277F"/>
    <w:rsid w:val="005928B2"/>
    <w:rsid w:val="00592916"/>
    <w:rsid w:val="00592A06"/>
    <w:rsid w:val="00592AC3"/>
    <w:rsid w:val="00592B70"/>
    <w:rsid w:val="00592BBC"/>
    <w:rsid w:val="00592BDF"/>
    <w:rsid w:val="00592C89"/>
    <w:rsid w:val="00592D3A"/>
    <w:rsid w:val="00592E33"/>
    <w:rsid w:val="00592EA7"/>
    <w:rsid w:val="00592FCC"/>
    <w:rsid w:val="00593028"/>
    <w:rsid w:val="00593087"/>
    <w:rsid w:val="005930ED"/>
    <w:rsid w:val="00593128"/>
    <w:rsid w:val="005932A3"/>
    <w:rsid w:val="005933B9"/>
    <w:rsid w:val="00593420"/>
    <w:rsid w:val="0059344D"/>
    <w:rsid w:val="00593522"/>
    <w:rsid w:val="005936F8"/>
    <w:rsid w:val="00593783"/>
    <w:rsid w:val="0059385D"/>
    <w:rsid w:val="00593885"/>
    <w:rsid w:val="005938A3"/>
    <w:rsid w:val="005938DE"/>
    <w:rsid w:val="00593A14"/>
    <w:rsid w:val="00593BE6"/>
    <w:rsid w:val="00593C1A"/>
    <w:rsid w:val="00593CDE"/>
    <w:rsid w:val="00593D44"/>
    <w:rsid w:val="00593D58"/>
    <w:rsid w:val="00593FCD"/>
    <w:rsid w:val="0059409D"/>
    <w:rsid w:val="00594156"/>
    <w:rsid w:val="00594274"/>
    <w:rsid w:val="005943B0"/>
    <w:rsid w:val="0059443E"/>
    <w:rsid w:val="005946A5"/>
    <w:rsid w:val="005946B4"/>
    <w:rsid w:val="00594719"/>
    <w:rsid w:val="00594870"/>
    <w:rsid w:val="00594996"/>
    <w:rsid w:val="00594B5B"/>
    <w:rsid w:val="00594C0E"/>
    <w:rsid w:val="00594D52"/>
    <w:rsid w:val="00594EC8"/>
    <w:rsid w:val="00594ED5"/>
    <w:rsid w:val="00594F5F"/>
    <w:rsid w:val="005950E8"/>
    <w:rsid w:val="0059513A"/>
    <w:rsid w:val="00595179"/>
    <w:rsid w:val="005951D9"/>
    <w:rsid w:val="005952A8"/>
    <w:rsid w:val="00595322"/>
    <w:rsid w:val="0059533B"/>
    <w:rsid w:val="00595368"/>
    <w:rsid w:val="0059552D"/>
    <w:rsid w:val="0059568B"/>
    <w:rsid w:val="00595B49"/>
    <w:rsid w:val="00595B91"/>
    <w:rsid w:val="00595CBE"/>
    <w:rsid w:val="00595D58"/>
    <w:rsid w:val="00595D6C"/>
    <w:rsid w:val="00595DE8"/>
    <w:rsid w:val="00595E5C"/>
    <w:rsid w:val="00595EF3"/>
    <w:rsid w:val="00595F27"/>
    <w:rsid w:val="00595FCA"/>
    <w:rsid w:val="005962A6"/>
    <w:rsid w:val="0059645B"/>
    <w:rsid w:val="005964F0"/>
    <w:rsid w:val="00596570"/>
    <w:rsid w:val="005965AA"/>
    <w:rsid w:val="005966A9"/>
    <w:rsid w:val="0059691C"/>
    <w:rsid w:val="0059691D"/>
    <w:rsid w:val="0059697A"/>
    <w:rsid w:val="0059697D"/>
    <w:rsid w:val="005969CE"/>
    <w:rsid w:val="005969E3"/>
    <w:rsid w:val="005969F8"/>
    <w:rsid w:val="00596ACF"/>
    <w:rsid w:val="00596B20"/>
    <w:rsid w:val="00596B3E"/>
    <w:rsid w:val="00596BD6"/>
    <w:rsid w:val="00596F7D"/>
    <w:rsid w:val="00596FA4"/>
    <w:rsid w:val="00596FE6"/>
    <w:rsid w:val="005970A0"/>
    <w:rsid w:val="00597156"/>
    <w:rsid w:val="00597486"/>
    <w:rsid w:val="0059749E"/>
    <w:rsid w:val="005974A6"/>
    <w:rsid w:val="005975E3"/>
    <w:rsid w:val="005975FA"/>
    <w:rsid w:val="0059762A"/>
    <w:rsid w:val="005976E4"/>
    <w:rsid w:val="005977DB"/>
    <w:rsid w:val="005977F7"/>
    <w:rsid w:val="00597971"/>
    <w:rsid w:val="00597A5F"/>
    <w:rsid w:val="00597A8B"/>
    <w:rsid w:val="00597B7E"/>
    <w:rsid w:val="00597CA2"/>
    <w:rsid w:val="00597DDB"/>
    <w:rsid w:val="00597E51"/>
    <w:rsid w:val="00597E6E"/>
    <w:rsid w:val="00597E7F"/>
    <w:rsid w:val="00597EB1"/>
    <w:rsid w:val="00597ED8"/>
    <w:rsid w:val="005A0190"/>
    <w:rsid w:val="005A0223"/>
    <w:rsid w:val="005A027E"/>
    <w:rsid w:val="005A028F"/>
    <w:rsid w:val="005A02D6"/>
    <w:rsid w:val="005A0378"/>
    <w:rsid w:val="005A0393"/>
    <w:rsid w:val="005A03C1"/>
    <w:rsid w:val="005A0403"/>
    <w:rsid w:val="005A04F7"/>
    <w:rsid w:val="005A0520"/>
    <w:rsid w:val="005A06D7"/>
    <w:rsid w:val="005A08B8"/>
    <w:rsid w:val="005A09DC"/>
    <w:rsid w:val="005A09E9"/>
    <w:rsid w:val="005A0B7F"/>
    <w:rsid w:val="005A0CDD"/>
    <w:rsid w:val="005A0E8F"/>
    <w:rsid w:val="005A0EA7"/>
    <w:rsid w:val="005A104F"/>
    <w:rsid w:val="005A10A8"/>
    <w:rsid w:val="005A10B5"/>
    <w:rsid w:val="005A1118"/>
    <w:rsid w:val="005A1180"/>
    <w:rsid w:val="005A1341"/>
    <w:rsid w:val="005A13C0"/>
    <w:rsid w:val="005A15DE"/>
    <w:rsid w:val="005A1753"/>
    <w:rsid w:val="005A1820"/>
    <w:rsid w:val="005A1859"/>
    <w:rsid w:val="005A188C"/>
    <w:rsid w:val="005A1A00"/>
    <w:rsid w:val="005A1AC5"/>
    <w:rsid w:val="005A1D31"/>
    <w:rsid w:val="005A1D9E"/>
    <w:rsid w:val="005A1DB1"/>
    <w:rsid w:val="005A1E94"/>
    <w:rsid w:val="005A1EE0"/>
    <w:rsid w:val="005A1F9A"/>
    <w:rsid w:val="005A20DE"/>
    <w:rsid w:val="005A210D"/>
    <w:rsid w:val="005A25CF"/>
    <w:rsid w:val="005A26BD"/>
    <w:rsid w:val="005A2935"/>
    <w:rsid w:val="005A2941"/>
    <w:rsid w:val="005A2959"/>
    <w:rsid w:val="005A2BD9"/>
    <w:rsid w:val="005A2BED"/>
    <w:rsid w:val="005A2D8F"/>
    <w:rsid w:val="005A2DE1"/>
    <w:rsid w:val="005A2E46"/>
    <w:rsid w:val="005A2F7E"/>
    <w:rsid w:val="005A3010"/>
    <w:rsid w:val="005A30B6"/>
    <w:rsid w:val="005A30B8"/>
    <w:rsid w:val="005A3221"/>
    <w:rsid w:val="005A332A"/>
    <w:rsid w:val="005A3409"/>
    <w:rsid w:val="005A342C"/>
    <w:rsid w:val="005A3469"/>
    <w:rsid w:val="005A34D2"/>
    <w:rsid w:val="005A3539"/>
    <w:rsid w:val="005A35DB"/>
    <w:rsid w:val="005A375A"/>
    <w:rsid w:val="005A37F1"/>
    <w:rsid w:val="005A3835"/>
    <w:rsid w:val="005A3925"/>
    <w:rsid w:val="005A39D1"/>
    <w:rsid w:val="005A3A1A"/>
    <w:rsid w:val="005A3A58"/>
    <w:rsid w:val="005A3A5E"/>
    <w:rsid w:val="005A3B77"/>
    <w:rsid w:val="005A3EA0"/>
    <w:rsid w:val="005A3FEC"/>
    <w:rsid w:val="005A4161"/>
    <w:rsid w:val="005A4190"/>
    <w:rsid w:val="005A4459"/>
    <w:rsid w:val="005A450C"/>
    <w:rsid w:val="005A4550"/>
    <w:rsid w:val="005A45C1"/>
    <w:rsid w:val="005A4601"/>
    <w:rsid w:val="005A46F8"/>
    <w:rsid w:val="005A4768"/>
    <w:rsid w:val="005A482B"/>
    <w:rsid w:val="005A4942"/>
    <w:rsid w:val="005A4947"/>
    <w:rsid w:val="005A4B7B"/>
    <w:rsid w:val="005A4C5A"/>
    <w:rsid w:val="005A4C95"/>
    <w:rsid w:val="005A4D12"/>
    <w:rsid w:val="005A4DB5"/>
    <w:rsid w:val="005A4F7A"/>
    <w:rsid w:val="005A4FDB"/>
    <w:rsid w:val="005A50EF"/>
    <w:rsid w:val="005A50FA"/>
    <w:rsid w:val="005A522B"/>
    <w:rsid w:val="005A545F"/>
    <w:rsid w:val="005A5A0D"/>
    <w:rsid w:val="005A5A8F"/>
    <w:rsid w:val="005A5B07"/>
    <w:rsid w:val="005A5C91"/>
    <w:rsid w:val="005A5F05"/>
    <w:rsid w:val="005A5F34"/>
    <w:rsid w:val="005A5F37"/>
    <w:rsid w:val="005A5FAB"/>
    <w:rsid w:val="005A6023"/>
    <w:rsid w:val="005A606F"/>
    <w:rsid w:val="005A6093"/>
    <w:rsid w:val="005A60D9"/>
    <w:rsid w:val="005A61A8"/>
    <w:rsid w:val="005A6239"/>
    <w:rsid w:val="005A6303"/>
    <w:rsid w:val="005A6317"/>
    <w:rsid w:val="005A6342"/>
    <w:rsid w:val="005A6367"/>
    <w:rsid w:val="005A6452"/>
    <w:rsid w:val="005A6492"/>
    <w:rsid w:val="005A650D"/>
    <w:rsid w:val="005A655D"/>
    <w:rsid w:val="005A6802"/>
    <w:rsid w:val="005A69BE"/>
    <w:rsid w:val="005A6A0B"/>
    <w:rsid w:val="005A6BC8"/>
    <w:rsid w:val="005A6C40"/>
    <w:rsid w:val="005A6C7B"/>
    <w:rsid w:val="005A6E53"/>
    <w:rsid w:val="005A6E73"/>
    <w:rsid w:val="005A6EA9"/>
    <w:rsid w:val="005A7004"/>
    <w:rsid w:val="005A70D8"/>
    <w:rsid w:val="005A7123"/>
    <w:rsid w:val="005A7402"/>
    <w:rsid w:val="005A746A"/>
    <w:rsid w:val="005A748D"/>
    <w:rsid w:val="005A76F6"/>
    <w:rsid w:val="005A773C"/>
    <w:rsid w:val="005A7859"/>
    <w:rsid w:val="005A7A03"/>
    <w:rsid w:val="005A7B4F"/>
    <w:rsid w:val="005A7C3F"/>
    <w:rsid w:val="005A7D6C"/>
    <w:rsid w:val="005B00A0"/>
    <w:rsid w:val="005B0225"/>
    <w:rsid w:val="005B0243"/>
    <w:rsid w:val="005B02AE"/>
    <w:rsid w:val="005B031A"/>
    <w:rsid w:val="005B037A"/>
    <w:rsid w:val="005B04D5"/>
    <w:rsid w:val="005B051E"/>
    <w:rsid w:val="005B052A"/>
    <w:rsid w:val="005B072F"/>
    <w:rsid w:val="005B0742"/>
    <w:rsid w:val="005B081A"/>
    <w:rsid w:val="005B0948"/>
    <w:rsid w:val="005B09E9"/>
    <w:rsid w:val="005B0AE9"/>
    <w:rsid w:val="005B0B5D"/>
    <w:rsid w:val="005B0CBC"/>
    <w:rsid w:val="005B0D68"/>
    <w:rsid w:val="005B0D7A"/>
    <w:rsid w:val="005B0E2C"/>
    <w:rsid w:val="005B0E34"/>
    <w:rsid w:val="005B1176"/>
    <w:rsid w:val="005B1278"/>
    <w:rsid w:val="005B127F"/>
    <w:rsid w:val="005B1295"/>
    <w:rsid w:val="005B1308"/>
    <w:rsid w:val="005B134D"/>
    <w:rsid w:val="005B148A"/>
    <w:rsid w:val="005B1498"/>
    <w:rsid w:val="005B1642"/>
    <w:rsid w:val="005B17FB"/>
    <w:rsid w:val="005B186B"/>
    <w:rsid w:val="005B188E"/>
    <w:rsid w:val="005B197C"/>
    <w:rsid w:val="005B199A"/>
    <w:rsid w:val="005B19B9"/>
    <w:rsid w:val="005B19FE"/>
    <w:rsid w:val="005B1B3D"/>
    <w:rsid w:val="005B1C6D"/>
    <w:rsid w:val="005B1C73"/>
    <w:rsid w:val="005B1C9B"/>
    <w:rsid w:val="005B1CB5"/>
    <w:rsid w:val="005B1DDF"/>
    <w:rsid w:val="005B1EFC"/>
    <w:rsid w:val="005B1F55"/>
    <w:rsid w:val="005B1FCA"/>
    <w:rsid w:val="005B220B"/>
    <w:rsid w:val="005B222C"/>
    <w:rsid w:val="005B22D4"/>
    <w:rsid w:val="005B22EF"/>
    <w:rsid w:val="005B235F"/>
    <w:rsid w:val="005B2390"/>
    <w:rsid w:val="005B23DF"/>
    <w:rsid w:val="005B2774"/>
    <w:rsid w:val="005B27D3"/>
    <w:rsid w:val="005B28E5"/>
    <w:rsid w:val="005B290B"/>
    <w:rsid w:val="005B2998"/>
    <w:rsid w:val="005B2AD4"/>
    <w:rsid w:val="005B2B23"/>
    <w:rsid w:val="005B2B24"/>
    <w:rsid w:val="005B2D82"/>
    <w:rsid w:val="005B2E49"/>
    <w:rsid w:val="005B2E6A"/>
    <w:rsid w:val="005B2EB9"/>
    <w:rsid w:val="005B302B"/>
    <w:rsid w:val="005B30BE"/>
    <w:rsid w:val="005B30D8"/>
    <w:rsid w:val="005B31DC"/>
    <w:rsid w:val="005B32E0"/>
    <w:rsid w:val="005B3334"/>
    <w:rsid w:val="005B34AB"/>
    <w:rsid w:val="005B3516"/>
    <w:rsid w:val="005B3518"/>
    <w:rsid w:val="005B36A2"/>
    <w:rsid w:val="005B36AB"/>
    <w:rsid w:val="005B36EC"/>
    <w:rsid w:val="005B375D"/>
    <w:rsid w:val="005B3A51"/>
    <w:rsid w:val="005B3AE8"/>
    <w:rsid w:val="005B3C01"/>
    <w:rsid w:val="005B3C1F"/>
    <w:rsid w:val="005B3F53"/>
    <w:rsid w:val="005B3F7D"/>
    <w:rsid w:val="005B400C"/>
    <w:rsid w:val="005B4411"/>
    <w:rsid w:val="005B44B6"/>
    <w:rsid w:val="005B457A"/>
    <w:rsid w:val="005B45B8"/>
    <w:rsid w:val="005B45D3"/>
    <w:rsid w:val="005B46CE"/>
    <w:rsid w:val="005B4813"/>
    <w:rsid w:val="005B4943"/>
    <w:rsid w:val="005B499D"/>
    <w:rsid w:val="005B4D89"/>
    <w:rsid w:val="005B4DE6"/>
    <w:rsid w:val="005B4F6E"/>
    <w:rsid w:val="005B5019"/>
    <w:rsid w:val="005B5153"/>
    <w:rsid w:val="005B51DD"/>
    <w:rsid w:val="005B525D"/>
    <w:rsid w:val="005B53C8"/>
    <w:rsid w:val="005B5413"/>
    <w:rsid w:val="005B5428"/>
    <w:rsid w:val="005B5532"/>
    <w:rsid w:val="005B55D8"/>
    <w:rsid w:val="005B5754"/>
    <w:rsid w:val="005B577C"/>
    <w:rsid w:val="005B57B2"/>
    <w:rsid w:val="005B57FB"/>
    <w:rsid w:val="005B580C"/>
    <w:rsid w:val="005B5838"/>
    <w:rsid w:val="005B5A61"/>
    <w:rsid w:val="005B5A94"/>
    <w:rsid w:val="005B5BE2"/>
    <w:rsid w:val="005B5CEA"/>
    <w:rsid w:val="005B5E6A"/>
    <w:rsid w:val="005B5F03"/>
    <w:rsid w:val="005B6049"/>
    <w:rsid w:val="005B619D"/>
    <w:rsid w:val="005B62E1"/>
    <w:rsid w:val="005B6306"/>
    <w:rsid w:val="005B63BC"/>
    <w:rsid w:val="005B67FE"/>
    <w:rsid w:val="005B6A42"/>
    <w:rsid w:val="005B6A43"/>
    <w:rsid w:val="005B6A7C"/>
    <w:rsid w:val="005B6A85"/>
    <w:rsid w:val="005B6C18"/>
    <w:rsid w:val="005B6F16"/>
    <w:rsid w:val="005B6F42"/>
    <w:rsid w:val="005B6FDE"/>
    <w:rsid w:val="005B7190"/>
    <w:rsid w:val="005B71D8"/>
    <w:rsid w:val="005B7400"/>
    <w:rsid w:val="005B7431"/>
    <w:rsid w:val="005B7554"/>
    <w:rsid w:val="005B756F"/>
    <w:rsid w:val="005B761D"/>
    <w:rsid w:val="005B7675"/>
    <w:rsid w:val="005B76EE"/>
    <w:rsid w:val="005B7813"/>
    <w:rsid w:val="005B7962"/>
    <w:rsid w:val="005B7AC6"/>
    <w:rsid w:val="005B7B12"/>
    <w:rsid w:val="005B7B2B"/>
    <w:rsid w:val="005B7B66"/>
    <w:rsid w:val="005B7C3D"/>
    <w:rsid w:val="005B7F41"/>
    <w:rsid w:val="005C0104"/>
    <w:rsid w:val="005C0120"/>
    <w:rsid w:val="005C031D"/>
    <w:rsid w:val="005C036C"/>
    <w:rsid w:val="005C0373"/>
    <w:rsid w:val="005C042C"/>
    <w:rsid w:val="005C04EA"/>
    <w:rsid w:val="005C056E"/>
    <w:rsid w:val="005C06B6"/>
    <w:rsid w:val="005C072D"/>
    <w:rsid w:val="005C07E1"/>
    <w:rsid w:val="005C0A6A"/>
    <w:rsid w:val="005C0C01"/>
    <w:rsid w:val="005C0CC5"/>
    <w:rsid w:val="005C0D5B"/>
    <w:rsid w:val="005C0DA5"/>
    <w:rsid w:val="005C0E98"/>
    <w:rsid w:val="005C0EB0"/>
    <w:rsid w:val="005C0EC4"/>
    <w:rsid w:val="005C0F5E"/>
    <w:rsid w:val="005C10F4"/>
    <w:rsid w:val="005C111A"/>
    <w:rsid w:val="005C1164"/>
    <w:rsid w:val="005C118D"/>
    <w:rsid w:val="005C11DA"/>
    <w:rsid w:val="005C1310"/>
    <w:rsid w:val="005C1379"/>
    <w:rsid w:val="005C162A"/>
    <w:rsid w:val="005C170A"/>
    <w:rsid w:val="005C177B"/>
    <w:rsid w:val="005C17D5"/>
    <w:rsid w:val="005C17EF"/>
    <w:rsid w:val="005C1932"/>
    <w:rsid w:val="005C1A37"/>
    <w:rsid w:val="005C1A8A"/>
    <w:rsid w:val="005C1C77"/>
    <w:rsid w:val="005C1CD5"/>
    <w:rsid w:val="005C1E15"/>
    <w:rsid w:val="005C1E20"/>
    <w:rsid w:val="005C20DE"/>
    <w:rsid w:val="005C21BC"/>
    <w:rsid w:val="005C25D9"/>
    <w:rsid w:val="005C26BF"/>
    <w:rsid w:val="005C29CC"/>
    <w:rsid w:val="005C2BAD"/>
    <w:rsid w:val="005C2C43"/>
    <w:rsid w:val="005C2CEF"/>
    <w:rsid w:val="005C2D12"/>
    <w:rsid w:val="005C2F3F"/>
    <w:rsid w:val="005C307C"/>
    <w:rsid w:val="005C3151"/>
    <w:rsid w:val="005C3198"/>
    <w:rsid w:val="005C322E"/>
    <w:rsid w:val="005C32FA"/>
    <w:rsid w:val="005C347E"/>
    <w:rsid w:val="005C3515"/>
    <w:rsid w:val="005C38F0"/>
    <w:rsid w:val="005C390C"/>
    <w:rsid w:val="005C3C8C"/>
    <w:rsid w:val="005C3CC5"/>
    <w:rsid w:val="005C3D64"/>
    <w:rsid w:val="005C3E1B"/>
    <w:rsid w:val="005C3E45"/>
    <w:rsid w:val="005C3F45"/>
    <w:rsid w:val="005C4073"/>
    <w:rsid w:val="005C4074"/>
    <w:rsid w:val="005C414A"/>
    <w:rsid w:val="005C427B"/>
    <w:rsid w:val="005C43B6"/>
    <w:rsid w:val="005C45BC"/>
    <w:rsid w:val="005C45E7"/>
    <w:rsid w:val="005C460D"/>
    <w:rsid w:val="005C4680"/>
    <w:rsid w:val="005C479D"/>
    <w:rsid w:val="005C4815"/>
    <w:rsid w:val="005C483C"/>
    <w:rsid w:val="005C49D0"/>
    <w:rsid w:val="005C4A93"/>
    <w:rsid w:val="005C4CE0"/>
    <w:rsid w:val="005C4E56"/>
    <w:rsid w:val="005C4E85"/>
    <w:rsid w:val="005C50A4"/>
    <w:rsid w:val="005C5171"/>
    <w:rsid w:val="005C5389"/>
    <w:rsid w:val="005C54C5"/>
    <w:rsid w:val="005C5694"/>
    <w:rsid w:val="005C5871"/>
    <w:rsid w:val="005C5AAE"/>
    <w:rsid w:val="005C5AC3"/>
    <w:rsid w:val="005C5B82"/>
    <w:rsid w:val="005C5B87"/>
    <w:rsid w:val="005C5DAA"/>
    <w:rsid w:val="005C5E66"/>
    <w:rsid w:val="005C5F9A"/>
    <w:rsid w:val="005C6012"/>
    <w:rsid w:val="005C60DF"/>
    <w:rsid w:val="005C6253"/>
    <w:rsid w:val="005C6448"/>
    <w:rsid w:val="005C65BE"/>
    <w:rsid w:val="005C6693"/>
    <w:rsid w:val="005C6A86"/>
    <w:rsid w:val="005C6C55"/>
    <w:rsid w:val="005C6C76"/>
    <w:rsid w:val="005C6E33"/>
    <w:rsid w:val="005C6F96"/>
    <w:rsid w:val="005C7107"/>
    <w:rsid w:val="005C723C"/>
    <w:rsid w:val="005C7270"/>
    <w:rsid w:val="005C7325"/>
    <w:rsid w:val="005C77D1"/>
    <w:rsid w:val="005C78AC"/>
    <w:rsid w:val="005C78F1"/>
    <w:rsid w:val="005C7912"/>
    <w:rsid w:val="005C7A72"/>
    <w:rsid w:val="005C7AAB"/>
    <w:rsid w:val="005C7B33"/>
    <w:rsid w:val="005C7C2F"/>
    <w:rsid w:val="005C7C3D"/>
    <w:rsid w:val="005C7D49"/>
    <w:rsid w:val="005C7DC6"/>
    <w:rsid w:val="005C7DE1"/>
    <w:rsid w:val="005C7E2B"/>
    <w:rsid w:val="005D012A"/>
    <w:rsid w:val="005D0316"/>
    <w:rsid w:val="005D0487"/>
    <w:rsid w:val="005D048C"/>
    <w:rsid w:val="005D0687"/>
    <w:rsid w:val="005D06EB"/>
    <w:rsid w:val="005D0766"/>
    <w:rsid w:val="005D0853"/>
    <w:rsid w:val="005D0915"/>
    <w:rsid w:val="005D0A47"/>
    <w:rsid w:val="005D0A8E"/>
    <w:rsid w:val="005D0BF6"/>
    <w:rsid w:val="005D0C6F"/>
    <w:rsid w:val="005D0C85"/>
    <w:rsid w:val="005D0CF7"/>
    <w:rsid w:val="005D0D47"/>
    <w:rsid w:val="005D0E3C"/>
    <w:rsid w:val="005D1008"/>
    <w:rsid w:val="005D105E"/>
    <w:rsid w:val="005D1277"/>
    <w:rsid w:val="005D12C5"/>
    <w:rsid w:val="005D1555"/>
    <w:rsid w:val="005D15FA"/>
    <w:rsid w:val="005D1640"/>
    <w:rsid w:val="005D16D0"/>
    <w:rsid w:val="005D16FA"/>
    <w:rsid w:val="005D1739"/>
    <w:rsid w:val="005D1935"/>
    <w:rsid w:val="005D1969"/>
    <w:rsid w:val="005D1977"/>
    <w:rsid w:val="005D198D"/>
    <w:rsid w:val="005D1A3D"/>
    <w:rsid w:val="005D1ACF"/>
    <w:rsid w:val="005D1B62"/>
    <w:rsid w:val="005D1BE3"/>
    <w:rsid w:val="005D1D0E"/>
    <w:rsid w:val="005D1EA8"/>
    <w:rsid w:val="005D1ED7"/>
    <w:rsid w:val="005D2216"/>
    <w:rsid w:val="005D2261"/>
    <w:rsid w:val="005D233D"/>
    <w:rsid w:val="005D2412"/>
    <w:rsid w:val="005D25C7"/>
    <w:rsid w:val="005D2603"/>
    <w:rsid w:val="005D2632"/>
    <w:rsid w:val="005D267C"/>
    <w:rsid w:val="005D2838"/>
    <w:rsid w:val="005D2994"/>
    <w:rsid w:val="005D2B5C"/>
    <w:rsid w:val="005D2E88"/>
    <w:rsid w:val="005D2EE9"/>
    <w:rsid w:val="005D2F12"/>
    <w:rsid w:val="005D2F17"/>
    <w:rsid w:val="005D31F6"/>
    <w:rsid w:val="005D32B1"/>
    <w:rsid w:val="005D3331"/>
    <w:rsid w:val="005D337B"/>
    <w:rsid w:val="005D33F8"/>
    <w:rsid w:val="005D34AE"/>
    <w:rsid w:val="005D35DD"/>
    <w:rsid w:val="005D3661"/>
    <w:rsid w:val="005D3693"/>
    <w:rsid w:val="005D3740"/>
    <w:rsid w:val="005D3910"/>
    <w:rsid w:val="005D399B"/>
    <w:rsid w:val="005D39B6"/>
    <w:rsid w:val="005D39C6"/>
    <w:rsid w:val="005D3B5C"/>
    <w:rsid w:val="005D3C06"/>
    <w:rsid w:val="005D3D85"/>
    <w:rsid w:val="005D3DB6"/>
    <w:rsid w:val="005D3DCF"/>
    <w:rsid w:val="005D3EBB"/>
    <w:rsid w:val="005D3F03"/>
    <w:rsid w:val="005D4117"/>
    <w:rsid w:val="005D41D9"/>
    <w:rsid w:val="005D41FE"/>
    <w:rsid w:val="005D43D4"/>
    <w:rsid w:val="005D45A4"/>
    <w:rsid w:val="005D45BF"/>
    <w:rsid w:val="005D49B6"/>
    <w:rsid w:val="005D4A89"/>
    <w:rsid w:val="005D4AC7"/>
    <w:rsid w:val="005D4AE8"/>
    <w:rsid w:val="005D4B47"/>
    <w:rsid w:val="005D4BC7"/>
    <w:rsid w:val="005D4C04"/>
    <w:rsid w:val="005D4E45"/>
    <w:rsid w:val="005D4EEA"/>
    <w:rsid w:val="005D4F01"/>
    <w:rsid w:val="005D4F9A"/>
    <w:rsid w:val="005D4FD3"/>
    <w:rsid w:val="005D5064"/>
    <w:rsid w:val="005D50A0"/>
    <w:rsid w:val="005D5433"/>
    <w:rsid w:val="005D548B"/>
    <w:rsid w:val="005D54BD"/>
    <w:rsid w:val="005D5537"/>
    <w:rsid w:val="005D55AB"/>
    <w:rsid w:val="005D56F4"/>
    <w:rsid w:val="005D58D2"/>
    <w:rsid w:val="005D5910"/>
    <w:rsid w:val="005D59D6"/>
    <w:rsid w:val="005D5B92"/>
    <w:rsid w:val="005D5D2F"/>
    <w:rsid w:val="005D5D65"/>
    <w:rsid w:val="005D5EAC"/>
    <w:rsid w:val="005D5F54"/>
    <w:rsid w:val="005D5FC5"/>
    <w:rsid w:val="005D6014"/>
    <w:rsid w:val="005D60E0"/>
    <w:rsid w:val="005D62D6"/>
    <w:rsid w:val="005D6471"/>
    <w:rsid w:val="005D64FC"/>
    <w:rsid w:val="005D67E3"/>
    <w:rsid w:val="005D6811"/>
    <w:rsid w:val="005D6821"/>
    <w:rsid w:val="005D684B"/>
    <w:rsid w:val="005D690D"/>
    <w:rsid w:val="005D6948"/>
    <w:rsid w:val="005D69B2"/>
    <w:rsid w:val="005D6B2D"/>
    <w:rsid w:val="005D6BA2"/>
    <w:rsid w:val="005D6BB1"/>
    <w:rsid w:val="005D6CD5"/>
    <w:rsid w:val="005D6DFD"/>
    <w:rsid w:val="005D6EBF"/>
    <w:rsid w:val="005D6FB1"/>
    <w:rsid w:val="005D71B4"/>
    <w:rsid w:val="005D7283"/>
    <w:rsid w:val="005D7286"/>
    <w:rsid w:val="005D7296"/>
    <w:rsid w:val="005D72FC"/>
    <w:rsid w:val="005D7355"/>
    <w:rsid w:val="005D7679"/>
    <w:rsid w:val="005D7767"/>
    <w:rsid w:val="005D782F"/>
    <w:rsid w:val="005D7890"/>
    <w:rsid w:val="005D7951"/>
    <w:rsid w:val="005D7AA4"/>
    <w:rsid w:val="005D7BA0"/>
    <w:rsid w:val="005D7BBE"/>
    <w:rsid w:val="005D7BD8"/>
    <w:rsid w:val="005D7BE1"/>
    <w:rsid w:val="005D7E6B"/>
    <w:rsid w:val="005D7F07"/>
    <w:rsid w:val="005D7F8B"/>
    <w:rsid w:val="005E00FF"/>
    <w:rsid w:val="005E036E"/>
    <w:rsid w:val="005E0409"/>
    <w:rsid w:val="005E0498"/>
    <w:rsid w:val="005E0580"/>
    <w:rsid w:val="005E080F"/>
    <w:rsid w:val="005E08CB"/>
    <w:rsid w:val="005E093D"/>
    <w:rsid w:val="005E09AF"/>
    <w:rsid w:val="005E09D8"/>
    <w:rsid w:val="005E0A56"/>
    <w:rsid w:val="005E0A76"/>
    <w:rsid w:val="005E0B03"/>
    <w:rsid w:val="005E0B52"/>
    <w:rsid w:val="005E0E09"/>
    <w:rsid w:val="005E0EB4"/>
    <w:rsid w:val="005E101C"/>
    <w:rsid w:val="005E1065"/>
    <w:rsid w:val="005E10E6"/>
    <w:rsid w:val="005E11EC"/>
    <w:rsid w:val="005E1411"/>
    <w:rsid w:val="005E1465"/>
    <w:rsid w:val="005E1497"/>
    <w:rsid w:val="005E1505"/>
    <w:rsid w:val="005E151A"/>
    <w:rsid w:val="005E1520"/>
    <w:rsid w:val="005E1573"/>
    <w:rsid w:val="005E15A6"/>
    <w:rsid w:val="005E15B0"/>
    <w:rsid w:val="005E160E"/>
    <w:rsid w:val="005E1946"/>
    <w:rsid w:val="005E1CAC"/>
    <w:rsid w:val="005E1E8D"/>
    <w:rsid w:val="005E1EBE"/>
    <w:rsid w:val="005E1EFA"/>
    <w:rsid w:val="005E1F40"/>
    <w:rsid w:val="005E2193"/>
    <w:rsid w:val="005E22EB"/>
    <w:rsid w:val="005E236E"/>
    <w:rsid w:val="005E2455"/>
    <w:rsid w:val="005E245F"/>
    <w:rsid w:val="005E2513"/>
    <w:rsid w:val="005E2540"/>
    <w:rsid w:val="005E26D3"/>
    <w:rsid w:val="005E277D"/>
    <w:rsid w:val="005E28FC"/>
    <w:rsid w:val="005E292A"/>
    <w:rsid w:val="005E2B73"/>
    <w:rsid w:val="005E2B90"/>
    <w:rsid w:val="005E2C66"/>
    <w:rsid w:val="005E2CA5"/>
    <w:rsid w:val="005E2F0F"/>
    <w:rsid w:val="005E313E"/>
    <w:rsid w:val="005E3280"/>
    <w:rsid w:val="005E32D0"/>
    <w:rsid w:val="005E32E7"/>
    <w:rsid w:val="005E32F3"/>
    <w:rsid w:val="005E3508"/>
    <w:rsid w:val="005E353C"/>
    <w:rsid w:val="005E357A"/>
    <w:rsid w:val="005E366D"/>
    <w:rsid w:val="005E36D9"/>
    <w:rsid w:val="005E374A"/>
    <w:rsid w:val="005E37A5"/>
    <w:rsid w:val="005E384A"/>
    <w:rsid w:val="005E3926"/>
    <w:rsid w:val="005E3AB4"/>
    <w:rsid w:val="005E3B67"/>
    <w:rsid w:val="005E3C7A"/>
    <w:rsid w:val="005E3EBD"/>
    <w:rsid w:val="005E3F25"/>
    <w:rsid w:val="005E3FBF"/>
    <w:rsid w:val="005E408A"/>
    <w:rsid w:val="005E4115"/>
    <w:rsid w:val="005E4154"/>
    <w:rsid w:val="005E418A"/>
    <w:rsid w:val="005E432A"/>
    <w:rsid w:val="005E4436"/>
    <w:rsid w:val="005E4441"/>
    <w:rsid w:val="005E458E"/>
    <w:rsid w:val="005E46FA"/>
    <w:rsid w:val="005E4749"/>
    <w:rsid w:val="005E47D2"/>
    <w:rsid w:val="005E4985"/>
    <w:rsid w:val="005E49E5"/>
    <w:rsid w:val="005E4A88"/>
    <w:rsid w:val="005E4ABF"/>
    <w:rsid w:val="005E4C93"/>
    <w:rsid w:val="005E4D86"/>
    <w:rsid w:val="005E4DD8"/>
    <w:rsid w:val="005E4F34"/>
    <w:rsid w:val="005E4F3F"/>
    <w:rsid w:val="005E4F6E"/>
    <w:rsid w:val="005E5051"/>
    <w:rsid w:val="005E50A9"/>
    <w:rsid w:val="005E51F8"/>
    <w:rsid w:val="005E5297"/>
    <w:rsid w:val="005E52B5"/>
    <w:rsid w:val="005E52DB"/>
    <w:rsid w:val="005E533A"/>
    <w:rsid w:val="005E559B"/>
    <w:rsid w:val="005E5684"/>
    <w:rsid w:val="005E5766"/>
    <w:rsid w:val="005E5830"/>
    <w:rsid w:val="005E5856"/>
    <w:rsid w:val="005E58B7"/>
    <w:rsid w:val="005E5A51"/>
    <w:rsid w:val="005E5AC0"/>
    <w:rsid w:val="005E5AC8"/>
    <w:rsid w:val="005E5BD3"/>
    <w:rsid w:val="005E5C13"/>
    <w:rsid w:val="005E5CB8"/>
    <w:rsid w:val="005E5D13"/>
    <w:rsid w:val="005E5E76"/>
    <w:rsid w:val="005E5E8D"/>
    <w:rsid w:val="005E5EB7"/>
    <w:rsid w:val="005E5EBE"/>
    <w:rsid w:val="005E5F46"/>
    <w:rsid w:val="005E5F49"/>
    <w:rsid w:val="005E5F55"/>
    <w:rsid w:val="005E5FE4"/>
    <w:rsid w:val="005E616B"/>
    <w:rsid w:val="005E6439"/>
    <w:rsid w:val="005E64E3"/>
    <w:rsid w:val="005E6576"/>
    <w:rsid w:val="005E6586"/>
    <w:rsid w:val="005E661A"/>
    <w:rsid w:val="005E6643"/>
    <w:rsid w:val="005E68CF"/>
    <w:rsid w:val="005E694E"/>
    <w:rsid w:val="005E69CD"/>
    <w:rsid w:val="005E6A33"/>
    <w:rsid w:val="005E6AC7"/>
    <w:rsid w:val="005E6BCB"/>
    <w:rsid w:val="005E6BD0"/>
    <w:rsid w:val="005E6C40"/>
    <w:rsid w:val="005E6E34"/>
    <w:rsid w:val="005E6FDF"/>
    <w:rsid w:val="005E7121"/>
    <w:rsid w:val="005E72A8"/>
    <w:rsid w:val="005E72F7"/>
    <w:rsid w:val="005E7309"/>
    <w:rsid w:val="005E7422"/>
    <w:rsid w:val="005E74B6"/>
    <w:rsid w:val="005E7518"/>
    <w:rsid w:val="005E7605"/>
    <w:rsid w:val="005E760B"/>
    <w:rsid w:val="005E7653"/>
    <w:rsid w:val="005E7694"/>
    <w:rsid w:val="005E792C"/>
    <w:rsid w:val="005E7957"/>
    <w:rsid w:val="005E7B35"/>
    <w:rsid w:val="005E7BAB"/>
    <w:rsid w:val="005E7C38"/>
    <w:rsid w:val="005E7C49"/>
    <w:rsid w:val="005E7DDC"/>
    <w:rsid w:val="005E7E39"/>
    <w:rsid w:val="005E7F66"/>
    <w:rsid w:val="005E7FF2"/>
    <w:rsid w:val="005F00F5"/>
    <w:rsid w:val="005F0205"/>
    <w:rsid w:val="005F020B"/>
    <w:rsid w:val="005F0213"/>
    <w:rsid w:val="005F0214"/>
    <w:rsid w:val="005F0253"/>
    <w:rsid w:val="005F031A"/>
    <w:rsid w:val="005F0338"/>
    <w:rsid w:val="005F03D4"/>
    <w:rsid w:val="005F050C"/>
    <w:rsid w:val="005F060D"/>
    <w:rsid w:val="005F065C"/>
    <w:rsid w:val="005F0671"/>
    <w:rsid w:val="005F06C3"/>
    <w:rsid w:val="005F0767"/>
    <w:rsid w:val="005F07DE"/>
    <w:rsid w:val="005F08A2"/>
    <w:rsid w:val="005F0A25"/>
    <w:rsid w:val="005F0C17"/>
    <w:rsid w:val="005F0C4B"/>
    <w:rsid w:val="005F0CD8"/>
    <w:rsid w:val="005F0D26"/>
    <w:rsid w:val="005F0EB8"/>
    <w:rsid w:val="005F0EC9"/>
    <w:rsid w:val="005F0FF8"/>
    <w:rsid w:val="005F1010"/>
    <w:rsid w:val="005F104C"/>
    <w:rsid w:val="005F1392"/>
    <w:rsid w:val="005F13C7"/>
    <w:rsid w:val="005F1458"/>
    <w:rsid w:val="005F14D4"/>
    <w:rsid w:val="005F15E2"/>
    <w:rsid w:val="005F17C2"/>
    <w:rsid w:val="005F180A"/>
    <w:rsid w:val="005F1BA8"/>
    <w:rsid w:val="005F1C1A"/>
    <w:rsid w:val="005F1F4B"/>
    <w:rsid w:val="005F1FB3"/>
    <w:rsid w:val="005F2069"/>
    <w:rsid w:val="005F20C7"/>
    <w:rsid w:val="005F2127"/>
    <w:rsid w:val="005F221A"/>
    <w:rsid w:val="005F2240"/>
    <w:rsid w:val="005F22E0"/>
    <w:rsid w:val="005F231B"/>
    <w:rsid w:val="005F247F"/>
    <w:rsid w:val="005F25CB"/>
    <w:rsid w:val="005F25F4"/>
    <w:rsid w:val="005F2649"/>
    <w:rsid w:val="005F26DF"/>
    <w:rsid w:val="005F285D"/>
    <w:rsid w:val="005F2861"/>
    <w:rsid w:val="005F28C4"/>
    <w:rsid w:val="005F2999"/>
    <w:rsid w:val="005F2A1C"/>
    <w:rsid w:val="005F2A9A"/>
    <w:rsid w:val="005F2BDD"/>
    <w:rsid w:val="005F2DC6"/>
    <w:rsid w:val="005F2F36"/>
    <w:rsid w:val="005F303C"/>
    <w:rsid w:val="005F3130"/>
    <w:rsid w:val="005F3258"/>
    <w:rsid w:val="005F3319"/>
    <w:rsid w:val="005F33B6"/>
    <w:rsid w:val="005F33DE"/>
    <w:rsid w:val="005F33EE"/>
    <w:rsid w:val="005F35C6"/>
    <w:rsid w:val="005F3639"/>
    <w:rsid w:val="005F36C6"/>
    <w:rsid w:val="005F397D"/>
    <w:rsid w:val="005F3A56"/>
    <w:rsid w:val="005F3A65"/>
    <w:rsid w:val="005F3AA2"/>
    <w:rsid w:val="005F3BB1"/>
    <w:rsid w:val="005F3EA7"/>
    <w:rsid w:val="005F3F26"/>
    <w:rsid w:val="005F3F61"/>
    <w:rsid w:val="005F3FFF"/>
    <w:rsid w:val="005F40D0"/>
    <w:rsid w:val="005F4272"/>
    <w:rsid w:val="005F42B2"/>
    <w:rsid w:val="005F4596"/>
    <w:rsid w:val="005F45BA"/>
    <w:rsid w:val="005F45E4"/>
    <w:rsid w:val="005F4612"/>
    <w:rsid w:val="005F470D"/>
    <w:rsid w:val="005F4891"/>
    <w:rsid w:val="005F4A33"/>
    <w:rsid w:val="005F4A97"/>
    <w:rsid w:val="005F4B2E"/>
    <w:rsid w:val="005F4BA6"/>
    <w:rsid w:val="005F4CD8"/>
    <w:rsid w:val="005F4F26"/>
    <w:rsid w:val="005F4FE6"/>
    <w:rsid w:val="005F509D"/>
    <w:rsid w:val="005F5115"/>
    <w:rsid w:val="005F51D6"/>
    <w:rsid w:val="005F5331"/>
    <w:rsid w:val="005F5428"/>
    <w:rsid w:val="005F550F"/>
    <w:rsid w:val="005F5542"/>
    <w:rsid w:val="005F56CB"/>
    <w:rsid w:val="005F58C1"/>
    <w:rsid w:val="005F58D9"/>
    <w:rsid w:val="005F58F7"/>
    <w:rsid w:val="005F5AD1"/>
    <w:rsid w:val="005F5AE7"/>
    <w:rsid w:val="005F5B67"/>
    <w:rsid w:val="005F5B70"/>
    <w:rsid w:val="005F5B78"/>
    <w:rsid w:val="005F5D06"/>
    <w:rsid w:val="005F5E82"/>
    <w:rsid w:val="005F615B"/>
    <w:rsid w:val="005F61B9"/>
    <w:rsid w:val="005F61E8"/>
    <w:rsid w:val="005F6200"/>
    <w:rsid w:val="005F6221"/>
    <w:rsid w:val="005F624D"/>
    <w:rsid w:val="005F62C6"/>
    <w:rsid w:val="005F6323"/>
    <w:rsid w:val="005F63DB"/>
    <w:rsid w:val="005F63E5"/>
    <w:rsid w:val="005F64D2"/>
    <w:rsid w:val="005F6674"/>
    <w:rsid w:val="005F6812"/>
    <w:rsid w:val="005F6998"/>
    <w:rsid w:val="005F6BCD"/>
    <w:rsid w:val="005F6C80"/>
    <w:rsid w:val="005F6D52"/>
    <w:rsid w:val="005F6DD2"/>
    <w:rsid w:val="005F6E96"/>
    <w:rsid w:val="005F6FD0"/>
    <w:rsid w:val="005F70A6"/>
    <w:rsid w:val="005F7113"/>
    <w:rsid w:val="005F7260"/>
    <w:rsid w:val="005F72A6"/>
    <w:rsid w:val="005F7557"/>
    <w:rsid w:val="005F76ED"/>
    <w:rsid w:val="005F7790"/>
    <w:rsid w:val="005F79C7"/>
    <w:rsid w:val="005F7A59"/>
    <w:rsid w:val="005F7BA9"/>
    <w:rsid w:val="005F7C8E"/>
    <w:rsid w:val="005F7CAB"/>
    <w:rsid w:val="005F7D31"/>
    <w:rsid w:val="006000A5"/>
    <w:rsid w:val="006001B1"/>
    <w:rsid w:val="006003A4"/>
    <w:rsid w:val="006003F5"/>
    <w:rsid w:val="006004A8"/>
    <w:rsid w:val="006004F0"/>
    <w:rsid w:val="0060069D"/>
    <w:rsid w:val="006006C8"/>
    <w:rsid w:val="0060075E"/>
    <w:rsid w:val="00600763"/>
    <w:rsid w:val="006007DB"/>
    <w:rsid w:val="0060083A"/>
    <w:rsid w:val="00600944"/>
    <w:rsid w:val="00600AD0"/>
    <w:rsid w:val="00600B9A"/>
    <w:rsid w:val="00600BA3"/>
    <w:rsid w:val="00600CFF"/>
    <w:rsid w:val="00600E50"/>
    <w:rsid w:val="00600E66"/>
    <w:rsid w:val="00600F0E"/>
    <w:rsid w:val="00600F35"/>
    <w:rsid w:val="00600F5A"/>
    <w:rsid w:val="00601082"/>
    <w:rsid w:val="006010B5"/>
    <w:rsid w:val="006011F1"/>
    <w:rsid w:val="0060134A"/>
    <w:rsid w:val="00601416"/>
    <w:rsid w:val="0060152F"/>
    <w:rsid w:val="0060159D"/>
    <w:rsid w:val="006016E8"/>
    <w:rsid w:val="0060173A"/>
    <w:rsid w:val="006019E2"/>
    <w:rsid w:val="00601A89"/>
    <w:rsid w:val="00601BFD"/>
    <w:rsid w:val="00601D07"/>
    <w:rsid w:val="00601F24"/>
    <w:rsid w:val="00601F85"/>
    <w:rsid w:val="00601FD2"/>
    <w:rsid w:val="00601FD5"/>
    <w:rsid w:val="006021E7"/>
    <w:rsid w:val="0060234F"/>
    <w:rsid w:val="00602816"/>
    <w:rsid w:val="006028AB"/>
    <w:rsid w:val="00602AAE"/>
    <w:rsid w:val="00602ACD"/>
    <w:rsid w:val="00602D84"/>
    <w:rsid w:val="00602ED2"/>
    <w:rsid w:val="00603022"/>
    <w:rsid w:val="0060309C"/>
    <w:rsid w:val="00603111"/>
    <w:rsid w:val="00603173"/>
    <w:rsid w:val="006033A3"/>
    <w:rsid w:val="0060343C"/>
    <w:rsid w:val="0060345D"/>
    <w:rsid w:val="0060346E"/>
    <w:rsid w:val="006034A3"/>
    <w:rsid w:val="0060351F"/>
    <w:rsid w:val="006037FB"/>
    <w:rsid w:val="006038DD"/>
    <w:rsid w:val="006038E3"/>
    <w:rsid w:val="00603CE7"/>
    <w:rsid w:val="00603DF7"/>
    <w:rsid w:val="0060435F"/>
    <w:rsid w:val="006043F3"/>
    <w:rsid w:val="006044D5"/>
    <w:rsid w:val="00604673"/>
    <w:rsid w:val="00604759"/>
    <w:rsid w:val="006047CF"/>
    <w:rsid w:val="006047DC"/>
    <w:rsid w:val="0060486E"/>
    <w:rsid w:val="006048E0"/>
    <w:rsid w:val="00604915"/>
    <w:rsid w:val="00604A22"/>
    <w:rsid w:val="00604A33"/>
    <w:rsid w:val="00604BE9"/>
    <w:rsid w:val="00604D68"/>
    <w:rsid w:val="00604E1E"/>
    <w:rsid w:val="00604E4E"/>
    <w:rsid w:val="00604EB2"/>
    <w:rsid w:val="00604EEF"/>
    <w:rsid w:val="00604FB0"/>
    <w:rsid w:val="00605005"/>
    <w:rsid w:val="0060508F"/>
    <w:rsid w:val="00605102"/>
    <w:rsid w:val="00605393"/>
    <w:rsid w:val="006054D5"/>
    <w:rsid w:val="006055D4"/>
    <w:rsid w:val="00605647"/>
    <w:rsid w:val="0060565E"/>
    <w:rsid w:val="0060568D"/>
    <w:rsid w:val="006059BE"/>
    <w:rsid w:val="006059E8"/>
    <w:rsid w:val="00605B23"/>
    <w:rsid w:val="00605B76"/>
    <w:rsid w:val="00605BF0"/>
    <w:rsid w:val="00605C70"/>
    <w:rsid w:val="00605C82"/>
    <w:rsid w:val="00605D28"/>
    <w:rsid w:val="00605DDF"/>
    <w:rsid w:val="00605E08"/>
    <w:rsid w:val="00605E6F"/>
    <w:rsid w:val="00605EC4"/>
    <w:rsid w:val="00605F05"/>
    <w:rsid w:val="00605F0E"/>
    <w:rsid w:val="00606051"/>
    <w:rsid w:val="0060613D"/>
    <w:rsid w:val="0060614B"/>
    <w:rsid w:val="006061CA"/>
    <w:rsid w:val="00606270"/>
    <w:rsid w:val="006064A4"/>
    <w:rsid w:val="006064D6"/>
    <w:rsid w:val="0060654C"/>
    <w:rsid w:val="006066F8"/>
    <w:rsid w:val="00606714"/>
    <w:rsid w:val="0060680D"/>
    <w:rsid w:val="0060688D"/>
    <w:rsid w:val="006068E4"/>
    <w:rsid w:val="00606B02"/>
    <w:rsid w:val="00606B41"/>
    <w:rsid w:val="00606BE5"/>
    <w:rsid w:val="00606DDF"/>
    <w:rsid w:val="00606E6F"/>
    <w:rsid w:val="00606EDF"/>
    <w:rsid w:val="00607032"/>
    <w:rsid w:val="00607149"/>
    <w:rsid w:val="006071A9"/>
    <w:rsid w:val="00607245"/>
    <w:rsid w:val="006072B8"/>
    <w:rsid w:val="006073A6"/>
    <w:rsid w:val="0060751A"/>
    <w:rsid w:val="0060773F"/>
    <w:rsid w:val="006077C5"/>
    <w:rsid w:val="00607896"/>
    <w:rsid w:val="006078B5"/>
    <w:rsid w:val="00607928"/>
    <w:rsid w:val="006079E0"/>
    <w:rsid w:val="006079F6"/>
    <w:rsid w:val="006079FC"/>
    <w:rsid w:val="00607B22"/>
    <w:rsid w:val="00607BD4"/>
    <w:rsid w:val="00607C71"/>
    <w:rsid w:val="00607C8D"/>
    <w:rsid w:val="00607D0B"/>
    <w:rsid w:val="00607D6E"/>
    <w:rsid w:val="00607DE1"/>
    <w:rsid w:val="00610047"/>
    <w:rsid w:val="006100A6"/>
    <w:rsid w:val="006100C6"/>
    <w:rsid w:val="00610105"/>
    <w:rsid w:val="006102B3"/>
    <w:rsid w:val="00610366"/>
    <w:rsid w:val="006104A7"/>
    <w:rsid w:val="006104C3"/>
    <w:rsid w:val="006104E1"/>
    <w:rsid w:val="0061050E"/>
    <w:rsid w:val="006106C7"/>
    <w:rsid w:val="0061075D"/>
    <w:rsid w:val="0061076F"/>
    <w:rsid w:val="00610794"/>
    <w:rsid w:val="006107FE"/>
    <w:rsid w:val="006108AA"/>
    <w:rsid w:val="00610935"/>
    <w:rsid w:val="00610A02"/>
    <w:rsid w:val="00610AE5"/>
    <w:rsid w:val="00610B66"/>
    <w:rsid w:val="00610BD3"/>
    <w:rsid w:val="00610CA8"/>
    <w:rsid w:val="00610D2E"/>
    <w:rsid w:val="00610D98"/>
    <w:rsid w:val="00610E15"/>
    <w:rsid w:val="00610E2C"/>
    <w:rsid w:val="00610F07"/>
    <w:rsid w:val="006110C9"/>
    <w:rsid w:val="00611110"/>
    <w:rsid w:val="006111C8"/>
    <w:rsid w:val="00611285"/>
    <w:rsid w:val="006113AA"/>
    <w:rsid w:val="00611417"/>
    <w:rsid w:val="00611542"/>
    <w:rsid w:val="00611673"/>
    <w:rsid w:val="006116E6"/>
    <w:rsid w:val="006117F0"/>
    <w:rsid w:val="0061190D"/>
    <w:rsid w:val="00611B74"/>
    <w:rsid w:val="00611B83"/>
    <w:rsid w:val="00611D51"/>
    <w:rsid w:val="00611DD3"/>
    <w:rsid w:val="006120CD"/>
    <w:rsid w:val="0061221C"/>
    <w:rsid w:val="00612266"/>
    <w:rsid w:val="006122E3"/>
    <w:rsid w:val="006123E0"/>
    <w:rsid w:val="006124C8"/>
    <w:rsid w:val="00612530"/>
    <w:rsid w:val="00612582"/>
    <w:rsid w:val="006127F8"/>
    <w:rsid w:val="00612864"/>
    <w:rsid w:val="00612AB6"/>
    <w:rsid w:val="00612B68"/>
    <w:rsid w:val="00612C39"/>
    <w:rsid w:val="00612CC9"/>
    <w:rsid w:val="00612E5A"/>
    <w:rsid w:val="006134A0"/>
    <w:rsid w:val="006135B3"/>
    <w:rsid w:val="006135B4"/>
    <w:rsid w:val="00613836"/>
    <w:rsid w:val="006139A9"/>
    <w:rsid w:val="00613A71"/>
    <w:rsid w:val="00613A87"/>
    <w:rsid w:val="00613BB1"/>
    <w:rsid w:val="00613BDD"/>
    <w:rsid w:val="00613D09"/>
    <w:rsid w:val="00613D35"/>
    <w:rsid w:val="00613DBD"/>
    <w:rsid w:val="00613ECB"/>
    <w:rsid w:val="00613EF5"/>
    <w:rsid w:val="0061409F"/>
    <w:rsid w:val="00614106"/>
    <w:rsid w:val="00614119"/>
    <w:rsid w:val="00614178"/>
    <w:rsid w:val="00614258"/>
    <w:rsid w:val="00614293"/>
    <w:rsid w:val="00614305"/>
    <w:rsid w:val="006144B1"/>
    <w:rsid w:val="0061451E"/>
    <w:rsid w:val="006145E9"/>
    <w:rsid w:val="00614631"/>
    <w:rsid w:val="0061467B"/>
    <w:rsid w:val="00614721"/>
    <w:rsid w:val="00614836"/>
    <w:rsid w:val="00614863"/>
    <w:rsid w:val="00614894"/>
    <w:rsid w:val="00614A00"/>
    <w:rsid w:val="00614AB5"/>
    <w:rsid w:val="00614E11"/>
    <w:rsid w:val="00614E20"/>
    <w:rsid w:val="00614E36"/>
    <w:rsid w:val="00614F34"/>
    <w:rsid w:val="006150D8"/>
    <w:rsid w:val="00615181"/>
    <w:rsid w:val="00615204"/>
    <w:rsid w:val="00615218"/>
    <w:rsid w:val="0061543F"/>
    <w:rsid w:val="006154C8"/>
    <w:rsid w:val="006155AD"/>
    <w:rsid w:val="006155B8"/>
    <w:rsid w:val="0061580D"/>
    <w:rsid w:val="0061583D"/>
    <w:rsid w:val="006158D3"/>
    <w:rsid w:val="00615C4C"/>
    <w:rsid w:val="00615C60"/>
    <w:rsid w:val="00615D66"/>
    <w:rsid w:val="00615D81"/>
    <w:rsid w:val="00615E9A"/>
    <w:rsid w:val="00616053"/>
    <w:rsid w:val="006160D4"/>
    <w:rsid w:val="006160D9"/>
    <w:rsid w:val="00616152"/>
    <w:rsid w:val="00616248"/>
    <w:rsid w:val="006162DA"/>
    <w:rsid w:val="00616354"/>
    <w:rsid w:val="0061642D"/>
    <w:rsid w:val="00616483"/>
    <w:rsid w:val="0061655C"/>
    <w:rsid w:val="00616648"/>
    <w:rsid w:val="006166BC"/>
    <w:rsid w:val="00616782"/>
    <w:rsid w:val="00616784"/>
    <w:rsid w:val="00616951"/>
    <w:rsid w:val="006169CC"/>
    <w:rsid w:val="00616B15"/>
    <w:rsid w:val="00616BDD"/>
    <w:rsid w:val="00616D01"/>
    <w:rsid w:val="00616FDE"/>
    <w:rsid w:val="00616FF2"/>
    <w:rsid w:val="00617047"/>
    <w:rsid w:val="00617200"/>
    <w:rsid w:val="00617356"/>
    <w:rsid w:val="00617469"/>
    <w:rsid w:val="0061754F"/>
    <w:rsid w:val="006175E7"/>
    <w:rsid w:val="006176E8"/>
    <w:rsid w:val="006176EE"/>
    <w:rsid w:val="006176F9"/>
    <w:rsid w:val="0061779A"/>
    <w:rsid w:val="006177B5"/>
    <w:rsid w:val="006178DC"/>
    <w:rsid w:val="006179F5"/>
    <w:rsid w:val="00617B1E"/>
    <w:rsid w:val="00617B2B"/>
    <w:rsid w:val="00617C47"/>
    <w:rsid w:val="00617C70"/>
    <w:rsid w:val="00617EDC"/>
    <w:rsid w:val="00617F3C"/>
    <w:rsid w:val="00617FF2"/>
    <w:rsid w:val="006200A7"/>
    <w:rsid w:val="00620223"/>
    <w:rsid w:val="006203B1"/>
    <w:rsid w:val="00620496"/>
    <w:rsid w:val="00620703"/>
    <w:rsid w:val="0062077B"/>
    <w:rsid w:val="0062093B"/>
    <w:rsid w:val="006209BE"/>
    <w:rsid w:val="006209EB"/>
    <w:rsid w:val="00620A84"/>
    <w:rsid w:val="00620C74"/>
    <w:rsid w:val="0062106A"/>
    <w:rsid w:val="006210AC"/>
    <w:rsid w:val="006210BD"/>
    <w:rsid w:val="006210E4"/>
    <w:rsid w:val="0062138C"/>
    <w:rsid w:val="006213E0"/>
    <w:rsid w:val="00621537"/>
    <w:rsid w:val="00621800"/>
    <w:rsid w:val="00621A8B"/>
    <w:rsid w:val="00621AEA"/>
    <w:rsid w:val="00621CD5"/>
    <w:rsid w:val="00621D21"/>
    <w:rsid w:val="00621E45"/>
    <w:rsid w:val="00621F9D"/>
    <w:rsid w:val="00621FD9"/>
    <w:rsid w:val="00622007"/>
    <w:rsid w:val="00622157"/>
    <w:rsid w:val="0062219B"/>
    <w:rsid w:val="0062221A"/>
    <w:rsid w:val="006222F8"/>
    <w:rsid w:val="006222FF"/>
    <w:rsid w:val="0062233D"/>
    <w:rsid w:val="00622347"/>
    <w:rsid w:val="006223AF"/>
    <w:rsid w:val="00622410"/>
    <w:rsid w:val="00622489"/>
    <w:rsid w:val="006224C6"/>
    <w:rsid w:val="00622594"/>
    <w:rsid w:val="006225FA"/>
    <w:rsid w:val="006226FC"/>
    <w:rsid w:val="00622757"/>
    <w:rsid w:val="006229B0"/>
    <w:rsid w:val="006229B8"/>
    <w:rsid w:val="00622A36"/>
    <w:rsid w:val="00622A9D"/>
    <w:rsid w:val="00622BCA"/>
    <w:rsid w:val="00622C31"/>
    <w:rsid w:val="00622EDE"/>
    <w:rsid w:val="00622EF0"/>
    <w:rsid w:val="00622F45"/>
    <w:rsid w:val="00623049"/>
    <w:rsid w:val="006231C2"/>
    <w:rsid w:val="00623469"/>
    <w:rsid w:val="006234B5"/>
    <w:rsid w:val="00623655"/>
    <w:rsid w:val="006236C1"/>
    <w:rsid w:val="006236EC"/>
    <w:rsid w:val="00623763"/>
    <w:rsid w:val="006237C0"/>
    <w:rsid w:val="00623991"/>
    <w:rsid w:val="006239DF"/>
    <w:rsid w:val="00623A05"/>
    <w:rsid w:val="00623AA6"/>
    <w:rsid w:val="00623BB7"/>
    <w:rsid w:val="00623C78"/>
    <w:rsid w:val="00623D89"/>
    <w:rsid w:val="00623DDD"/>
    <w:rsid w:val="00623DEC"/>
    <w:rsid w:val="00623E77"/>
    <w:rsid w:val="006240FF"/>
    <w:rsid w:val="00624166"/>
    <w:rsid w:val="0062439D"/>
    <w:rsid w:val="00624566"/>
    <w:rsid w:val="006247A2"/>
    <w:rsid w:val="00624BE2"/>
    <w:rsid w:val="00624D83"/>
    <w:rsid w:val="00624FD3"/>
    <w:rsid w:val="006252C4"/>
    <w:rsid w:val="0062538B"/>
    <w:rsid w:val="00625540"/>
    <w:rsid w:val="00625715"/>
    <w:rsid w:val="006259AE"/>
    <w:rsid w:val="006259DD"/>
    <w:rsid w:val="00625B02"/>
    <w:rsid w:val="00625C63"/>
    <w:rsid w:val="00625D42"/>
    <w:rsid w:val="00626053"/>
    <w:rsid w:val="006260A5"/>
    <w:rsid w:val="006261C9"/>
    <w:rsid w:val="006261FB"/>
    <w:rsid w:val="00626288"/>
    <w:rsid w:val="006262A4"/>
    <w:rsid w:val="00626335"/>
    <w:rsid w:val="00626405"/>
    <w:rsid w:val="006264ED"/>
    <w:rsid w:val="00626610"/>
    <w:rsid w:val="00626617"/>
    <w:rsid w:val="006268AC"/>
    <w:rsid w:val="0062698B"/>
    <w:rsid w:val="00626A1D"/>
    <w:rsid w:val="00626B15"/>
    <w:rsid w:val="00626C41"/>
    <w:rsid w:val="00626CE7"/>
    <w:rsid w:val="00626EEB"/>
    <w:rsid w:val="00626F06"/>
    <w:rsid w:val="00626F25"/>
    <w:rsid w:val="006271BB"/>
    <w:rsid w:val="00627372"/>
    <w:rsid w:val="00627384"/>
    <w:rsid w:val="006275DB"/>
    <w:rsid w:val="00627987"/>
    <w:rsid w:val="00627AAA"/>
    <w:rsid w:val="00627AAF"/>
    <w:rsid w:val="00627B3B"/>
    <w:rsid w:val="00627B3F"/>
    <w:rsid w:val="00627C8E"/>
    <w:rsid w:val="00627C93"/>
    <w:rsid w:val="00627CB2"/>
    <w:rsid w:val="00627E39"/>
    <w:rsid w:val="00627E92"/>
    <w:rsid w:val="00627EB2"/>
    <w:rsid w:val="00627EFB"/>
    <w:rsid w:val="00627F81"/>
    <w:rsid w:val="00630198"/>
    <w:rsid w:val="00630258"/>
    <w:rsid w:val="006303E3"/>
    <w:rsid w:val="00630478"/>
    <w:rsid w:val="00630547"/>
    <w:rsid w:val="006305A3"/>
    <w:rsid w:val="006309C3"/>
    <w:rsid w:val="00630AF5"/>
    <w:rsid w:val="00630B65"/>
    <w:rsid w:val="00630C68"/>
    <w:rsid w:val="00630E36"/>
    <w:rsid w:val="00631220"/>
    <w:rsid w:val="00631248"/>
    <w:rsid w:val="0063127E"/>
    <w:rsid w:val="0063128A"/>
    <w:rsid w:val="00631377"/>
    <w:rsid w:val="0063145F"/>
    <w:rsid w:val="00631550"/>
    <w:rsid w:val="006315C1"/>
    <w:rsid w:val="006316A2"/>
    <w:rsid w:val="00631A16"/>
    <w:rsid w:val="00631AC0"/>
    <w:rsid w:val="00631D13"/>
    <w:rsid w:val="00631DA4"/>
    <w:rsid w:val="00631DC8"/>
    <w:rsid w:val="0063203E"/>
    <w:rsid w:val="00632050"/>
    <w:rsid w:val="006322C1"/>
    <w:rsid w:val="0063230E"/>
    <w:rsid w:val="006324AE"/>
    <w:rsid w:val="006324FE"/>
    <w:rsid w:val="0063257D"/>
    <w:rsid w:val="006325AD"/>
    <w:rsid w:val="00632622"/>
    <w:rsid w:val="006327AF"/>
    <w:rsid w:val="0063289C"/>
    <w:rsid w:val="00632907"/>
    <w:rsid w:val="00632976"/>
    <w:rsid w:val="00632980"/>
    <w:rsid w:val="00632992"/>
    <w:rsid w:val="00632D94"/>
    <w:rsid w:val="00632DC5"/>
    <w:rsid w:val="00632F53"/>
    <w:rsid w:val="0063300D"/>
    <w:rsid w:val="0063319D"/>
    <w:rsid w:val="006331B5"/>
    <w:rsid w:val="00633224"/>
    <w:rsid w:val="00633254"/>
    <w:rsid w:val="00633266"/>
    <w:rsid w:val="006332AC"/>
    <w:rsid w:val="006332F5"/>
    <w:rsid w:val="0063344D"/>
    <w:rsid w:val="00633519"/>
    <w:rsid w:val="00633604"/>
    <w:rsid w:val="006336EA"/>
    <w:rsid w:val="00633816"/>
    <w:rsid w:val="00633837"/>
    <w:rsid w:val="0063393B"/>
    <w:rsid w:val="00633981"/>
    <w:rsid w:val="00633A15"/>
    <w:rsid w:val="00633B6D"/>
    <w:rsid w:val="00633C76"/>
    <w:rsid w:val="00633D88"/>
    <w:rsid w:val="00633DB9"/>
    <w:rsid w:val="00633E46"/>
    <w:rsid w:val="00633FB5"/>
    <w:rsid w:val="0063401E"/>
    <w:rsid w:val="00634170"/>
    <w:rsid w:val="00634460"/>
    <w:rsid w:val="00634497"/>
    <w:rsid w:val="00634530"/>
    <w:rsid w:val="006346B6"/>
    <w:rsid w:val="00634786"/>
    <w:rsid w:val="006347E0"/>
    <w:rsid w:val="0063490C"/>
    <w:rsid w:val="00634917"/>
    <w:rsid w:val="006349C7"/>
    <w:rsid w:val="00634FB0"/>
    <w:rsid w:val="0063500A"/>
    <w:rsid w:val="0063531A"/>
    <w:rsid w:val="00635373"/>
    <w:rsid w:val="006353A5"/>
    <w:rsid w:val="006354E0"/>
    <w:rsid w:val="0063552B"/>
    <w:rsid w:val="006357D3"/>
    <w:rsid w:val="00635983"/>
    <w:rsid w:val="00635AA6"/>
    <w:rsid w:val="00635AE8"/>
    <w:rsid w:val="00635CC1"/>
    <w:rsid w:val="00635CC7"/>
    <w:rsid w:val="00635D07"/>
    <w:rsid w:val="00635DC9"/>
    <w:rsid w:val="00635E5A"/>
    <w:rsid w:val="00635EC1"/>
    <w:rsid w:val="00635EDC"/>
    <w:rsid w:val="00635F62"/>
    <w:rsid w:val="00635F89"/>
    <w:rsid w:val="006360CD"/>
    <w:rsid w:val="0063618C"/>
    <w:rsid w:val="006362F8"/>
    <w:rsid w:val="0063630F"/>
    <w:rsid w:val="0063631F"/>
    <w:rsid w:val="0063643C"/>
    <w:rsid w:val="00636505"/>
    <w:rsid w:val="00636546"/>
    <w:rsid w:val="00636825"/>
    <w:rsid w:val="0063683C"/>
    <w:rsid w:val="0063691E"/>
    <w:rsid w:val="00636954"/>
    <w:rsid w:val="00636B58"/>
    <w:rsid w:val="00636D8A"/>
    <w:rsid w:val="00637005"/>
    <w:rsid w:val="006370FC"/>
    <w:rsid w:val="00637145"/>
    <w:rsid w:val="00637157"/>
    <w:rsid w:val="0063719A"/>
    <w:rsid w:val="0063720F"/>
    <w:rsid w:val="0063724B"/>
    <w:rsid w:val="006373CA"/>
    <w:rsid w:val="006373DF"/>
    <w:rsid w:val="00637477"/>
    <w:rsid w:val="006374A4"/>
    <w:rsid w:val="00637561"/>
    <w:rsid w:val="00637736"/>
    <w:rsid w:val="006377CB"/>
    <w:rsid w:val="006377DD"/>
    <w:rsid w:val="00637823"/>
    <w:rsid w:val="006378B8"/>
    <w:rsid w:val="006379F9"/>
    <w:rsid w:val="00637AC0"/>
    <w:rsid w:val="00637BE5"/>
    <w:rsid w:val="00637C6C"/>
    <w:rsid w:val="00637C84"/>
    <w:rsid w:val="00637DA2"/>
    <w:rsid w:val="00637EFA"/>
    <w:rsid w:val="00637FD8"/>
    <w:rsid w:val="00640019"/>
    <w:rsid w:val="0064007D"/>
    <w:rsid w:val="006400B8"/>
    <w:rsid w:val="006401E6"/>
    <w:rsid w:val="00640334"/>
    <w:rsid w:val="0064037E"/>
    <w:rsid w:val="00640431"/>
    <w:rsid w:val="0064088D"/>
    <w:rsid w:val="006408F9"/>
    <w:rsid w:val="00640980"/>
    <w:rsid w:val="00640A3D"/>
    <w:rsid w:val="00640AE0"/>
    <w:rsid w:val="00640B96"/>
    <w:rsid w:val="00640C2A"/>
    <w:rsid w:val="00640CD4"/>
    <w:rsid w:val="00640D3E"/>
    <w:rsid w:val="00640F5E"/>
    <w:rsid w:val="00641016"/>
    <w:rsid w:val="00641127"/>
    <w:rsid w:val="006411FD"/>
    <w:rsid w:val="00641220"/>
    <w:rsid w:val="0064130C"/>
    <w:rsid w:val="00641390"/>
    <w:rsid w:val="006413C6"/>
    <w:rsid w:val="006414AA"/>
    <w:rsid w:val="006417C0"/>
    <w:rsid w:val="0064182B"/>
    <w:rsid w:val="00641894"/>
    <w:rsid w:val="00641F77"/>
    <w:rsid w:val="00641FFF"/>
    <w:rsid w:val="006421D0"/>
    <w:rsid w:val="00642249"/>
    <w:rsid w:val="006423D9"/>
    <w:rsid w:val="00642511"/>
    <w:rsid w:val="0064254B"/>
    <w:rsid w:val="006425F0"/>
    <w:rsid w:val="00642615"/>
    <w:rsid w:val="00642675"/>
    <w:rsid w:val="00642677"/>
    <w:rsid w:val="00642679"/>
    <w:rsid w:val="006427CF"/>
    <w:rsid w:val="00642867"/>
    <w:rsid w:val="006429D3"/>
    <w:rsid w:val="006429D4"/>
    <w:rsid w:val="00642A20"/>
    <w:rsid w:val="00642BB5"/>
    <w:rsid w:val="00642C18"/>
    <w:rsid w:val="00642C1E"/>
    <w:rsid w:val="00642C70"/>
    <w:rsid w:val="00642CE7"/>
    <w:rsid w:val="00642E6E"/>
    <w:rsid w:val="00642F02"/>
    <w:rsid w:val="00642FB4"/>
    <w:rsid w:val="00643026"/>
    <w:rsid w:val="006432C8"/>
    <w:rsid w:val="0064349D"/>
    <w:rsid w:val="0064362E"/>
    <w:rsid w:val="00643694"/>
    <w:rsid w:val="006437C3"/>
    <w:rsid w:val="0064384A"/>
    <w:rsid w:val="0064385F"/>
    <w:rsid w:val="0064398F"/>
    <w:rsid w:val="006439A2"/>
    <w:rsid w:val="00643A42"/>
    <w:rsid w:val="00643B0A"/>
    <w:rsid w:val="00643DE0"/>
    <w:rsid w:val="00643E50"/>
    <w:rsid w:val="00643EFD"/>
    <w:rsid w:val="00643FB1"/>
    <w:rsid w:val="00643FFC"/>
    <w:rsid w:val="006442A8"/>
    <w:rsid w:val="006442B6"/>
    <w:rsid w:val="00644445"/>
    <w:rsid w:val="00644604"/>
    <w:rsid w:val="00644657"/>
    <w:rsid w:val="006446C9"/>
    <w:rsid w:val="00644854"/>
    <w:rsid w:val="006448E2"/>
    <w:rsid w:val="00644991"/>
    <w:rsid w:val="006449F7"/>
    <w:rsid w:val="00644A3B"/>
    <w:rsid w:val="00644A3D"/>
    <w:rsid w:val="00644A66"/>
    <w:rsid w:val="00644A77"/>
    <w:rsid w:val="00644ABD"/>
    <w:rsid w:val="00644D32"/>
    <w:rsid w:val="00644D3E"/>
    <w:rsid w:val="00644EE8"/>
    <w:rsid w:val="00644F4F"/>
    <w:rsid w:val="006452E7"/>
    <w:rsid w:val="00645357"/>
    <w:rsid w:val="006453E6"/>
    <w:rsid w:val="006454D5"/>
    <w:rsid w:val="0064595F"/>
    <w:rsid w:val="006459AA"/>
    <w:rsid w:val="00645A1C"/>
    <w:rsid w:val="00645AE5"/>
    <w:rsid w:val="00645B75"/>
    <w:rsid w:val="00645BC0"/>
    <w:rsid w:val="00645E32"/>
    <w:rsid w:val="00645E82"/>
    <w:rsid w:val="00645F96"/>
    <w:rsid w:val="00645FC9"/>
    <w:rsid w:val="00646263"/>
    <w:rsid w:val="00646387"/>
    <w:rsid w:val="0064654C"/>
    <w:rsid w:val="00646550"/>
    <w:rsid w:val="0064655A"/>
    <w:rsid w:val="00646587"/>
    <w:rsid w:val="0064660B"/>
    <w:rsid w:val="006466E3"/>
    <w:rsid w:val="00646B27"/>
    <w:rsid w:val="00646B50"/>
    <w:rsid w:val="00646B52"/>
    <w:rsid w:val="00646BB2"/>
    <w:rsid w:val="00646D4E"/>
    <w:rsid w:val="00646EFF"/>
    <w:rsid w:val="00646F40"/>
    <w:rsid w:val="00646F71"/>
    <w:rsid w:val="00646FBF"/>
    <w:rsid w:val="00646FC3"/>
    <w:rsid w:val="00646FD8"/>
    <w:rsid w:val="00647115"/>
    <w:rsid w:val="0064729B"/>
    <w:rsid w:val="006472C2"/>
    <w:rsid w:val="0064737B"/>
    <w:rsid w:val="0064756F"/>
    <w:rsid w:val="00647571"/>
    <w:rsid w:val="00647578"/>
    <w:rsid w:val="0064766B"/>
    <w:rsid w:val="0064766D"/>
    <w:rsid w:val="00647676"/>
    <w:rsid w:val="006476C3"/>
    <w:rsid w:val="006476E1"/>
    <w:rsid w:val="00647985"/>
    <w:rsid w:val="00647A8B"/>
    <w:rsid w:val="00647CC6"/>
    <w:rsid w:val="00647D19"/>
    <w:rsid w:val="00647D51"/>
    <w:rsid w:val="00647D9C"/>
    <w:rsid w:val="00647DDE"/>
    <w:rsid w:val="00647E91"/>
    <w:rsid w:val="00650089"/>
    <w:rsid w:val="0065008B"/>
    <w:rsid w:val="006500B6"/>
    <w:rsid w:val="006500B9"/>
    <w:rsid w:val="00650298"/>
    <w:rsid w:val="006505B5"/>
    <w:rsid w:val="006507D6"/>
    <w:rsid w:val="00650869"/>
    <w:rsid w:val="0065086F"/>
    <w:rsid w:val="00650889"/>
    <w:rsid w:val="006508F5"/>
    <w:rsid w:val="00650A2E"/>
    <w:rsid w:val="00650AAE"/>
    <w:rsid w:val="00650C54"/>
    <w:rsid w:val="00650FE8"/>
    <w:rsid w:val="0065110E"/>
    <w:rsid w:val="006511F7"/>
    <w:rsid w:val="00651359"/>
    <w:rsid w:val="00651452"/>
    <w:rsid w:val="006514FA"/>
    <w:rsid w:val="006514FE"/>
    <w:rsid w:val="006515E9"/>
    <w:rsid w:val="00651676"/>
    <w:rsid w:val="00651718"/>
    <w:rsid w:val="00651808"/>
    <w:rsid w:val="006518DA"/>
    <w:rsid w:val="00651A0C"/>
    <w:rsid w:val="00651EC6"/>
    <w:rsid w:val="00651F4A"/>
    <w:rsid w:val="00651FA7"/>
    <w:rsid w:val="00652135"/>
    <w:rsid w:val="0065213E"/>
    <w:rsid w:val="00652221"/>
    <w:rsid w:val="00652423"/>
    <w:rsid w:val="00652455"/>
    <w:rsid w:val="00652569"/>
    <w:rsid w:val="0065279A"/>
    <w:rsid w:val="00652947"/>
    <w:rsid w:val="00652B14"/>
    <w:rsid w:val="00652C6B"/>
    <w:rsid w:val="00652D3C"/>
    <w:rsid w:val="00652D82"/>
    <w:rsid w:val="00652E1C"/>
    <w:rsid w:val="00652FCC"/>
    <w:rsid w:val="00652FEF"/>
    <w:rsid w:val="00653053"/>
    <w:rsid w:val="00653182"/>
    <w:rsid w:val="0065342D"/>
    <w:rsid w:val="00653433"/>
    <w:rsid w:val="00653473"/>
    <w:rsid w:val="006534C1"/>
    <w:rsid w:val="006534C6"/>
    <w:rsid w:val="00653519"/>
    <w:rsid w:val="00653612"/>
    <w:rsid w:val="006536FB"/>
    <w:rsid w:val="00653785"/>
    <w:rsid w:val="0065393F"/>
    <w:rsid w:val="006539C6"/>
    <w:rsid w:val="00653A48"/>
    <w:rsid w:val="00653A9E"/>
    <w:rsid w:val="00653B85"/>
    <w:rsid w:val="00653C11"/>
    <w:rsid w:val="00653CDB"/>
    <w:rsid w:val="00653E40"/>
    <w:rsid w:val="00653F2D"/>
    <w:rsid w:val="006540B3"/>
    <w:rsid w:val="006541CC"/>
    <w:rsid w:val="006542AF"/>
    <w:rsid w:val="00654390"/>
    <w:rsid w:val="00654478"/>
    <w:rsid w:val="00654490"/>
    <w:rsid w:val="00654947"/>
    <w:rsid w:val="0065499F"/>
    <w:rsid w:val="006549AE"/>
    <w:rsid w:val="00654A5F"/>
    <w:rsid w:val="00654E61"/>
    <w:rsid w:val="00654E77"/>
    <w:rsid w:val="00654F32"/>
    <w:rsid w:val="00655165"/>
    <w:rsid w:val="00655199"/>
    <w:rsid w:val="00655290"/>
    <w:rsid w:val="00655325"/>
    <w:rsid w:val="00655476"/>
    <w:rsid w:val="0065556C"/>
    <w:rsid w:val="00655667"/>
    <w:rsid w:val="00655673"/>
    <w:rsid w:val="0065567B"/>
    <w:rsid w:val="006556E8"/>
    <w:rsid w:val="0065571C"/>
    <w:rsid w:val="006557A6"/>
    <w:rsid w:val="00655806"/>
    <w:rsid w:val="0065591E"/>
    <w:rsid w:val="00655B07"/>
    <w:rsid w:val="00655B47"/>
    <w:rsid w:val="00655CF9"/>
    <w:rsid w:val="00655D8E"/>
    <w:rsid w:val="00656013"/>
    <w:rsid w:val="0065601A"/>
    <w:rsid w:val="00656151"/>
    <w:rsid w:val="00656174"/>
    <w:rsid w:val="0065619B"/>
    <w:rsid w:val="00656204"/>
    <w:rsid w:val="006563F2"/>
    <w:rsid w:val="00656413"/>
    <w:rsid w:val="00656495"/>
    <w:rsid w:val="0065651F"/>
    <w:rsid w:val="006565E4"/>
    <w:rsid w:val="0065660C"/>
    <w:rsid w:val="00656843"/>
    <w:rsid w:val="0065687B"/>
    <w:rsid w:val="0065689B"/>
    <w:rsid w:val="006568D1"/>
    <w:rsid w:val="00656914"/>
    <w:rsid w:val="00656B71"/>
    <w:rsid w:val="00656B92"/>
    <w:rsid w:val="00656C69"/>
    <w:rsid w:val="00656E4F"/>
    <w:rsid w:val="00656F93"/>
    <w:rsid w:val="00656F99"/>
    <w:rsid w:val="00657170"/>
    <w:rsid w:val="00657437"/>
    <w:rsid w:val="0065746A"/>
    <w:rsid w:val="006574B1"/>
    <w:rsid w:val="00657959"/>
    <w:rsid w:val="00657998"/>
    <w:rsid w:val="00657A94"/>
    <w:rsid w:val="00657AF0"/>
    <w:rsid w:val="00657D88"/>
    <w:rsid w:val="006601B8"/>
    <w:rsid w:val="006601DB"/>
    <w:rsid w:val="00660223"/>
    <w:rsid w:val="0066022B"/>
    <w:rsid w:val="00660232"/>
    <w:rsid w:val="006602E9"/>
    <w:rsid w:val="006602EA"/>
    <w:rsid w:val="00660392"/>
    <w:rsid w:val="006607AA"/>
    <w:rsid w:val="00660820"/>
    <w:rsid w:val="006608D9"/>
    <w:rsid w:val="006608F6"/>
    <w:rsid w:val="00660908"/>
    <w:rsid w:val="0066092C"/>
    <w:rsid w:val="00660A1D"/>
    <w:rsid w:val="00660AF3"/>
    <w:rsid w:val="00660C60"/>
    <w:rsid w:val="00660CA5"/>
    <w:rsid w:val="00660D20"/>
    <w:rsid w:val="00660DBD"/>
    <w:rsid w:val="00660DDE"/>
    <w:rsid w:val="00660EB7"/>
    <w:rsid w:val="00660F03"/>
    <w:rsid w:val="00660FE4"/>
    <w:rsid w:val="0066114B"/>
    <w:rsid w:val="00661215"/>
    <w:rsid w:val="00661254"/>
    <w:rsid w:val="006613BE"/>
    <w:rsid w:val="006613CD"/>
    <w:rsid w:val="006613D9"/>
    <w:rsid w:val="006614FE"/>
    <w:rsid w:val="00661508"/>
    <w:rsid w:val="00661523"/>
    <w:rsid w:val="006615FB"/>
    <w:rsid w:val="00661738"/>
    <w:rsid w:val="00661832"/>
    <w:rsid w:val="0066195D"/>
    <w:rsid w:val="00661A6C"/>
    <w:rsid w:val="00661A9F"/>
    <w:rsid w:val="00661B91"/>
    <w:rsid w:val="00661BD7"/>
    <w:rsid w:val="00661D3C"/>
    <w:rsid w:val="00661D42"/>
    <w:rsid w:val="00661D71"/>
    <w:rsid w:val="00661F58"/>
    <w:rsid w:val="00661F79"/>
    <w:rsid w:val="006620C9"/>
    <w:rsid w:val="0066218C"/>
    <w:rsid w:val="00662212"/>
    <w:rsid w:val="0066222E"/>
    <w:rsid w:val="0066223D"/>
    <w:rsid w:val="006622E0"/>
    <w:rsid w:val="00662362"/>
    <w:rsid w:val="00662427"/>
    <w:rsid w:val="0066243C"/>
    <w:rsid w:val="006625FD"/>
    <w:rsid w:val="0066287F"/>
    <w:rsid w:val="006628C8"/>
    <w:rsid w:val="006629AE"/>
    <w:rsid w:val="00662C41"/>
    <w:rsid w:val="00662CF2"/>
    <w:rsid w:val="00662FD8"/>
    <w:rsid w:val="0066304D"/>
    <w:rsid w:val="006630D0"/>
    <w:rsid w:val="00663144"/>
    <w:rsid w:val="00663228"/>
    <w:rsid w:val="0066326D"/>
    <w:rsid w:val="0066335C"/>
    <w:rsid w:val="00663401"/>
    <w:rsid w:val="0066357E"/>
    <w:rsid w:val="00663853"/>
    <w:rsid w:val="00663961"/>
    <w:rsid w:val="00663A9B"/>
    <w:rsid w:val="00663AF3"/>
    <w:rsid w:val="00663F33"/>
    <w:rsid w:val="00663FC6"/>
    <w:rsid w:val="00664076"/>
    <w:rsid w:val="006640B7"/>
    <w:rsid w:val="006641CC"/>
    <w:rsid w:val="00664207"/>
    <w:rsid w:val="00664276"/>
    <w:rsid w:val="006642A7"/>
    <w:rsid w:val="006642C2"/>
    <w:rsid w:val="00664354"/>
    <w:rsid w:val="00664585"/>
    <w:rsid w:val="006646BB"/>
    <w:rsid w:val="00664783"/>
    <w:rsid w:val="006647C5"/>
    <w:rsid w:val="00664B3B"/>
    <w:rsid w:val="00664C53"/>
    <w:rsid w:val="00664E11"/>
    <w:rsid w:val="00665096"/>
    <w:rsid w:val="006650F3"/>
    <w:rsid w:val="00665105"/>
    <w:rsid w:val="006651B1"/>
    <w:rsid w:val="006651B3"/>
    <w:rsid w:val="00665364"/>
    <w:rsid w:val="006654C0"/>
    <w:rsid w:val="00665507"/>
    <w:rsid w:val="006656EC"/>
    <w:rsid w:val="006657B3"/>
    <w:rsid w:val="006658B1"/>
    <w:rsid w:val="006659CA"/>
    <w:rsid w:val="00665A5E"/>
    <w:rsid w:val="00665B53"/>
    <w:rsid w:val="00665BC0"/>
    <w:rsid w:val="00665CC5"/>
    <w:rsid w:val="00665D49"/>
    <w:rsid w:val="00665D7A"/>
    <w:rsid w:val="00665DBD"/>
    <w:rsid w:val="00665E3D"/>
    <w:rsid w:val="00665EAC"/>
    <w:rsid w:val="00666035"/>
    <w:rsid w:val="00666181"/>
    <w:rsid w:val="0066652D"/>
    <w:rsid w:val="00666542"/>
    <w:rsid w:val="0066658E"/>
    <w:rsid w:val="00666632"/>
    <w:rsid w:val="00666655"/>
    <w:rsid w:val="00666661"/>
    <w:rsid w:val="00666663"/>
    <w:rsid w:val="00666690"/>
    <w:rsid w:val="006666D2"/>
    <w:rsid w:val="006666DD"/>
    <w:rsid w:val="00666737"/>
    <w:rsid w:val="0066684A"/>
    <w:rsid w:val="006669CD"/>
    <w:rsid w:val="00666AA1"/>
    <w:rsid w:val="00666B59"/>
    <w:rsid w:val="00666CB9"/>
    <w:rsid w:val="00666D2E"/>
    <w:rsid w:val="00666D4C"/>
    <w:rsid w:val="00666ED5"/>
    <w:rsid w:val="0066704D"/>
    <w:rsid w:val="0066708A"/>
    <w:rsid w:val="0066708B"/>
    <w:rsid w:val="0066728A"/>
    <w:rsid w:val="006672CB"/>
    <w:rsid w:val="00667384"/>
    <w:rsid w:val="006676D3"/>
    <w:rsid w:val="006678F2"/>
    <w:rsid w:val="006679B2"/>
    <w:rsid w:val="00667A0C"/>
    <w:rsid w:val="00667AE8"/>
    <w:rsid w:val="00667B06"/>
    <w:rsid w:val="00667C5D"/>
    <w:rsid w:val="00667C91"/>
    <w:rsid w:val="00667D21"/>
    <w:rsid w:val="00667D31"/>
    <w:rsid w:val="00667D36"/>
    <w:rsid w:val="00667D61"/>
    <w:rsid w:val="00667D6B"/>
    <w:rsid w:val="00667E88"/>
    <w:rsid w:val="00667EA0"/>
    <w:rsid w:val="00670052"/>
    <w:rsid w:val="006700B7"/>
    <w:rsid w:val="00670290"/>
    <w:rsid w:val="00670302"/>
    <w:rsid w:val="00670337"/>
    <w:rsid w:val="00670347"/>
    <w:rsid w:val="006704A5"/>
    <w:rsid w:val="006704BE"/>
    <w:rsid w:val="0067050E"/>
    <w:rsid w:val="00670554"/>
    <w:rsid w:val="00670878"/>
    <w:rsid w:val="006708DF"/>
    <w:rsid w:val="00670CA5"/>
    <w:rsid w:val="00670CF7"/>
    <w:rsid w:val="00670D09"/>
    <w:rsid w:val="00670E29"/>
    <w:rsid w:val="00670EBF"/>
    <w:rsid w:val="00670FCB"/>
    <w:rsid w:val="00670FFA"/>
    <w:rsid w:val="00671009"/>
    <w:rsid w:val="00671016"/>
    <w:rsid w:val="00671247"/>
    <w:rsid w:val="00671265"/>
    <w:rsid w:val="0067138A"/>
    <w:rsid w:val="006713AB"/>
    <w:rsid w:val="0067161B"/>
    <w:rsid w:val="006716C4"/>
    <w:rsid w:val="00671762"/>
    <w:rsid w:val="00671784"/>
    <w:rsid w:val="006718F4"/>
    <w:rsid w:val="006719FD"/>
    <w:rsid w:val="00671A05"/>
    <w:rsid w:val="00671B06"/>
    <w:rsid w:val="00671B3D"/>
    <w:rsid w:val="00671C02"/>
    <w:rsid w:val="00671DA3"/>
    <w:rsid w:val="00671F58"/>
    <w:rsid w:val="00671FAD"/>
    <w:rsid w:val="0067204C"/>
    <w:rsid w:val="0067218D"/>
    <w:rsid w:val="006722A9"/>
    <w:rsid w:val="00672396"/>
    <w:rsid w:val="0067240C"/>
    <w:rsid w:val="006724A7"/>
    <w:rsid w:val="006724F5"/>
    <w:rsid w:val="00672538"/>
    <w:rsid w:val="006725B2"/>
    <w:rsid w:val="006727B9"/>
    <w:rsid w:val="006727FE"/>
    <w:rsid w:val="00672B15"/>
    <w:rsid w:val="00672B24"/>
    <w:rsid w:val="00672B26"/>
    <w:rsid w:val="00672BDC"/>
    <w:rsid w:val="00672C1A"/>
    <w:rsid w:val="00672DC9"/>
    <w:rsid w:val="00672EC5"/>
    <w:rsid w:val="00673016"/>
    <w:rsid w:val="006730FF"/>
    <w:rsid w:val="0067326D"/>
    <w:rsid w:val="006732A5"/>
    <w:rsid w:val="006734D5"/>
    <w:rsid w:val="0067355C"/>
    <w:rsid w:val="006735CB"/>
    <w:rsid w:val="0067371F"/>
    <w:rsid w:val="00673757"/>
    <w:rsid w:val="00673769"/>
    <w:rsid w:val="00673848"/>
    <w:rsid w:val="00673874"/>
    <w:rsid w:val="00673885"/>
    <w:rsid w:val="0067394F"/>
    <w:rsid w:val="00673BBC"/>
    <w:rsid w:val="00673C45"/>
    <w:rsid w:val="00673D34"/>
    <w:rsid w:val="00673DF3"/>
    <w:rsid w:val="006740AE"/>
    <w:rsid w:val="0067422A"/>
    <w:rsid w:val="00674316"/>
    <w:rsid w:val="00674461"/>
    <w:rsid w:val="00674692"/>
    <w:rsid w:val="006746A4"/>
    <w:rsid w:val="0067470F"/>
    <w:rsid w:val="0067483B"/>
    <w:rsid w:val="006748C4"/>
    <w:rsid w:val="006748F8"/>
    <w:rsid w:val="0067498B"/>
    <w:rsid w:val="006749B9"/>
    <w:rsid w:val="00674CA6"/>
    <w:rsid w:val="00674F8E"/>
    <w:rsid w:val="006750AD"/>
    <w:rsid w:val="006750C2"/>
    <w:rsid w:val="00675344"/>
    <w:rsid w:val="00675483"/>
    <w:rsid w:val="00675507"/>
    <w:rsid w:val="00675689"/>
    <w:rsid w:val="0067570E"/>
    <w:rsid w:val="006757B6"/>
    <w:rsid w:val="006757FB"/>
    <w:rsid w:val="0067585E"/>
    <w:rsid w:val="00675932"/>
    <w:rsid w:val="00675962"/>
    <w:rsid w:val="006759AE"/>
    <w:rsid w:val="00675BAF"/>
    <w:rsid w:val="00675C83"/>
    <w:rsid w:val="00675E10"/>
    <w:rsid w:val="00675E48"/>
    <w:rsid w:val="00675FE4"/>
    <w:rsid w:val="006761E4"/>
    <w:rsid w:val="006761F2"/>
    <w:rsid w:val="00676455"/>
    <w:rsid w:val="0067686A"/>
    <w:rsid w:val="00676893"/>
    <w:rsid w:val="0067689A"/>
    <w:rsid w:val="00676969"/>
    <w:rsid w:val="006769D3"/>
    <w:rsid w:val="00676AA7"/>
    <w:rsid w:val="00676B18"/>
    <w:rsid w:val="00676B2E"/>
    <w:rsid w:val="00676B30"/>
    <w:rsid w:val="00676C1F"/>
    <w:rsid w:val="00676C85"/>
    <w:rsid w:val="00676D14"/>
    <w:rsid w:val="00676DED"/>
    <w:rsid w:val="00676F0A"/>
    <w:rsid w:val="00676F8D"/>
    <w:rsid w:val="00677058"/>
    <w:rsid w:val="006770A5"/>
    <w:rsid w:val="006770D1"/>
    <w:rsid w:val="00677108"/>
    <w:rsid w:val="006771F8"/>
    <w:rsid w:val="00677299"/>
    <w:rsid w:val="006772BB"/>
    <w:rsid w:val="0067736F"/>
    <w:rsid w:val="006774FE"/>
    <w:rsid w:val="006775A2"/>
    <w:rsid w:val="006775CC"/>
    <w:rsid w:val="006777C9"/>
    <w:rsid w:val="006778B0"/>
    <w:rsid w:val="00677993"/>
    <w:rsid w:val="006779CC"/>
    <w:rsid w:val="00677AF1"/>
    <w:rsid w:val="00677B13"/>
    <w:rsid w:val="00677BFE"/>
    <w:rsid w:val="00677C33"/>
    <w:rsid w:val="00677C50"/>
    <w:rsid w:val="00677C69"/>
    <w:rsid w:val="00677CC7"/>
    <w:rsid w:val="00677CFD"/>
    <w:rsid w:val="00677D4A"/>
    <w:rsid w:val="00677D54"/>
    <w:rsid w:val="00677D7C"/>
    <w:rsid w:val="00677E7D"/>
    <w:rsid w:val="00677F6F"/>
    <w:rsid w:val="006800A9"/>
    <w:rsid w:val="00680153"/>
    <w:rsid w:val="00680256"/>
    <w:rsid w:val="006803E4"/>
    <w:rsid w:val="0068061E"/>
    <w:rsid w:val="006806D8"/>
    <w:rsid w:val="006807C8"/>
    <w:rsid w:val="0068091F"/>
    <w:rsid w:val="00680946"/>
    <w:rsid w:val="00680A6D"/>
    <w:rsid w:val="00680C00"/>
    <w:rsid w:val="00680E6A"/>
    <w:rsid w:val="00680EA9"/>
    <w:rsid w:val="00680F2B"/>
    <w:rsid w:val="00680F5F"/>
    <w:rsid w:val="00680FD8"/>
    <w:rsid w:val="00680FF1"/>
    <w:rsid w:val="00681184"/>
    <w:rsid w:val="006811E6"/>
    <w:rsid w:val="0068126E"/>
    <w:rsid w:val="0068134B"/>
    <w:rsid w:val="006813BF"/>
    <w:rsid w:val="006814DA"/>
    <w:rsid w:val="0068158C"/>
    <w:rsid w:val="0068158E"/>
    <w:rsid w:val="00681640"/>
    <w:rsid w:val="006816BD"/>
    <w:rsid w:val="006817C0"/>
    <w:rsid w:val="00681802"/>
    <w:rsid w:val="0068182D"/>
    <w:rsid w:val="00681880"/>
    <w:rsid w:val="006819EB"/>
    <w:rsid w:val="00681A1E"/>
    <w:rsid w:val="00681A7A"/>
    <w:rsid w:val="00681AA1"/>
    <w:rsid w:val="00681BB8"/>
    <w:rsid w:val="00681BC4"/>
    <w:rsid w:val="00681DCD"/>
    <w:rsid w:val="00681E9E"/>
    <w:rsid w:val="00681EA4"/>
    <w:rsid w:val="00681F63"/>
    <w:rsid w:val="0068211E"/>
    <w:rsid w:val="006821D6"/>
    <w:rsid w:val="006821F7"/>
    <w:rsid w:val="006823F1"/>
    <w:rsid w:val="00682416"/>
    <w:rsid w:val="006824F0"/>
    <w:rsid w:val="006824F6"/>
    <w:rsid w:val="0068256D"/>
    <w:rsid w:val="00682577"/>
    <w:rsid w:val="0068258A"/>
    <w:rsid w:val="00682693"/>
    <w:rsid w:val="006827EC"/>
    <w:rsid w:val="00682855"/>
    <w:rsid w:val="0068287E"/>
    <w:rsid w:val="0068288D"/>
    <w:rsid w:val="00682ADC"/>
    <w:rsid w:val="00682B3B"/>
    <w:rsid w:val="00682B88"/>
    <w:rsid w:val="00682D69"/>
    <w:rsid w:val="00682F6C"/>
    <w:rsid w:val="00683020"/>
    <w:rsid w:val="00683073"/>
    <w:rsid w:val="006830F5"/>
    <w:rsid w:val="006831BC"/>
    <w:rsid w:val="006832AA"/>
    <w:rsid w:val="006832F5"/>
    <w:rsid w:val="006834EC"/>
    <w:rsid w:val="00683520"/>
    <w:rsid w:val="00683647"/>
    <w:rsid w:val="0068378C"/>
    <w:rsid w:val="00683893"/>
    <w:rsid w:val="00683C5D"/>
    <w:rsid w:val="00683C69"/>
    <w:rsid w:val="00683CE9"/>
    <w:rsid w:val="00683E5C"/>
    <w:rsid w:val="00683E65"/>
    <w:rsid w:val="00683E66"/>
    <w:rsid w:val="00683F22"/>
    <w:rsid w:val="00683F85"/>
    <w:rsid w:val="006840A9"/>
    <w:rsid w:val="0068411E"/>
    <w:rsid w:val="00684219"/>
    <w:rsid w:val="006842A7"/>
    <w:rsid w:val="006842A9"/>
    <w:rsid w:val="006842CB"/>
    <w:rsid w:val="006842D3"/>
    <w:rsid w:val="006842D6"/>
    <w:rsid w:val="00684366"/>
    <w:rsid w:val="006843C4"/>
    <w:rsid w:val="0068442F"/>
    <w:rsid w:val="0068448F"/>
    <w:rsid w:val="006845B9"/>
    <w:rsid w:val="0068469F"/>
    <w:rsid w:val="006847E0"/>
    <w:rsid w:val="00684846"/>
    <w:rsid w:val="00684950"/>
    <w:rsid w:val="00684A65"/>
    <w:rsid w:val="00684AC6"/>
    <w:rsid w:val="00684AF0"/>
    <w:rsid w:val="00684CD8"/>
    <w:rsid w:val="006852B2"/>
    <w:rsid w:val="00685315"/>
    <w:rsid w:val="00685341"/>
    <w:rsid w:val="0068553A"/>
    <w:rsid w:val="00685750"/>
    <w:rsid w:val="00685786"/>
    <w:rsid w:val="006857DB"/>
    <w:rsid w:val="00685837"/>
    <w:rsid w:val="00685877"/>
    <w:rsid w:val="00685AEC"/>
    <w:rsid w:val="00685B63"/>
    <w:rsid w:val="00685C58"/>
    <w:rsid w:val="00685D77"/>
    <w:rsid w:val="00685D86"/>
    <w:rsid w:val="00685E4B"/>
    <w:rsid w:val="00686009"/>
    <w:rsid w:val="00686277"/>
    <w:rsid w:val="006863CD"/>
    <w:rsid w:val="00686448"/>
    <w:rsid w:val="0068644D"/>
    <w:rsid w:val="006864AF"/>
    <w:rsid w:val="006864F7"/>
    <w:rsid w:val="006867A6"/>
    <w:rsid w:val="00686848"/>
    <w:rsid w:val="00686920"/>
    <w:rsid w:val="006869AD"/>
    <w:rsid w:val="006869E0"/>
    <w:rsid w:val="00686A3B"/>
    <w:rsid w:val="00686AFB"/>
    <w:rsid w:val="00686B3D"/>
    <w:rsid w:val="00686B99"/>
    <w:rsid w:val="00686F25"/>
    <w:rsid w:val="00687095"/>
    <w:rsid w:val="006870A7"/>
    <w:rsid w:val="0068714B"/>
    <w:rsid w:val="006871FA"/>
    <w:rsid w:val="006872AE"/>
    <w:rsid w:val="0068756B"/>
    <w:rsid w:val="006876AD"/>
    <w:rsid w:val="006879B8"/>
    <w:rsid w:val="00687B7F"/>
    <w:rsid w:val="00687CC2"/>
    <w:rsid w:val="00687D30"/>
    <w:rsid w:val="00687E60"/>
    <w:rsid w:val="00687F4D"/>
    <w:rsid w:val="0069007D"/>
    <w:rsid w:val="006900B0"/>
    <w:rsid w:val="006901CF"/>
    <w:rsid w:val="006902C1"/>
    <w:rsid w:val="00690470"/>
    <w:rsid w:val="00690504"/>
    <w:rsid w:val="00690572"/>
    <w:rsid w:val="006905B3"/>
    <w:rsid w:val="006905B9"/>
    <w:rsid w:val="006906AD"/>
    <w:rsid w:val="0069076B"/>
    <w:rsid w:val="00690D72"/>
    <w:rsid w:val="00690F01"/>
    <w:rsid w:val="00690FDA"/>
    <w:rsid w:val="00690FDE"/>
    <w:rsid w:val="006913DD"/>
    <w:rsid w:val="0069145E"/>
    <w:rsid w:val="0069150E"/>
    <w:rsid w:val="00691879"/>
    <w:rsid w:val="0069194C"/>
    <w:rsid w:val="00691A84"/>
    <w:rsid w:val="00691AC5"/>
    <w:rsid w:val="00691B31"/>
    <w:rsid w:val="00691B90"/>
    <w:rsid w:val="00691D01"/>
    <w:rsid w:val="00691DB8"/>
    <w:rsid w:val="00691F34"/>
    <w:rsid w:val="00692142"/>
    <w:rsid w:val="0069216D"/>
    <w:rsid w:val="00692402"/>
    <w:rsid w:val="00692427"/>
    <w:rsid w:val="00692453"/>
    <w:rsid w:val="0069261E"/>
    <w:rsid w:val="00692688"/>
    <w:rsid w:val="0069278E"/>
    <w:rsid w:val="0069284D"/>
    <w:rsid w:val="006928FC"/>
    <w:rsid w:val="0069293B"/>
    <w:rsid w:val="00692B81"/>
    <w:rsid w:val="00692C00"/>
    <w:rsid w:val="00692D21"/>
    <w:rsid w:val="00692DF0"/>
    <w:rsid w:val="00692F00"/>
    <w:rsid w:val="0069337E"/>
    <w:rsid w:val="006933FD"/>
    <w:rsid w:val="00693531"/>
    <w:rsid w:val="0069367B"/>
    <w:rsid w:val="006936CE"/>
    <w:rsid w:val="006937B7"/>
    <w:rsid w:val="00693940"/>
    <w:rsid w:val="00693A4F"/>
    <w:rsid w:val="00693B8D"/>
    <w:rsid w:val="00693F51"/>
    <w:rsid w:val="00694150"/>
    <w:rsid w:val="006941CE"/>
    <w:rsid w:val="006942AD"/>
    <w:rsid w:val="00694397"/>
    <w:rsid w:val="006943EB"/>
    <w:rsid w:val="00694487"/>
    <w:rsid w:val="006944C0"/>
    <w:rsid w:val="00694504"/>
    <w:rsid w:val="006945D4"/>
    <w:rsid w:val="006945FB"/>
    <w:rsid w:val="0069482B"/>
    <w:rsid w:val="00694909"/>
    <w:rsid w:val="006949CA"/>
    <w:rsid w:val="00694BAC"/>
    <w:rsid w:val="00694C24"/>
    <w:rsid w:val="00694C62"/>
    <w:rsid w:val="00694CC7"/>
    <w:rsid w:val="00694E3B"/>
    <w:rsid w:val="00694EE4"/>
    <w:rsid w:val="006950C4"/>
    <w:rsid w:val="00695144"/>
    <w:rsid w:val="0069525F"/>
    <w:rsid w:val="006952BA"/>
    <w:rsid w:val="00695351"/>
    <w:rsid w:val="0069542A"/>
    <w:rsid w:val="00695468"/>
    <w:rsid w:val="00695472"/>
    <w:rsid w:val="006955D5"/>
    <w:rsid w:val="00695609"/>
    <w:rsid w:val="006956CC"/>
    <w:rsid w:val="0069586A"/>
    <w:rsid w:val="00695A8C"/>
    <w:rsid w:val="00695ACE"/>
    <w:rsid w:val="00695AF5"/>
    <w:rsid w:val="00695B0E"/>
    <w:rsid w:val="00695B8B"/>
    <w:rsid w:val="00695BC1"/>
    <w:rsid w:val="00695C81"/>
    <w:rsid w:val="00695C8D"/>
    <w:rsid w:val="00695D0C"/>
    <w:rsid w:val="00695DC6"/>
    <w:rsid w:val="00695E5E"/>
    <w:rsid w:val="00695F8C"/>
    <w:rsid w:val="00696237"/>
    <w:rsid w:val="00696343"/>
    <w:rsid w:val="00696393"/>
    <w:rsid w:val="006964AC"/>
    <w:rsid w:val="0069657D"/>
    <w:rsid w:val="00696719"/>
    <w:rsid w:val="0069678A"/>
    <w:rsid w:val="006968D9"/>
    <w:rsid w:val="0069693F"/>
    <w:rsid w:val="00696951"/>
    <w:rsid w:val="00696A49"/>
    <w:rsid w:val="00696B5E"/>
    <w:rsid w:val="00696B64"/>
    <w:rsid w:val="00696B8E"/>
    <w:rsid w:val="00696C61"/>
    <w:rsid w:val="00696E70"/>
    <w:rsid w:val="00696FCB"/>
    <w:rsid w:val="00697017"/>
    <w:rsid w:val="006971F7"/>
    <w:rsid w:val="00697316"/>
    <w:rsid w:val="00697410"/>
    <w:rsid w:val="0069776B"/>
    <w:rsid w:val="00697770"/>
    <w:rsid w:val="006977E1"/>
    <w:rsid w:val="0069786F"/>
    <w:rsid w:val="00697893"/>
    <w:rsid w:val="00697B68"/>
    <w:rsid w:val="00697C31"/>
    <w:rsid w:val="00697C3E"/>
    <w:rsid w:val="00697C63"/>
    <w:rsid w:val="00697C6A"/>
    <w:rsid w:val="00697D6A"/>
    <w:rsid w:val="00697DF9"/>
    <w:rsid w:val="00697EBF"/>
    <w:rsid w:val="00697FAF"/>
    <w:rsid w:val="00697FD0"/>
    <w:rsid w:val="006A0253"/>
    <w:rsid w:val="006A0384"/>
    <w:rsid w:val="006A0726"/>
    <w:rsid w:val="006A0767"/>
    <w:rsid w:val="006A07E5"/>
    <w:rsid w:val="006A08EB"/>
    <w:rsid w:val="006A093B"/>
    <w:rsid w:val="006A09A0"/>
    <w:rsid w:val="006A0D18"/>
    <w:rsid w:val="006A0D3D"/>
    <w:rsid w:val="006A0D75"/>
    <w:rsid w:val="006A0E79"/>
    <w:rsid w:val="006A0EAB"/>
    <w:rsid w:val="006A0F76"/>
    <w:rsid w:val="006A1002"/>
    <w:rsid w:val="006A11FB"/>
    <w:rsid w:val="006A1264"/>
    <w:rsid w:val="006A12A6"/>
    <w:rsid w:val="006A12D3"/>
    <w:rsid w:val="006A140A"/>
    <w:rsid w:val="006A1470"/>
    <w:rsid w:val="006A14A5"/>
    <w:rsid w:val="006A1541"/>
    <w:rsid w:val="006A176F"/>
    <w:rsid w:val="006A1821"/>
    <w:rsid w:val="006A1927"/>
    <w:rsid w:val="006A1964"/>
    <w:rsid w:val="006A1A89"/>
    <w:rsid w:val="006A1B08"/>
    <w:rsid w:val="006A1B11"/>
    <w:rsid w:val="006A1D2C"/>
    <w:rsid w:val="006A1E31"/>
    <w:rsid w:val="006A22CD"/>
    <w:rsid w:val="006A256F"/>
    <w:rsid w:val="006A282F"/>
    <w:rsid w:val="006A29BF"/>
    <w:rsid w:val="006A2B60"/>
    <w:rsid w:val="006A2C00"/>
    <w:rsid w:val="006A2D0B"/>
    <w:rsid w:val="006A2D3A"/>
    <w:rsid w:val="006A2DE0"/>
    <w:rsid w:val="006A2DFC"/>
    <w:rsid w:val="006A2E69"/>
    <w:rsid w:val="006A2EBF"/>
    <w:rsid w:val="006A2FA9"/>
    <w:rsid w:val="006A310D"/>
    <w:rsid w:val="006A3198"/>
    <w:rsid w:val="006A31A1"/>
    <w:rsid w:val="006A3203"/>
    <w:rsid w:val="006A337F"/>
    <w:rsid w:val="006A33AE"/>
    <w:rsid w:val="006A3452"/>
    <w:rsid w:val="006A35A2"/>
    <w:rsid w:val="006A35CF"/>
    <w:rsid w:val="006A36BE"/>
    <w:rsid w:val="006A36F7"/>
    <w:rsid w:val="006A3714"/>
    <w:rsid w:val="006A37A4"/>
    <w:rsid w:val="006A3856"/>
    <w:rsid w:val="006A3880"/>
    <w:rsid w:val="006A39AF"/>
    <w:rsid w:val="006A39EB"/>
    <w:rsid w:val="006A3BE9"/>
    <w:rsid w:val="006A3BFB"/>
    <w:rsid w:val="006A3C55"/>
    <w:rsid w:val="006A3C6C"/>
    <w:rsid w:val="006A3D50"/>
    <w:rsid w:val="006A3DBA"/>
    <w:rsid w:val="006A3FEE"/>
    <w:rsid w:val="006A4166"/>
    <w:rsid w:val="006A41D2"/>
    <w:rsid w:val="006A457E"/>
    <w:rsid w:val="006A45A6"/>
    <w:rsid w:val="006A4639"/>
    <w:rsid w:val="006A480A"/>
    <w:rsid w:val="006A481E"/>
    <w:rsid w:val="006A4862"/>
    <w:rsid w:val="006A48DA"/>
    <w:rsid w:val="006A4B1A"/>
    <w:rsid w:val="006A4C2D"/>
    <w:rsid w:val="006A4CD9"/>
    <w:rsid w:val="006A4CE4"/>
    <w:rsid w:val="006A4DC6"/>
    <w:rsid w:val="006A4E5C"/>
    <w:rsid w:val="006A4F54"/>
    <w:rsid w:val="006A4FC1"/>
    <w:rsid w:val="006A5066"/>
    <w:rsid w:val="006A511E"/>
    <w:rsid w:val="006A52BC"/>
    <w:rsid w:val="006A5342"/>
    <w:rsid w:val="006A538C"/>
    <w:rsid w:val="006A559B"/>
    <w:rsid w:val="006A583E"/>
    <w:rsid w:val="006A58CA"/>
    <w:rsid w:val="006A5A1B"/>
    <w:rsid w:val="006A5A74"/>
    <w:rsid w:val="006A5BD8"/>
    <w:rsid w:val="006A5C19"/>
    <w:rsid w:val="006A5CB7"/>
    <w:rsid w:val="006A5D00"/>
    <w:rsid w:val="006A5D2F"/>
    <w:rsid w:val="006A5E38"/>
    <w:rsid w:val="006A5E88"/>
    <w:rsid w:val="006A5EAA"/>
    <w:rsid w:val="006A5F00"/>
    <w:rsid w:val="006A5F33"/>
    <w:rsid w:val="006A5FD6"/>
    <w:rsid w:val="006A60BF"/>
    <w:rsid w:val="006A6109"/>
    <w:rsid w:val="006A626E"/>
    <w:rsid w:val="006A6302"/>
    <w:rsid w:val="006A64A7"/>
    <w:rsid w:val="006A6692"/>
    <w:rsid w:val="006A6725"/>
    <w:rsid w:val="006A6898"/>
    <w:rsid w:val="006A696E"/>
    <w:rsid w:val="006A6984"/>
    <w:rsid w:val="006A69B8"/>
    <w:rsid w:val="006A6A19"/>
    <w:rsid w:val="006A6B28"/>
    <w:rsid w:val="006A6D4B"/>
    <w:rsid w:val="006A6DF7"/>
    <w:rsid w:val="006A7020"/>
    <w:rsid w:val="006A70A6"/>
    <w:rsid w:val="006A70E3"/>
    <w:rsid w:val="006A72F7"/>
    <w:rsid w:val="006A7322"/>
    <w:rsid w:val="006A738F"/>
    <w:rsid w:val="006A75B5"/>
    <w:rsid w:val="006A75EF"/>
    <w:rsid w:val="006A75F1"/>
    <w:rsid w:val="006A766F"/>
    <w:rsid w:val="006A768C"/>
    <w:rsid w:val="006A76A4"/>
    <w:rsid w:val="006A7758"/>
    <w:rsid w:val="006A7A0F"/>
    <w:rsid w:val="006A7B83"/>
    <w:rsid w:val="006A7C47"/>
    <w:rsid w:val="006A7C9F"/>
    <w:rsid w:val="006A7E03"/>
    <w:rsid w:val="006B0044"/>
    <w:rsid w:val="006B01B6"/>
    <w:rsid w:val="006B0337"/>
    <w:rsid w:val="006B05C7"/>
    <w:rsid w:val="006B069F"/>
    <w:rsid w:val="006B06C6"/>
    <w:rsid w:val="006B08B4"/>
    <w:rsid w:val="006B096E"/>
    <w:rsid w:val="006B0996"/>
    <w:rsid w:val="006B09DB"/>
    <w:rsid w:val="006B0A0A"/>
    <w:rsid w:val="006B0A34"/>
    <w:rsid w:val="006B0A83"/>
    <w:rsid w:val="006B0AC7"/>
    <w:rsid w:val="006B0AD0"/>
    <w:rsid w:val="006B0AFB"/>
    <w:rsid w:val="006B0BD2"/>
    <w:rsid w:val="006B0BDF"/>
    <w:rsid w:val="006B0CFB"/>
    <w:rsid w:val="006B0DB3"/>
    <w:rsid w:val="006B0ECA"/>
    <w:rsid w:val="006B12C1"/>
    <w:rsid w:val="006B13D3"/>
    <w:rsid w:val="006B141E"/>
    <w:rsid w:val="006B150C"/>
    <w:rsid w:val="006B1526"/>
    <w:rsid w:val="006B154D"/>
    <w:rsid w:val="006B15F9"/>
    <w:rsid w:val="006B16A8"/>
    <w:rsid w:val="006B185C"/>
    <w:rsid w:val="006B186F"/>
    <w:rsid w:val="006B1897"/>
    <w:rsid w:val="006B189A"/>
    <w:rsid w:val="006B1954"/>
    <w:rsid w:val="006B1ACF"/>
    <w:rsid w:val="006B1BE5"/>
    <w:rsid w:val="006B1D14"/>
    <w:rsid w:val="006B1D44"/>
    <w:rsid w:val="006B1DE1"/>
    <w:rsid w:val="006B1F10"/>
    <w:rsid w:val="006B2153"/>
    <w:rsid w:val="006B2167"/>
    <w:rsid w:val="006B2168"/>
    <w:rsid w:val="006B21B0"/>
    <w:rsid w:val="006B22C6"/>
    <w:rsid w:val="006B2393"/>
    <w:rsid w:val="006B23BB"/>
    <w:rsid w:val="006B26C7"/>
    <w:rsid w:val="006B2767"/>
    <w:rsid w:val="006B2779"/>
    <w:rsid w:val="006B27EF"/>
    <w:rsid w:val="006B2924"/>
    <w:rsid w:val="006B29EB"/>
    <w:rsid w:val="006B2A01"/>
    <w:rsid w:val="006B2A67"/>
    <w:rsid w:val="006B2C90"/>
    <w:rsid w:val="006B2CCB"/>
    <w:rsid w:val="006B2EC6"/>
    <w:rsid w:val="006B2F6D"/>
    <w:rsid w:val="006B3038"/>
    <w:rsid w:val="006B314A"/>
    <w:rsid w:val="006B3388"/>
    <w:rsid w:val="006B3429"/>
    <w:rsid w:val="006B34E8"/>
    <w:rsid w:val="006B3544"/>
    <w:rsid w:val="006B3600"/>
    <w:rsid w:val="006B3727"/>
    <w:rsid w:val="006B387A"/>
    <w:rsid w:val="006B3947"/>
    <w:rsid w:val="006B3C68"/>
    <w:rsid w:val="006B3CF5"/>
    <w:rsid w:val="006B3CFB"/>
    <w:rsid w:val="006B3DE9"/>
    <w:rsid w:val="006B3E62"/>
    <w:rsid w:val="006B3E80"/>
    <w:rsid w:val="006B3ED4"/>
    <w:rsid w:val="006B3F24"/>
    <w:rsid w:val="006B44F2"/>
    <w:rsid w:val="006B450A"/>
    <w:rsid w:val="006B485B"/>
    <w:rsid w:val="006B49E5"/>
    <w:rsid w:val="006B4D75"/>
    <w:rsid w:val="006B50E5"/>
    <w:rsid w:val="006B5113"/>
    <w:rsid w:val="006B51C4"/>
    <w:rsid w:val="006B5212"/>
    <w:rsid w:val="006B5225"/>
    <w:rsid w:val="006B533B"/>
    <w:rsid w:val="006B54B7"/>
    <w:rsid w:val="006B553D"/>
    <w:rsid w:val="006B5540"/>
    <w:rsid w:val="006B55AC"/>
    <w:rsid w:val="006B55F0"/>
    <w:rsid w:val="006B560B"/>
    <w:rsid w:val="006B566A"/>
    <w:rsid w:val="006B56DF"/>
    <w:rsid w:val="006B5783"/>
    <w:rsid w:val="006B587F"/>
    <w:rsid w:val="006B5908"/>
    <w:rsid w:val="006B5933"/>
    <w:rsid w:val="006B5E4F"/>
    <w:rsid w:val="006B5F79"/>
    <w:rsid w:val="006B5F8C"/>
    <w:rsid w:val="006B60BA"/>
    <w:rsid w:val="006B61A2"/>
    <w:rsid w:val="006B6276"/>
    <w:rsid w:val="006B62FE"/>
    <w:rsid w:val="006B6514"/>
    <w:rsid w:val="006B6543"/>
    <w:rsid w:val="006B67AF"/>
    <w:rsid w:val="006B6879"/>
    <w:rsid w:val="006B68A6"/>
    <w:rsid w:val="006B6AB3"/>
    <w:rsid w:val="006B6CAA"/>
    <w:rsid w:val="006B6D35"/>
    <w:rsid w:val="006B6D57"/>
    <w:rsid w:val="006B6E6D"/>
    <w:rsid w:val="006B6EFD"/>
    <w:rsid w:val="006B7124"/>
    <w:rsid w:val="006B7125"/>
    <w:rsid w:val="006B720F"/>
    <w:rsid w:val="006B72DC"/>
    <w:rsid w:val="006B7316"/>
    <w:rsid w:val="006B755F"/>
    <w:rsid w:val="006B7610"/>
    <w:rsid w:val="006B7635"/>
    <w:rsid w:val="006B7664"/>
    <w:rsid w:val="006B7684"/>
    <w:rsid w:val="006B76ED"/>
    <w:rsid w:val="006B7733"/>
    <w:rsid w:val="006B7835"/>
    <w:rsid w:val="006B78D5"/>
    <w:rsid w:val="006B7A26"/>
    <w:rsid w:val="006B7AFD"/>
    <w:rsid w:val="006B7BB4"/>
    <w:rsid w:val="006B7C01"/>
    <w:rsid w:val="006B7C6F"/>
    <w:rsid w:val="006B7D02"/>
    <w:rsid w:val="006B7D6D"/>
    <w:rsid w:val="006B7F18"/>
    <w:rsid w:val="006C0262"/>
    <w:rsid w:val="006C02C2"/>
    <w:rsid w:val="006C057B"/>
    <w:rsid w:val="006C057F"/>
    <w:rsid w:val="006C05AE"/>
    <w:rsid w:val="006C05D8"/>
    <w:rsid w:val="006C0613"/>
    <w:rsid w:val="006C0756"/>
    <w:rsid w:val="006C0768"/>
    <w:rsid w:val="006C07E7"/>
    <w:rsid w:val="006C0865"/>
    <w:rsid w:val="006C08E7"/>
    <w:rsid w:val="006C0B55"/>
    <w:rsid w:val="006C0BD1"/>
    <w:rsid w:val="006C0BD3"/>
    <w:rsid w:val="006C0C00"/>
    <w:rsid w:val="006C0E32"/>
    <w:rsid w:val="006C0EA7"/>
    <w:rsid w:val="006C0FB8"/>
    <w:rsid w:val="006C1024"/>
    <w:rsid w:val="006C1056"/>
    <w:rsid w:val="006C1107"/>
    <w:rsid w:val="006C12AF"/>
    <w:rsid w:val="006C12F7"/>
    <w:rsid w:val="006C1371"/>
    <w:rsid w:val="006C13A1"/>
    <w:rsid w:val="006C13CE"/>
    <w:rsid w:val="006C1605"/>
    <w:rsid w:val="006C1665"/>
    <w:rsid w:val="006C1734"/>
    <w:rsid w:val="006C17B3"/>
    <w:rsid w:val="006C1875"/>
    <w:rsid w:val="006C1896"/>
    <w:rsid w:val="006C18E0"/>
    <w:rsid w:val="006C1A0E"/>
    <w:rsid w:val="006C1A3F"/>
    <w:rsid w:val="006C1A46"/>
    <w:rsid w:val="006C1A4D"/>
    <w:rsid w:val="006C1A5E"/>
    <w:rsid w:val="006C1B1D"/>
    <w:rsid w:val="006C1B8B"/>
    <w:rsid w:val="006C1BF2"/>
    <w:rsid w:val="006C1C85"/>
    <w:rsid w:val="006C1DC9"/>
    <w:rsid w:val="006C1E7B"/>
    <w:rsid w:val="006C2032"/>
    <w:rsid w:val="006C23FA"/>
    <w:rsid w:val="006C2471"/>
    <w:rsid w:val="006C24B4"/>
    <w:rsid w:val="006C251B"/>
    <w:rsid w:val="006C25C0"/>
    <w:rsid w:val="006C2732"/>
    <w:rsid w:val="006C27DB"/>
    <w:rsid w:val="006C2870"/>
    <w:rsid w:val="006C28A5"/>
    <w:rsid w:val="006C28B1"/>
    <w:rsid w:val="006C297D"/>
    <w:rsid w:val="006C2B70"/>
    <w:rsid w:val="006C2F3E"/>
    <w:rsid w:val="006C2F4B"/>
    <w:rsid w:val="006C2F6B"/>
    <w:rsid w:val="006C3019"/>
    <w:rsid w:val="006C3023"/>
    <w:rsid w:val="006C305B"/>
    <w:rsid w:val="006C31E8"/>
    <w:rsid w:val="006C32FE"/>
    <w:rsid w:val="006C33E1"/>
    <w:rsid w:val="006C3433"/>
    <w:rsid w:val="006C3456"/>
    <w:rsid w:val="006C34C2"/>
    <w:rsid w:val="006C36E6"/>
    <w:rsid w:val="006C3774"/>
    <w:rsid w:val="006C37EF"/>
    <w:rsid w:val="006C3AB0"/>
    <w:rsid w:val="006C3AFC"/>
    <w:rsid w:val="006C3BAD"/>
    <w:rsid w:val="006C3CE1"/>
    <w:rsid w:val="006C3EC1"/>
    <w:rsid w:val="006C3F0F"/>
    <w:rsid w:val="006C434A"/>
    <w:rsid w:val="006C43BD"/>
    <w:rsid w:val="006C43C3"/>
    <w:rsid w:val="006C4442"/>
    <w:rsid w:val="006C4554"/>
    <w:rsid w:val="006C4584"/>
    <w:rsid w:val="006C461B"/>
    <w:rsid w:val="006C4645"/>
    <w:rsid w:val="006C46BC"/>
    <w:rsid w:val="006C46CC"/>
    <w:rsid w:val="006C48FD"/>
    <w:rsid w:val="006C492E"/>
    <w:rsid w:val="006C4947"/>
    <w:rsid w:val="006C4963"/>
    <w:rsid w:val="006C4A25"/>
    <w:rsid w:val="006C4A2A"/>
    <w:rsid w:val="006C4BB6"/>
    <w:rsid w:val="006C4BC4"/>
    <w:rsid w:val="006C4E75"/>
    <w:rsid w:val="006C4F03"/>
    <w:rsid w:val="006C4FD2"/>
    <w:rsid w:val="006C5092"/>
    <w:rsid w:val="006C5142"/>
    <w:rsid w:val="006C548E"/>
    <w:rsid w:val="006C5490"/>
    <w:rsid w:val="006C566E"/>
    <w:rsid w:val="006C569B"/>
    <w:rsid w:val="006C5725"/>
    <w:rsid w:val="006C584F"/>
    <w:rsid w:val="006C587A"/>
    <w:rsid w:val="006C5BC1"/>
    <w:rsid w:val="006C5D09"/>
    <w:rsid w:val="006C5D10"/>
    <w:rsid w:val="006C5E01"/>
    <w:rsid w:val="006C6305"/>
    <w:rsid w:val="006C63F5"/>
    <w:rsid w:val="006C6458"/>
    <w:rsid w:val="006C6622"/>
    <w:rsid w:val="006C6636"/>
    <w:rsid w:val="006C66D6"/>
    <w:rsid w:val="006C67C2"/>
    <w:rsid w:val="006C6881"/>
    <w:rsid w:val="006C6A79"/>
    <w:rsid w:val="006C6AC2"/>
    <w:rsid w:val="006C6AC8"/>
    <w:rsid w:val="006C6AE0"/>
    <w:rsid w:val="006C6B10"/>
    <w:rsid w:val="006C6B47"/>
    <w:rsid w:val="006C6CB6"/>
    <w:rsid w:val="006C6DF5"/>
    <w:rsid w:val="006C7155"/>
    <w:rsid w:val="006C7203"/>
    <w:rsid w:val="006C726E"/>
    <w:rsid w:val="006C7366"/>
    <w:rsid w:val="006C73A4"/>
    <w:rsid w:val="006C7488"/>
    <w:rsid w:val="006C7504"/>
    <w:rsid w:val="006C7527"/>
    <w:rsid w:val="006C75C0"/>
    <w:rsid w:val="006C75C8"/>
    <w:rsid w:val="006C769B"/>
    <w:rsid w:val="006C77B2"/>
    <w:rsid w:val="006C78E8"/>
    <w:rsid w:val="006C793B"/>
    <w:rsid w:val="006C7A51"/>
    <w:rsid w:val="006C7BE7"/>
    <w:rsid w:val="006C7BEC"/>
    <w:rsid w:val="006C7C91"/>
    <w:rsid w:val="006C7D9C"/>
    <w:rsid w:val="006C7E1D"/>
    <w:rsid w:val="006C7F28"/>
    <w:rsid w:val="006C7F64"/>
    <w:rsid w:val="006D017E"/>
    <w:rsid w:val="006D01FE"/>
    <w:rsid w:val="006D026E"/>
    <w:rsid w:val="006D0283"/>
    <w:rsid w:val="006D0601"/>
    <w:rsid w:val="006D0686"/>
    <w:rsid w:val="006D0692"/>
    <w:rsid w:val="006D06CB"/>
    <w:rsid w:val="006D0792"/>
    <w:rsid w:val="006D0915"/>
    <w:rsid w:val="006D0A67"/>
    <w:rsid w:val="006D0B23"/>
    <w:rsid w:val="006D0BF3"/>
    <w:rsid w:val="006D0C59"/>
    <w:rsid w:val="006D0C7A"/>
    <w:rsid w:val="006D0E41"/>
    <w:rsid w:val="006D1210"/>
    <w:rsid w:val="006D1232"/>
    <w:rsid w:val="006D135B"/>
    <w:rsid w:val="006D14DA"/>
    <w:rsid w:val="006D16AD"/>
    <w:rsid w:val="006D176B"/>
    <w:rsid w:val="006D17ED"/>
    <w:rsid w:val="006D1952"/>
    <w:rsid w:val="006D1985"/>
    <w:rsid w:val="006D1AD2"/>
    <w:rsid w:val="006D1AFA"/>
    <w:rsid w:val="006D1B01"/>
    <w:rsid w:val="006D1C43"/>
    <w:rsid w:val="006D1DF0"/>
    <w:rsid w:val="006D1EE9"/>
    <w:rsid w:val="006D2147"/>
    <w:rsid w:val="006D2424"/>
    <w:rsid w:val="006D2490"/>
    <w:rsid w:val="006D2569"/>
    <w:rsid w:val="006D2969"/>
    <w:rsid w:val="006D2CF9"/>
    <w:rsid w:val="006D2DB1"/>
    <w:rsid w:val="006D2DCB"/>
    <w:rsid w:val="006D2DD4"/>
    <w:rsid w:val="006D2DDB"/>
    <w:rsid w:val="006D2FFB"/>
    <w:rsid w:val="006D3023"/>
    <w:rsid w:val="006D305B"/>
    <w:rsid w:val="006D312C"/>
    <w:rsid w:val="006D3143"/>
    <w:rsid w:val="006D3161"/>
    <w:rsid w:val="006D342D"/>
    <w:rsid w:val="006D3484"/>
    <w:rsid w:val="006D3781"/>
    <w:rsid w:val="006D38D3"/>
    <w:rsid w:val="006D3A82"/>
    <w:rsid w:val="006D3B0F"/>
    <w:rsid w:val="006D3CA1"/>
    <w:rsid w:val="006D3E0D"/>
    <w:rsid w:val="006D40D0"/>
    <w:rsid w:val="006D41C9"/>
    <w:rsid w:val="006D433B"/>
    <w:rsid w:val="006D436A"/>
    <w:rsid w:val="006D4423"/>
    <w:rsid w:val="006D4437"/>
    <w:rsid w:val="006D453A"/>
    <w:rsid w:val="006D4A51"/>
    <w:rsid w:val="006D4B8A"/>
    <w:rsid w:val="006D4C79"/>
    <w:rsid w:val="006D4E2E"/>
    <w:rsid w:val="006D4EB3"/>
    <w:rsid w:val="006D4ED2"/>
    <w:rsid w:val="006D4F85"/>
    <w:rsid w:val="006D5001"/>
    <w:rsid w:val="006D5087"/>
    <w:rsid w:val="006D513F"/>
    <w:rsid w:val="006D5320"/>
    <w:rsid w:val="006D538E"/>
    <w:rsid w:val="006D54CD"/>
    <w:rsid w:val="006D54FC"/>
    <w:rsid w:val="006D5606"/>
    <w:rsid w:val="006D5821"/>
    <w:rsid w:val="006D58A5"/>
    <w:rsid w:val="006D5A4F"/>
    <w:rsid w:val="006D5A90"/>
    <w:rsid w:val="006D5B4F"/>
    <w:rsid w:val="006D5E58"/>
    <w:rsid w:val="006D60D6"/>
    <w:rsid w:val="006D6117"/>
    <w:rsid w:val="006D6A5C"/>
    <w:rsid w:val="006D6AFD"/>
    <w:rsid w:val="006D6D05"/>
    <w:rsid w:val="006D6D67"/>
    <w:rsid w:val="006D6E4E"/>
    <w:rsid w:val="006D6F7D"/>
    <w:rsid w:val="006D6F81"/>
    <w:rsid w:val="006D6F8F"/>
    <w:rsid w:val="006D70F5"/>
    <w:rsid w:val="006D71D4"/>
    <w:rsid w:val="006D7269"/>
    <w:rsid w:val="006D7489"/>
    <w:rsid w:val="006D7800"/>
    <w:rsid w:val="006D7970"/>
    <w:rsid w:val="006D7981"/>
    <w:rsid w:val="006D7A83"/>
    <w:rsid w:val="006D7B6D"/>
    <w:rsid w:val="006D7DC6"/>
    <w:rsid w:val="006D7F1D"/>
    <w:rsid w:val="006D7FDB"/>
    <w:rsid w:val="006E003C"/>
    <w:rsid w:val="006E0079"/>
    <w:rsid w:val="006E0081"/>
    <w:rsid w:val="006E0287"/>
    <w:rsid w:val="006E02FB"/>
    <w:rsid w:val="006E0375"/>
    <w:rsid w:val="006E0503"/>
    <w:rsid w:val="006E0547"/>
    <w:rsid w:val="006E0630"/>
    <w:rsid w:val="006E071A"/>
    <w:rsid w:val="006E0B3E"/>
    <w:rsid w:val="006E0EA5"/>
    <w:rsid w:val="006E0ED6"/>
    <w:rsid w:val="006E0F55"/>
    <w:rsid w:val="006E0FFB"/>
    <w:rsid w:val="006E10D3"/>
    <w:rsid w:val="006E1244"/>
    <w:rsid w:val="006E12A6"/>
    <w:rsid w:val="006E156A"/>
    <w:rsid w:val="006E1611"/>
    <w:rsid w:val="006E1655"/>
    <w:rsid w:val="006E1818"/>
    <w:rsid w:val="006E1929"/>
    <w:rsid w:val="006E1960"/>
    <w:rsid w:val="006E1982"/>
    <w:rsid w:val="006E1A11"/>
    <w:rsid w:val="006E1AE6"/>
    <w:rsid w:val="006E1BDC"/>
    <w:rsid w:val="006E1C23"/>
    <w:rsid w:val="006E1CDD"/>
    <w:rsid w:val="006E1D71"/>
    <w:rsid w:val="006E1F86"/>
    <w:rsid w:val="006E1FBE"/>
    <w:rsid w:val="006E2013"/>
    <w:rsid w:val="006E20BB"/>
    <w:rsid w:val="006E2120"/>
    <w:rsid w:val="006E2181"/>
    <w:rsid w:val="006E2234"/>
    <w:rsid w:val="006E22CF"/>
    <w:rsid w:val="006E232D"/>
    <w:rsid w:val="006E259B"/>
    <w:rsid w:val="006E26DC"/>
    <w:rsid w:val="006E2700"/>
    <w:rsid w:val="006E27A5"/>
    <w:rsid w:val="006E27C7"/>
    <w:rsid w:val="006E28E8"/>
    <w:rsid w:val="006E2A4C"/>
    <w:rsid w:val="006E2AA0"/>
    <w:rsid w:val="006E2C83"/>
    <w:rsid w:val="006E2DEA"/>
    <w:rsid w:val="006E2E53"/>
    <w:rsid w:val="006E2EB3"/>
    <w:rsid w:val="006E2FF2"/>
    <w:rsid w:val="006E3103"/>
    <w:rsid w:val="006E3108"/>
    <w:rsid w:val="006E326A"/>
    <w:rsid w:val="006E32E4"/>
    <w:rsid w:val="006E3350"/>
    <w:rsid w:val="006E3466"/>
    <w:rsid w:val="006E3808"/>
    <w:rsid w:val="006E3927"/>
    <w:rsid w:val="006E39EE"/>
    <w:rsid w:val="006E3A88"/>
    <w:rsid w:val="006E3BB1"/>
    <w:rsid w:val="006E3BFF"/>
    <w:rsid w:val="006E3C6E"/>
    <w:rsid w:val="006E3CEC"/>
    <w:rsid w:val="006E3E10"/>
    <w:rsid w:val="006E3F18"/>
    <w:rsid w:val="006E3F68"/>
    <w:rsid w:val="006E4043"/>
    <w:rsid w:val="006E42D9"/>
    <w:rsid w:val="006E4323"/>
    <w:rsid w:val="006E43D5"/>
    <w:rsid w:val="006E444C"/>
    <w:rsid w:val="006E44CF"/>
    <w:rsid w:val="006E467F"/>
    <w:rsid w:val="006E46B2"/>
    <w:rsid w:val="006E46CB"/>
    <w:rsid w:val="006E4708"/>
    <w:rsid w:val="006E4734"/>
    <w:rsid w:val="006E496B"/>
    <w:rsid w:val="006E4EFC"/>
    <w:rsid w:val="006E4F48"/>
    <w:rsid w:val="006E4F82"/>
    <w:rsid w:val="006E50ED"/>
    <w:rsid w:val="006E519E"/>
    <w:rsid w:val="006E521B"/>
    <w:rsid w:val="006E52D7"/>
    <w:rsid w:val="006E5364"/>
    <w:rsid w:val="006E55E2"/>
    <w:rsid w:val="006E57F4"/>
    <w:rsid w:val="006E5822"/>
    <w:rsid w:val="006E59DE"/>
    <w:rsid w:val="006E5B4A"/>
    <w:rsid w:val="006E5B4F"/>
    <w:rsid w:val="006E5DB5"/>
    <w:rsid w:val="006E5F06"/>
    <w:rsid w:val="006E5FA5"/>
    <w:rsid w:val="006E5FFA"/>
    <w:rsid w:val="006E603A"/>
    <w:rsid w:val="006E607A"/>
    <w:rsid w:val="006E6179"/>
    <w:rsid w:val="006E61DD"/>
    <w:rsid w:val="006E61E4"/>
    <w:rsid w:val="006E62DF"/>
    <w:rsid w:val="006E64FF"/>
    <w:rsid w:val="006E65E5"/>
    <w:rsid w:val="006E67B0"/>
    <w:rsid w:val="006E68E3"/>
    <w:rsid w:val="006E6903"/>
    <w:rsid w:val="006E69ED"/>
    <w:rsid w:val="006E6A9D"/>
    <w:rsid w:val="006E6AC8"/>
    <w:rsid w:val="006E6AEA"/>
    <w:rsid w:val="006E6B49"/>
    <w:rsid w:val="006E6B9B"/>
    <w:rsid w:val="006E6C04"/>
    <w:rsid w:val="006E6C6E"/>
    <w:rsid w:val="006E6C8F"/>
    <w:rsid w:val="006E6EB0"/>
    <w:rsid w:val="006E6FAF"/>
    <w:rsid w:val="006E7090"/>
    <w:rsid w:val="006E70A7"/>
    <w:rsid w:val="006E70CD"/>
    <w:rsid w:val="006E7135"/>
    <w:rsid w:val="006E71F0"/>
    <w:rsid w:val="006E73CE"/>
    <w:rsid w:val="006E740B"/>
    <w:rsid w:val="006E7481"/>
    <w:rsid w:val="006E748E"/>
    <w:rsid w:val="006E75E2"/>
    <w:rsid w:val="006E76A8"/>
    <w:rsid w:val="006E76C0"/>
    <w:rsid w:val="006E7789"/>
    <w:rsid w:val="006E789B"/>
    <w:rsid w:val="006E79EF"/>
    <w:rsid w:val="006E79FF"/>
    <w:rsid w:val="006E7B03"/>
    <w:rsid w:val="006E7C09"/>
    <w:rsid w:val="006E7CCB"/>
    <w:rsid w:val="006E7EC8"/>
    <w:rsid w:val="006E7F24"/>
    <w:rsid w:val="006E7F2E"/>
    <w:rsid w:val="006E7FC0"/>
    <w:rsid w:val="006F015D"/>
    <w:rsid w:val="006F0179"/>
    <w:rsid w:val="006F01CA"/>
    <w:rsid w:val="006F02F5"/>
    <w:rsid w:val="006F0307"/>
    <w:rsid w:val="006F0370"/>
    <w:rsid w:val="006F0389"/>
    <w:rsid w:val="006F0414"/>
    <w:rsid w:val="006F046C"/>
    <w:rsid w:val="006F049A"/>
    <w:rsid w:val="006F04B1"/>
    <w:rsid w:val="006F05C0"/>
    <w:rsid w:val="006F05FC"/>
    <w:rsid w:val="006F07B9"/>
    <w:rsid w:val="006F07C3"/>
    <w:rsid w:val="006F089D"/>
    <w:rsid w:val="006F0923"/>
    <w:rsid w:val="006F0941"/>
    <w:rsid w:val="006F095F"/>
    <w:rsid w:val="006F0AA1"/>
    <w:rsid w:val="006F0BFA"/>
    <w:rsid w:val="006F0C47"/>
    <w:rsid w:val="006F0EF2"/>
    <w:rsid w:val="006F0FE5"/>
    <w:rsid w:val="006F1046"/>
    <w:rsid w:val="006F12BB"/>
    <w:rsid w:val="006F13D7"/>
    <w:rsid w:val="006F1438"/>
    <w:rsid w:val="006F14B4"/>
    <w:rsid w:val="006F152E"/>
    <w:rsid w:val="006F1575"/>
    <w:rsid w:val="006F17CC"/>
    <w:rsid w:val="006F19B1"/>
    <w:rsid w:val="006F1C37"/>
    <w:rsid w:val="006F1C3D"/>
    <w:rsid w:val="006F1D94"/>
    <w:rsid w:val="006F1F2D"/>
    <w:rsid w:val="006F1F3D"/>
    <w:rsid w:val="006F1F8C"/>
    <w:rsid w:val="006F2003"/>
    <w:rsid w:val="006F2118"/>
    <w:rsid w:val="006F21C4"/>
    <w:rsid w:val="006F2278"/>
    <w:rsid w:val="006F22A5"/>
    <w:rsid w:val="006F2370"/>
    <w:rsid w:val="006F23D8"/>
    <w:rsid w:val="006F25B5"/>
    <w:rsid w:val="006F2AAD"/>
    <w:rsid w:val="006F2B63"/>
    <w:rsid w:val="006F2B78"/>
    <w:rsid w:val="006F2C63"/>
    <w:rsid w:val="006F2CA2"/>
    <w:rsid w:val="006F2CEA"/>
    <w:rsid w:val="006F2D53"/>
    <w:rsid w:val="006F2DD7"/>
    <w:rsid w:val="006F2DEB"/>
    <w:rsid w:val="006F2E4F"/>
    <w:rsid w:val="006F2ECB"/>
    <w:rsid w:val="006F2F8E"/>
    <w:rsid w:val="006F3090"/>
    <w:rsid w:val="006F30D0"/>
    <w:rsid w:val="006F31A8"/>
    <w:rsid w:val="006F31E0"/>
    <w:rsid w:val="006F3210"/>
    <w:rsid w:val="006F32EF"/>
    <w:rsid w:val="006F33C9"/>
    <w:rsid w:val="006F3502"/>
    <w:rsid w:val="006F3564"/>
    <w:rsid w:val="006F3650"/>
    <w:rsid w:val="006F3742"/>
    <w:rsid w:val="006F3751"/>
    <w:rsid w:val="006F3A31"/>
    <w:rsid w:val="006F3A46"/>
    <w:rsid w:val="006F3AB0"/>
    <w:rsid w:val="006F3B92"/>
    <w:rsid w:val="006F3C88"/>
    <w:rsid w:val="006F3E53"/>
    <w:rsid w:val="006F3F98"/>
    <w:rsid w:val="006F3FD4"/>
    <w:rsid w:val="006F4153"/>
    <w:rsid w:val="006F42FE"/>
    <w:rsid w:val="006F434B"/>
    <w:rsid w:val="006F43C9"/>
    <w:rsid w:val="006F44B4"/>
    <w:rsid w:val="006F4504"/>
    <w:rsid w:val="006F464B"/>
    <w:rsid w:val="006F4769"/>
    <w:rsid w:val="006F4773"/>
    <w:rsid w:val="006F47CC"/>
    <w:rsid w:val="006F497C"/>
    <w:rsid w:val="006F4A18"/>
    <w:rsid w:val="006F4A5B"/>
    <w:rsid w:val="006F4B58"/>
    <w:rsid w:val="006F4BD0"/>
    <w:rsid w:val="006F4C2D"/>
    <w:rsid w:val="006F4D03"/>
    <w:rsid w:val="006F4E0C"/>
    <w:rsid w:val="006F4F72"/>
    <w:rsid w:val="006F51DB"/>
    <w:rsid w:val="006F5255"/>
    <w:rsid w:val="006F5389"/>
    <w:rsid w:val="006F53F6"/>
    <w:rsid w:val="006F551F"/>
    <w:rsid w:val="006F5636"/>
    <w:rsid w:val="006F56F6"/>
    <w:rsid w:val="006F5967"/>
    <w:rsid w:val="006F5970"/>
    <w:rsid w:val="006F5A13"/>
    <w:rsid w:val="006F5A52"/>
    <w:rsid w:val="006F5AE2"/>
    <w:rsid w:val="006F5B0D"/>
    <w:rsid w:val="006F5B31"/>
    <w:rsid w:val="006F5C29"/>
    <w:rsid w:val="006F5CC5"/>
    <w:rsid w:val="006F5D0A"/>
    <w:rsid w:val="006F5EEE"/>
    <w:rsid w:val="006F5F2E"/>
    <w:rsid w:val="006F5F4D"/>
    <w:rsid w:val="006F61E4"/>
    <w:rsid w:val="006F6220"/>
    <w:rsid w:val="006F63A5"/>
    <w:rsid w:val="006F6589"/>
    <w:rsid w:val="006F6630"/>
    <w:rsid w:val="006F6748"/>
    <w:rsid w:val="006F6812"/>
    <w:rsid w:val="006F68AC"/>
    <w:rsid w:val="006F68D2"/>
    <w:rsid w:val="006F6AD5"/>
    <w:rsid w:val="006F6B62"/>
    <w:rsid w:val="006F6D47"/>
    <w:rsid w:val="006F6D49"/>
    <w:rsid w:val="006F6DF5"/>
    <w:rsid w:val="006F6E26"/>
    <w:rsid w:val="006F6E8E"/>
    <w:rsid w:val="006F6FCB"/>
    <w:rsid w:val="006F70AC"/>
    <w:rsid w:val="006F71FA"/>
    <w:rsid w:val="006F72AA"/>
    <w:rsid w:val="006F7340"/>
    <w:rsid w:val="006F7381"/>
    <w:rsid w:val="006F74C6"/>
    <w:rsid w:val="006F74E3"/>
    <w:rsid w:val="006F7628"/>
    <w:rsid w:val="006F76BA"/>
    <w:rsid w:val="006F7827"/>
    <w:rsid w:val="006F78A2"/>
    <w:rsid w:val="006F7D74"/>
    <w:rsid w:val="006F7EBB"/>
    <w:rsid w:val="006F7EE9"/>
    <w:rsid w:val="006F7FF5"/>
    <w:rsid w:val="00700058"/>
    <w:rsid w:val="0070010E"/>
    <w:rsid w:val="007001A9"/>
    <w:rsid w:val="007001FF"/>
    <w:rsid w:val="0070041E"/>
    <w:rsid w:val="00700671"/>
    <w:rsid w:val="00700704"/>
    <w:rsid w:val="007007CD"/>
    <w:rsid w:val="0070085C"/>
    <w:rsid w:val="00700892"/>
    <w:rsid w:val="00700978"/>
    <w:rsid w:val="00700B73"/>
    <w:rsid w:val="00700C4E"/>
    <w:rsid w:val="00700E1D"/>
    <w:rsid w:val="00700E74"/>
    <w:rsid w:val="0070105E"/>
    <w:rsid w:val="007013DE"/>
    <w:rsid w:val="007013FD"/>
    <w:rsid w:val="00701504"/>
    <w:rsid w:val="007015D8"/>
    <w:rsid w:val="00701629"/>
    <w:rsid w:val="00701714"/>
    <w:rsid w:val="00701850"/>
    <w:rsid w:val="007018BC"/>
    <w:rsid w:val="00701A96"/>
    <w:rsid w:val="00701AF7"/>
    <w:rsid w:val="00701B6D"/>
    <w:rsid w:val="00701BE7"/>
    <w:rsid w:val="00701E68"/>
    <w:rsid w:val="00701E8D"/>
    <w:rsid w:val="00702000"/>
    <w:rsid w:val="00702334"/>
    <w:rsid w:val="007023F8"/>
    <w:rsid w:val="0070248D"/>
    <w:rsid w:val="007024D1"/>
    <w:rsid w:val="007026F0"/>
    <w:rsid w:val="007028FF"/>
    <w:rsid w:val="00702921"/>
    <w:rsid w:val="007029B1"/>
    <w:rsid w:val="007029C1"/>
    <w:rsid w:val="00702A72"/>
    <w:rsid w:val="00702ACF"/>
    <w:rsid w:val="00702E92"/>
    <w:rsid w:val="00702F4B"/>
    <w:rsid w:val="00702F8E"/>
    <w:rsid w:val="00702FD7"/>
    <w:rsid w:val="0070304F"/>
    <w:rsid w:val="007030D8"/>
    <w:rsid w:val="0070318A"/>
    <w:rsid w:val="0070319B"/>
    <w:rsid w:val="00703678"/>
    <w:rsid w:val="007037F8"/>
    <w:rsid w:val="00703855"/>
    <w:rsid w:val="00703E31"/>
    <w:rsid w:val="00704074"/>
    <w:rsid w:val="0070413E"/>
    <w:rsid w:val="007041B3"/>
    <w:rsid w:val="007041EA"/>
    <w:rsid w:val="0070424B"/>
    <w:rsid w:val="007043DE"/>
    <w:rsid w:val="00704426"/>
    <w:rsid w:val="00704496"/>
    <w:rsid w:val="00704A28"/>
    <w:rsid w:val="00704CB2"/>
    <w:rsid w:val="00704D57"/>
    <w:rsid w:val="00704DBA"/>
    <w:rsid w:val="00704E53"/>
    <w:rsid w:val="00704E8F"/>
    <w:rsid w:val="00704E99"/>
    <w:rsid w:val="00704EC9"/>
    <w:rsid w:val="00704F65"/>
    <w:rsid w:val="007050C0"/>
    <w:rsid w:val="007051B3"/>
    <w:rsid w:val="007052CA"/>
    <w:rsid w:val="00705376"/>
    <w:rsid w:val="00705482"/>
    <w:rsid w:val="0070556C"/>
    <w:rsid w:val="0070566E"/>
    <w:rsid w:val="007056DE"/>
    <w:rsid w:val="007057C1"/>
    <w:rsid w:val="00705971"/>
    <w:rsid w:val="0070597F"/>
    <w:rsid w:val="007059C2"/>
    <w:rsid w:val="00705A0D"/>
    <w:rsid w:val="00705C5E"/>
    <w:rsid w:val="00705CCC"/>
    <w:rsid w:val="00705D64"/>
    <w:rsid w:val="00705FB7"/>
    <w:rsid w:val="00706004"/>
    <w:rsid w:val="0070604A"/>
    <w:rsid w:val="00706195"/>
    <w:rsid w:val="007061F1"/>
    <w:rsid w:val="007062A8"/>
    <w:rsid w:val="00706404"/>
    <w:rsid w:val="00706503"/>
    <w:rsid w:val="007065A2"/>
    <w:rsid w:val="007065DE"/>
    <w:rsid w:val="007066C2"/>
    <w:rsid w:val="0070675D"/>
    <w:rsid w:val="007068AA"/>
    <w:rsid w:val="00706993"/>
    <w:rsid w:val="00706A72"/>
    <w:rsid w:val="00706ABA"/>
    <w:rsid w:val="00706B33"/>
    <w:rsid w:val="00706B97"/>
    <w:rsid w:val="00706C0D"/>
    <w:rsid w:val="00706E91"/>
    <w:rsid w:val="00706FCE"/>
    <w:rsid w:val="0070703D"/>
    <w:rsid w:val="0070712D"/>
    <w:rsid w:val="00707131"/>
    <w:rsid w:val="0070720F"/>
    <w:rsid w:val="0070728B"/>
    <w:rsid w:val="007073DD"/>
    <w:rsid w:val="00707460"/>
    <w:rsid w:val="0070749B"/>
    <w:rsid w:val="007075AC"/>
    <w:rsid w:val="00707633"/>
    <w:rsid w:val="007078CA"/>
    <w:rsid w:val="00707B12"/>
    <w:rsid w:val="00707D6F"/>
    <w:rsid w:val="00707D70"/>
    <w:rsid w:val="00707DC4"/>
    <w:rsid w:val="00707DF7"/>
    <w:rsid w:val="00707E54"/>
    <w:rsid w:val="0071003E"/>
    <w:rsid w:val="0071013E"/>
    <w:rsid w:val="007101B9"/>
    <w:rsid w:val="00710263"/>
    <w:rsid w:val="00710274"/>
    <w:rsid w:val="0071027E"/>
    <w:rsid w:val="007103FA"/>
    <w:rsid w:val="007104B1"/>
    <w:rsid w:val="00710509"/>
    <w:rsid w:val="0071050F"/>
    <w:rsid w:val="0071061F"/>
    <w:rsid w:val="0071064D"/>
    <w:rsid w:val="007106D6"/>
    <w:rsid w:val="0071071F"/>
    <w:rsid w:val="007107E8"/>
    <w:rsid w:val="00710872"/>
    <w:rsid w:val="00710A26"/>
    <w:rsid w:val="00710ABE"/>
    <w:rsid w:val="00710E50"/>
    <w:rsid w:val="00710EDF"/>
    <w:rsid w:val="00710F3C"/>
    <w:rsid w:val="00711027"/>
    <w:rsid w:val="0071115C"/>
    <w:rsid w:val="00711238"/>
    <w:rsid w:val="007112D4"/>
    <w:rsid w:val="0071132E"/>
    <w:rsid w:val="007115D4"/>
    <w:rsid w:val="00711638"/>
    <w:rsid w:val="007116D1"/>
    <w:rsid w:val="00711784"/>
    <w:rsid w:val="00711988"/>
    <w:rsid w:val="00711AC0"/>
    <w:rsid w:val="00711BAC"/>
    <w:rsid w:val="00711D1D"/>
    <w:rsid w:val="00711D3E"/>
    <w:rsid w:val="00711DBF"/>
    <w:rsid w:val="00711E18"/>
    <w:rsid w:val="00711E32"/>
    <w:rsid w:val="00711F24"/>
    <w:rsid w:val="00711FFA"/>
    <w:rsid w:val="007121B5"/>
    <w:rsid w:val="007121D2"/>
    <w:rsid w:val="0071234F"/>
    <w:rsid w:val="0071237A"/>
    <w:rsid w:val="007123CD"/>
    <w:rsid w:val="00712408"/>
    <w:rsid w:val="0071241E"/>
    <w:rsid w:val="0071247F"/>
    <w:rsid w:val="00712486"/>
    <w:rsid w:val="0071252F"/>
    <w:rsid w:val="007125C6"/>
    <w:rsid w:val="007126B2"/>
    <w:rsid w:val="007126C2"/>
    <w:rsid w:val="007129FD"/>
    <w:rsid w:val="00712AA0"/>
    <w:rsid w:val="00712AAB"/>
    <w:rsid w:val="00712AEA"/>
    <w:rsid w:val="00712B05"/>
    <w:rsid w:val="00712B09"/>
    <w:rsid w:val="0071309D"/>
    <w:rsid w:val="007131EF"/>
    <w:rsid w:val="007132A3"/>
    <w:rsid w:val="00713458"/>
    <w:rsid w:val="007135DE"/>
    <w:rsid w:val="00713619"/>
    <w:rsid w:val="0071361B"/>
    <w:rsid w:val="007136F9"/>
    <w:rsid w:val="0071373C"/>
    <w:rsid w:val="0071382E"/>
    <w:rsid w:val="0071385D"/>
    <w:rsid w:val="0071394E"/>
    <w:rsid w:val="00713954"/>
    <w:rsid w:val="00713A49"/>
    <w:rsid w:val="00713B2F"/>
    <w:rsid w:val="00713B3E"/>
    <w:rsid w:val="00713D4C"/>
    <w:rsid w:val="00713FE0"/>
    <w:rsid w:val="00713FE6"/>
    <w:rsid w:val="007141A1"/>
    <w:rsid w:val="007141D8"/>
    <w:rsid w:val="00714221"/>
    <w:rsid w:val="007142D6"/>
    <w:rsid w:val="0071444F"/>
    <w:rsid w:val="007144A1"/>
    <w:rsid w:val="00714629"/>
    <w:rsid w:val="00714689"/>
    <w:rsid w:val="007147C6"/>
    <w:rsid w:val="00714839"/>
    <w:rsid w:val="00714987"/>
    <w:rsid w:val="00714BC7"/>
    <w:rsid w:val="00714D74"/>
    <w:rsid w:val="00714E83"/>
    <w:rsid w:val="00715098"/>
    <w:rsid w:val="00715121"/>
    <w:rsid w:val="00715154"/>
    <w:rsid w:val="007151AE"/>
    <w:rsid w:val="007151B4"/>
    <w:rsid w:val="0071537D"/>
    <w:rsid w:val="007154A6"/>
    <w:rsid w:val="007154BC"/>
    <w:rsid w:val="0071569D"/>
    <w:rsid w:val="00715778"/>
    <w:rsid w:val="007158BC"/>
    <w:rsid w:val="00715928"/>
    <w:rsid w:val="00715A3F"/>
    <w:rsid w:val="00715A8C"/>
    <w:rsid w:val="00715AB9"/>
    <w:rsid w:val="00715B84"/>
    <w:rsid w:val="00715BBC"/>
    <w:rsid w:val="00715C91"/>
    <w:rsid w:val="00715CA7"/>
    <w:rsid w:val="00715DB4"/>
    <w:rsid w:val="00715E5D"/>
    <w:rsid w:val="00715F15"/>
    <w:rsid w:val="00715F66"/>
    <w:rsid w:val="00715F6B"/>
    <w:rsid w:val="00715F71"/>
    <w:rsid w:val="0071600B"/>
    <w:rsid w:val="007160F0"/>
    <w:rsid w:val="0071611A"/>
    <w:rsid w:val="0071614A"/>
    <w:rsid w:val="0071634B"/>
    <w:rsid w:val="007164B6"/>
    <w:rsid w:val="00716648"/>
    <w:rsid w:val="00716749"/>
    <w:rsid w:val="00716881"/>
    <w:rsid w:val="0071692A"/>
    <w:rsid w:val="00716A55"/>
    <w:rsid w:val="00716A79"/>
    <w:rsid w:val="00716C98"/>
    <w:rsid w:val="00716CEB"/>
    <w:rsid w:val="00716F59"/>
    <w:rsid w:val="0071710F"/>
    <w:rsid w:val="0071716E"/>
    <w:rsid w:val="007171DF"/>
    <w:rsid w:val="0071738D"/>
    <w:rsid w:val="007173EF"/>
    <w:rsid w:val="007173F4"/>
    <w:rsid w:val="00717439"/>
    <w:rsid w:val="00717851"/>
    <w:rsid w:val="00717A00"/>
    <w:rsid w:val="00717B67"/>
    <w:rsid w:val="00717BC6"/>
    <w:rsid w:val="00717C9F"/>
    <w:rsid w:val="00717D02"/>
    <w:rsid w:val="00717E14"/>
    <w:rsid w:val="00717EEA"/>
    <w:rsid w:val="00717EF5"/>
    <w:rsid w:val="00717F50"/>
    <w:rsid w:val="00717F5E"/>
    <w:rsid w:val="0071E518"/>
    <w:rsid w:val="00720016"/>
    <w:rsid w:val="00720088"/>
    <w:rsid w:val="0072012E"/>
    <w:rsid w:val="0072015F"/>
    <w:rsid w:val="0072021D"/>
    <w:rsid w:val="0072034B"/>
    <w:rsid w:val="0072039B"/>
    <w:rsid w:val="007203F9"/>
    <w:rsid w:val="007207F0"/>
    <w:rsid w:val="00720C3F"/>
    <w:rsid w:val="00720CE7"/>
    <w:rsid w:val="00720CF9"/>
    <w:rsid w:val="00720EA4"/>
    <w:rsid w:val="00720F00"/>
    <w:rsid w:val="00720F32"/>
    <w:rsid w:val="00721056"/>
    <w:rsid w:val="007212C8"/>
    <w:rsid w:val="0072137D"/>
    <w:rsid w:val="0072147F"/>
    <w:rsid w:val="0072150A"/>
    <w:rsid w:val="007216A5"/>
    <w:rsid w:val="007216D6"/>
    <w:rsid w:val="0072172A"/>
    <w:rsid w:val="0072173C"/>
    <w:rsid w:val="00721750"/>
    <w:rsid w:val="0072182F"/>
    <w:rsid w:val="007218C0"/>
    <w:rsid w:val="0072190B"/>
    <w:rsid w:val="00721919"/>
    <w:rsid w:val="0072195D"/>
    <w:rsid w:val="00721AC1"/>
    <w:rsid w:val="00721ACD"/>
    <w:rsid w:val="00721AD3"/>
    <w:rsid w:val="00721AF8"/>
    <w:rsid w:val="00721BA7"/>
    <w:rsid w:val="00721BEB"/>
    <w:rsid w:val="00721C37"/>
    <w:rsid w:val="00721DA7"/>
    <w:rsid w:val="00721DF0"/>
    <w:rsid w:val="00721F09"/>
    <w:rsid w:val="00721F8A"/>
    <w:rsid w:val="00722008"/>
    <w:rsid w:val="00722097"/>
    <w:rsid w:val="00722631"/>
    <w:rsid w:val="007229BB"/>
    <w:rsid w:val="00722AE8"/>
    <w:rsid w:val="00722B20"/>
    <w:rsid w:val="00722B5A"/>
    <w:rsid w:val="00722BFC"/>
    <w:rsid w:val="00722BFF"/>
    <w:rsid w:val="00722D54"/>
    <w:rsid w:val="00722E2B"/>
    <w:rsid w:val="00722F3F"/>
    <w:rsid w:val="00722FDD"/>
    <w:rsid w:val="00723021"/>
    <w:rsid w:val="00723238"/>
    <w:rsid w:val="00723418"/>
    <w:rsid w:val="007234EE"/>
    <w:rsid w:val="0072357A"/>
    <w:rsid w:val="007236A8"/>
    <w:rsid w:val="007238EB"/>
    <w:rsid w:val="007239A8"/>
    <w:rsid w:val="007239F9"/>
    <w:rsid w:val="00723B12"/>
    <w:rsid w:val="00723B5C"/>
    <w:rsid w:val="00723BE4"/>
    <w:rsid w:val="00723BEB"/>
    <w:rsid w:val="00723CEB"/>
    <w:rsid w:val="00723D1E"/>
    <w:rsid w:val="00723D33"/>
    <w:rsid w:val="00723F74"/>
    <w:rsid w:val="007242F7"/>
    <w:rsid w:val="00724307"/>
    <w:rsid w:val="0072434B"/>
    <w:rsid w:val="007244F3"/>
    <w:rsid w:val="0072455C"/>
    <w:rsid w:val="00724562"/>
    <w:rsid w:val="0072497C"/>
    <w:rsid w:val="00724B94"/>
    <w:rsid w:val="00724BA2"/>
    <w:rsid w:val="00724C27"/>
    <w:rsid w:val="00724C71"/>
    <w:rsid w:val="00724C8D"/>
    <w:rsid w:val="00724D38"/>
    <w:rsid w:val="00724E5A"/>
    <w:rsid w:val="00724E8A"/>
    <w:rsid w:val="007250CC"/>
    <w:rsid w:val="0072518D"/>
    <w:rsid w:val="00725413"/>
    <w:rsid w:val="0072547B"/>
    <w:rsid w:val="007254C6"/>
    <w:rsid w:val="00725678"/>
    <w:rsid w:val="00725792"/>
    <w:rsid w:val="007257D1"/>
    <w:rsid w:val="00725886"/>
    <w:rsid w:val="007258EA"/>
    <w:rsid w:val="00725909"/>
    <w:rsid w:val="0072599C"/>
    <w:rsid w:val="00725A10"/>
    <w:rsid w:val="00725AF0"/>
    <w:rsid w:val="00725AF3"/>
    <w:rsid w:val="00725B14"/>
    <w:rsid w:val="00725C3D"/>
    <w:rsid w:val="00725C8B"/>
    <w:rsid w:val="00725F1F"/>
    <w:rsid w:val="007260D1"/>
    <w:rsid w:val="00726159"/>
    <w:rsid w:val="007261C9"/>
    <w:rsid w:val="00726366"/>
    <w:rsid w:val="00726369"/>
    <w:rsid w:val="007263A7"/>
    <w:rsid w:val="007264BB"/>
    <w:rsid w:val="007265DD"/>
    <w:rsid w:val="00726A80"/>
    <w:rsid w:val="00726ACE"/>
    <w:rsid w:val="00726AEE"/>
    <w:rsid w:val="00726B2A"/>
    <w:rsid w:val="00726BC5"/>
    <w:rsid w:val="00726D4D"/>
    <w:rsid w:val="00726F68"/>
    <w:rsid w:val="00726F70"/>
    <w:rsid w:val="00726FCC"/>
    <w:rsid w:val="00727015"/>
    <w:rsid w:val="0072714A"/>
    <w:rsid w:val="007273C9"/>
    <w:rsid w:val="007273FE"/>
    <w:rsid w:val="0072743C"/>
    <w:rsid w:val="007275E2"/>
    <w:rsid w:val="00727611"/>
    <w:rsid w:val="0072762C"/>
    <w:rsid w:val="007278F1"/>
    <w:rsid w:val="00727979"/>
    <w:rsid w:val="00727A4C"/>
    <w:rsid w:val="00727BD5"/>
    <w:rsid w:val="00727C1E"/>
    <w:rsid w:val="00727C32"/>
    <w:rsid w:val="00727C7F"/>
    <w:rsid w:val="00727CFD"/>
    <w:rsid w:val="00727F62"/>
    <w:rsid w:val="00730034"/>
    <w:rsid w:val="00730084"/>
    <w:rsid w:val="0073016A"/>
    <w:rsid w:val="00730378"/>
    <w:rsid w:val="00730411"/>
    <w:rsid w:val="00730797"/>
    <w:rsid w:val="007307D4"/>
    <w:rsid w:val="00730868"/>
    <w:rsid w:val="007308AD"/>
    <w:rsid w:val="007309CF"/>
    <w:rsid w:val="00730A91"/>
    <w:rsid w:val="00730AE4"/>
    <w:rsid w:val="00730AF7"/>
    <w:rsid w:val="00730BDB"/>
    <w:rsid w:val="00730C61"/>
    <w:rsid w:val="00730DC3"/>
    <w:rsid w:val="00730EA7"/>
    <w:rsid w:val="00730EEF"/>
    <w:rsid w:val="00730F18"/>
    <w:rsid w:val="007310D1"/>
    <w:rsid w:val="007311C6"/>
    <w:rsid w:val="00731370"/>
    <w:rsid w:val="007314B2"/>
    <w:rsid w:val="007314ED"/>
    <w:rsid w:val="007317DC"/>
    <w:rsid w:val="00731803"/>
    <w:rsid w:val="007319BE"/>
    <w:rsid w:val="00731BA0"/>
    <w:rsid w:val="00731DF8"/>
    <w:rsid w:val="00731E17"/>
    <w:rsid w:val="00731F4B"/>
    <w:rsid w:val="00731FCB"/>
    <w:rsid w:val="00732095"/>
    <w:rsid w:val="007320C0"/>
    <w:rsid w:val="00732111"/>
    <w:rsid w:val="00732271"/>
    <w:rsid w:val="00732461"/>
    <w:rsid w:val="007324A0"/>
    <w:rsid w:val="0073252C"/>
    <w:rsid w:val="0073265B"/>
    <w:rsid w:val="00732673"/>
    <w:rsid w:val="00732674"/>
    <w:rsid w:val="00732693"/>
    <w:rsid w:val="0073270D"/>
    <w:rsid w:val="007327D5"/>
    <w:rsid w:val="007327FE"/>
    <w:rsid w:val="00732842"/>
    <w:rsid w:val="007328EC"/>
    <w:rsid w:val="007328FE"/>
    <w:rsid w:val="00732990"/>
    <w:rsid w:val="00732BF0"/>
    <w:rsid w:val="00732C00"/>
    <w:rsid w:val="00732C6E"/>
    <w:rsid w:val="00732C87"/>
    <w:rsid w:val="00732CC8"/>
    <w:rsid w:val="00732DCE"/>
    <w:rsid w:val="00732DDC"/>
    <w:rsid w:val="00732EB2"/>
    <w:rsid w:val="00732EB3"/>
    <w:rsid w:val="00732F58"/>
    <w:rsid w:val="00733020"/>
    <w:rsid w:val="0073307B"/>
    <w:rsid w:val="00733178"/>
    <w:rsid w:val="00733273"/>
    <w:rsid w:val="00733277"/>
    <w:rsid w:val="00733357"/>
    <w:rsid w:val="007333B9"/>
    <w:rsid w:val="0073370A"/>
    <w:rsid w:val="00733810"/>
    <w:rsid w:val="00733DAB"/>
    <w:rsid w:val="00733DD6"/>
    <w:rsid w:val="00733DFF"/>
    <w:rsid w:val="00733EEF"/>
    <w:rsid w:val="00734083"/>
    <w:rsid w:val="0073409F"/>
    <w:rsid w:val="00734112"/>
    <w:rsid w:val="00734257"/>
    <w:rsid w:val="0073430C"/>
    <w:rsid w:val="007343E1"/>
    <w:rsid w:val="007344E1"/>
    <w:rsid w:val="007344E7"/>
    <w:rsid w:val="00734540"/>
    <w:rsid w:val="0073478B"/>
    <w:rsid w:val="00734839"/>
    <w:rsid w:val="00734886"/>
    <w:rsid w:val="007349FE"/>
    <w:rsid w:val="00734A27"/>
    <w:rsid w:val="00734A6E"/>
    <w:rsid w:val="00734B7D"/>
    <w:rsid w:val="00734B84"/>
    <w:rsid w:val="00734B85"/>
    <w:rsid w:val="00734CAC"/>
    <w:rsid w:val="00734E69"/>
    <w:rsid w:val="0073504E"/>
    <w:rsid w:val="00735051"/>
    <w:rsid w:val="007351C8"/>
    <w:rsid w:val="0073530D"/>
    <w:rsid w:val="0073536B"/>
    <w:rsid w:val="007353FB"/>
    <w:rsid w:val="00735658"/>
    <w:rsid w:val="0073582E"/>
    <w:rsid w:val="00735976"/>
    <w:rsid w:val="00735AA2"/>
    <w:rsid w:val="00735BC0"/>
    <w:rsid w:val="00735D83"/>
    <w:rsid w:val="00735F46"/>
    <w:rsid w:val="0073609F"/>
    <w:rsid w:val="0073611F"/>
    <w:rsid w:val="00736252"/>
    <w:rsid w:val="00736264"/>
    <w:rsid w:val="00736268"/>
    <w:rsid w:val="007362B5"/>
    <w:rsid w:val="0073651D"/>
    <w:rsid w:val="007366C0"/>
    <w:rsid w:val="00736A12"/>
    <w:rsid w:val="00736A3F"/>
    <w:rsid w:val="00736B18"/>
    <w:rsid w:val="00736CA3"/>
    <w:rsid w:val="00736EA4"/>
    <w:rsid w:val="00736F7D"/>
    <w:rsid w:val="00736F88"/>
    <w:rsid w:val="0073716E"/>
    <w:rsid w:val="00737325"/>
    <w:rsid w:val="0073735F"/>
    <w:rsid w:val="007374D8"/>
    <w:rsid w:val="00737504"/>
    <w:rsid w:val="00737642"/>
    <w:rsid w:val="007376B1"/>
    <w:rsid w:val="007376CB"/>
    <w:rsid w:val="007377B4"/>
    <w:rsid w:val="00737811"/>
    <w:rsid w:val="00737B0C"/>
    <w:rsid w:val="00737B5C"/>
    <w:rsid w:val="00737B78"/>
    <w:rsid w:val="00737D55"/>
    <w:rsid w:val="00737E5D"/>
    <w:rsid w:val="00737F5F"/>
    <w:rsid w:val="00740039"/>
    <w:rsid w:val="00740057"/>
    <w:rsid w:val="0074012F"/>
    <w:rsid w:val="00740202"/>
    <w:rsid w:val="007402D6"/>
    <w:rsid w:val="00740357"/>
    <w:rsid w:val="007404EA"/>
    <w:rsid w:val="0074055B"/>
    <w:rsid w:val="007405AE"/>
    <w:rsid w:val="007405FB"/>
    <w:rsid w:val="00740738"/>
    <w:rsid w:val="00740783"/>
    <w:rsid w:val="00740957"/>
    <w:rsid w:val="00740A0C"/>
    <w:rsid w:val="00740A39"/>
    <w:rsid w:val="00740A87"/>
    <w:rsid w:val="00740A9B"/>
    <w:rsid w:val="00740AB5"/>
    <w:rsid w:val="00740AD7"/>
    <w:rsid w:val="00740AE3"/>
    <w:rsid w:val="00740AFC"/>
    <w:rsid w:val="00740B7C"/>
    <w:rsid w:val="00740D16"/>
    <w:rsid w:val="00740D37"/>
    <w:rsid w:val="00740DA2"/>
    <w:rsid w:val="00740E3B"/>
    <w:rsid w:val="00740E5F"/>
    <w:rsid w:val="00740EAA"/>
    <w:rsid w:val="00740FB9"/>
    <w:rsid w:val="00741034"/>
    <w:rsid w:val="00741217"/>
    <w:rsid w:val="007412ED"/>
    <w:rsid w:val="00741386"/>
    <w:rsid w:val="0074140E"/>
    <w:rsid w:val="0074146C"/>
    <w:rsid w:val="007415CF"/>
    <w:rsid w:val="0074169E"/>
    <w:rsid w:val="007416CC"/>
    <w:rsid w:val="00741848"/>
    <w:rsid w:val="0074185C"/>
    <w:rsid w:val="00741A8F"/>
    <w:rsid w:val="00741AD8"/>
    <w:rsid w:val="00741BB1"/>
    <w:rsid w:val="00741DC0"/>
    <w:rsid w:val="00741E0F"/>
    <w:rsid w:val="00741F0A"/>
    <w:rsid w:val="00741FDE"/>
    <w:rsid w:val="007420C6"/>
    <w:rsid w:val="007421F8"/>
    <w:rsid w:val="0074232F"/>
    <w:rsid w:val="007423D9"/>
    <w:rsid w:val="007424D4"/>
    <w:rsid w:val="00742664"/>
    <w:rsid w:val="00742745"/>
    <w:rsid w:val="007427F5"/>
    <w:rsid w:val="00742813"/>
    <w:rsid w:val="0074282D"/>
    <w:rsid w:val="00742846"/>
    <w:rsid w:val="00742858"/>
    <w:rsid w:val="00742BFF"/>
    <w:rsid w:val="00742C18"/>
    <w:rsid w:val="00742C7E"/>
    <w:rsid w:val="00742D22"/>
    <w:rsid w:val="00742D9A"/>
    <w:rsid w:val="00742DB9"/>
    <w:rsid w:val="00742EEF"/>
    <w:rsid w:val="00743057"/>
    <w:rsid w:val="00743113"/>
    <w:rsid w:val="00743185"/>
    <w:rsid w:val="00743215"/>
    <w:rsid w:val="007435AE"/>
    <w:rsid w:val="007437F5"/>
    <w:rsid w:val="0074384A"/>
    <w:rsid w:val="0074391F"/>
    <w:rsid w:val="0074394F"/>
    <w:rsid w:val="007439EF"/>
    <w:rsid w:val="00743A61"/>
    <w:rsid w:val="00743DFF"/>
    <w:rsid w:val="00743E1D"/>
    <w:rsid w:val="00743F84"/>
    <w:rsid w:val="00743FBA"/>
    <w:rsid w:val="007441E2"/>
    <w:rsid w:val="007442D9"/>
    <w:rsid w:val="007444F6"/>
    <w:rsid w:val="00744556"/>
    <w:rsid w:val="0074458A"/>
    <w:rsid w:val="0074473B"/>
    <w:rsid w:val="007447C4"/>
    <w:rsid w:val="00744BEC"/>
    <w:rsid w:val="00744C37"/>
    <w:rsid w:val="00744CC8"/>
    <w:rsid w:val="00744CE5"/>
    <w:rsid w:val="00744FD8"/>
    <w:rsid w:val="00745049"/>
    <w:rsid w:val="0074510A"/>
    <w:rsid w:val="00745196"/>
    <w:rsid w:val="007451DD"/>
    <w:rsid w:val="007452C6"/>
    <w:rsid w:val="00745307"/>
    <w:rsid w:val="00745340"/>
    <w:rsid w:val="007453A5"/>
    <w:rsid w:val="00745423"/>
    <w:rsid w:val="0074543F"/>
    <w:rsid w:val="00745922"/>
    <w:rsid w:val="00745AEA"/>
    <w:rsid w:val="00745B74"/>
    <w:rsid w:val="00745BC8"/>
    <w:rsid w:val="00745BDB"/>
    <w:rsid w:val="00745BEB"/>
    <w:rsid w:val="00745C47"/>
    <w:rsid w:val="00745CFC"/>
    <w:rsid w:val="00745D0A"/>
    <w:rsid w:val="00745E17"/>
    <w:rsid w:val="00745F5A"/>
    <w:rsid w:val="00746055"/>
    <w:rsid w:val="0074605C"/>
    <w:rsid w:val="0074613E"/>
    <w:rsid w:val="007461B2"/>
    <w:rsid w:val="00746309"/>
    <w:rsid w:val="0074636F"/>
    <w:rsid w:val="0074637D"/>
    <w:rsid w:val="00746432"/>
    <w:rsid w:val="007465C3"/>
    <w:rsid w:val="0074665A"/>
    <w:rsid w:val="00746A4A"/>
    <w:rsid w:val="00746AAA"/>
    <w:rsid w:val="00746B77"/>
    <w:rsid w:val="00746C9A"/>
    <w:rsid w:val="00746E92"/>
    <w:rsid w:val="00746FF4"/>
    <w:rsid w:val="00747185"/>
    <w:rsid w:val="0074719B"/>
    <w:rsid w:val="007471A3"/>
    <w:rsid w:val="00747314"/>
    <w:rsid w:val="007473B1"/>
    <w:rsid w:val="0074770D"/>
    <w:rsid w:val="007477B6"/>
    <w:rsid w:val="007477D3"/>
    <w:rsid w:val="0074785C"/>
    <w:rsid w:val="00747908"/>
    <w:rsid w:val="00747911"/>
    <w:rsid w:val="00747CDE"/>
    <w:rsid w:val="00747CE6"/>
    <w:rsid w:val="00747E9D"/>
    <w:rsid w:val="00747EF5"/>
    <w:rsid w:val="00747F15"/>
    <w:rsid w:val="0075003F"/>
    <w:rsid w:val="00750149"/>
    <w:rsid w:val="00750378"/>
    <w:rsid w:val="0075053E"/>
    <w:rsid w:val="00750545"/>
    <w:rsid w:val="007506EF"/>
    <w:rsid w:val="0075070C"/>
    <w:rsid w:val="0075071B"/>
    <w:rsid w:val="0075073D"/>
    <w:rsid w:val="007507A6"/>
    <w:rsid w:val="00750978"/>
    <w:rsid w:val="00750B1E"/>
    <w:rsid w:val="00750D25"/>
    <w:rsid w:val="00750D40"/>
    <w:rsid w:val="00750D81"/>
    <w:rsid w:val="00750DB2"/>
    <w:rsid w:val="00750EAA"/>
    <w:rsid w:val="00750ECD"/>
    <w:rsid w:val="00750FD1"/>
    <w:rsid w:val="00751131"/>
    <w:rsid w:val="0075115F"/>
    <w:rsid w:val="007511D3"/>
    <w:rsid w:val="0075122D"/>
    <w:rsid w:val="0075129F"/>
    <w:rsid w:val="007513B5"/>
    <w:rsid w:val="007513CC"/>
    <w:rsid w:val="00751566"/>
    <w:rsid w:val="0075158A"/>
    <w:rsid w:val="007515B7"/>
    <w:rsid w:val="007516F0"/>
    <w:rsid w:val="00751793"/>
    <w:rsid w:val="00751834"/>
    <w:rsid w:val="007518A1"/>
    <w:rsid w:val="007519CF"/>
    <w:rsid w:val="00751A9F"/>
    <w:rsid w:val="00751B6D"/>
    <w:rsid w:val="00751CD2"/>
    <w:rsid w:val="00751DAE"/>
    <w:rsid w:val="00751FB5"/>
    <w:rsid w:val="00752030"/>
    <w:rsid w:val="00752095"/>
    <w:rsid w:val="007520CC"/>
    <w:rsid w:val="0075210C"/>
    <w:rsid w:val="0075214B"/>
    <w:rsid w:val="007521D0"/>
    <w:rsid w:val="00752229"/>
    <w:rsid w:val="00752316"/>
    <w:rsid w:val="00752332"/>
    <w:rsid w:val="007523E3"/>
    <w:rsid w:val="0075245C"/>
    <w:rsid w:val="00752528"/>
    <w:rsid w:val="00752594"/>
    <w:rsid w:val="0075269A"/>
    <w:rsid w:val="00752710"/>
    <w:rsid w:val="0075284B"/>
    <w:rsid w:val="00752853"/>
    <w:rsid w:val="007528C7"/>
    <w:rsid w:val="0075292E"/>
    <w:rsid w:val="00752993"/>
    <w:rsid w:val="007529B1"/>
    <w:rsid w:val="007529F5"/>
    <w:rsid w:val="00752A76"/>
    <w:rsid w:val="00752AA2"/>
    <w:rsid w:val="00752AE5"/>
    <w:rsid w:val="00752B6E"/>
    <w:rsid w:val="00752C14"/>
    <w:rsid w:val="00752DE5"/>
    <w:rsid w:val="00752E13"/>
    <w:rsid w:val="00752E23"/>
    <w:rsid w:val="00752E71"/>
    <w:rsid w:val="00752F4B"/>
    <w:rsid w:val="0075310D"/>
    <w:rsid w:val="00753239"/>
    <w:rsid w:val="0075326F"/>
    <w:rsid w:val="00753554"/>
    <w:rsid w:val="007535AE"/>
    <w:rsid w:val="007535FD"/>
    <w:rsid w:val="00753600"/>
    <w:rsid w:val="0075361C"/>
    <w:rsid w:val="00753689"/>
    <w:rsid w:val="007538D9"/>
    <w:rsid w:val="00753945"/>
    <w:rsid w:val="007539AD"/>
    <w:rsid w:val="00753AD2"/>
    <w:rsid w:val="00753B69"/>
    <w:rsid w:val="00753C46"/>
    <w:rsid w:val="00753F86"/>
    <w:rsid w:val="00753FAA"/>
    <w:rsid w:val="00754123"/>
    <w:rsid w:val="007541A9"/>
    <w:rsid w:val="00754288"/>
    <w:rsid w:val="00754327"/>
    <w:rsid w:val="00754474"/>
    <w:rsid w:val="007546B3"/>
    <w:rsid w:val="00754793"/>
    <w:rsid w:val="007547A1"/>
    <w:rsid w:val="007548F6"/>
    <w:rsid w:val="00754A5C"/>
    <w:rsid w:val="00754B27"/>
    <w:rsid w:val="00754F60"/>
    <w:rsid w:val="00755022"/>
    <w:rsid w:val="00755145"/>
    <w:rsid w:val="007552F2"/>
    <w:rsid w:val="00755360"/>
    <w:rsid w:val="0075539D"/>
    <w:rsid w:val="007555ED"/>
    <w:rsid w:val="00755752"/>
    <w:rsid w:val="00755872"/>
    <w:rsid w:val="00755896"/>
    <w:rsid w:val="007558EA"/>
    <w:rsid w:val="00755931"/>
    <w:rsid w:val="00755999"/>
    <w:rsid w:val="00755A3F"/>
    <w:rsid w:val="00755A55"/>
    <w:rsid w:val="00755AC1"/>
    <w:rsid w:val="00755AFA"/>
    <w:rsid w:val="00755B02"/>
    <w:rsid w:val="00755C79"/>
    <w:rsid w:val="00755CBF"/>
    <w:rsid w:val="00755F3E"/>
    <w:rsid w:val="00755FD9"/>
    <w:rsid w:val="00756030"/>
    <w:rsid w:val="00756419"/>
    <w:rsid w:val="00756580"/>
    <w:rsid w:val="007565AA"/>
    <w:rsid w:val="00756ACB"/>
    <w:rsid w:val="00756B1E"/>
    <w:rsid w:val="00756B1F"/>
    <w:rsid w:val="00756C66"/>
    <w:rsid w:val="00756CDC"/>
    <w:rsid w:val="00756DA9"/>
    <w:rsid w:val="00756E93"/>
    <w:rsid w:val="00756ED3"/>
    <w:rsid w:val="0075704C"/>
    <w:rsid w:val="00757062"/>
    <w:rsid w:val="0075711C"/>
    <w:rsid w:val="007571DC"/>
    <w:rsid w:val="00757240"/>
    <w:rsid w:val="00757372"/>
    <w:rsid w:val="0075739B"/>
    <w:rsid w:val="007573DF"/>
    <w:rsid w:val="007573EC"/>
    <w:rsid w:val="00757408"/>
    <w:rsid w:val="00757567"/>
    <w:rsid w:val="00757602"/>
    <w:rsid w:val="00757635"/>
    <w:rsid w:val="00757955"/>
    <w:rsid w:val="00757B10"/>
    <w:rsid w:val="00757C16"/>
    <w:rsid w:val="00757F22"/>
    <w:rsid w:val="00757FF8"/>
    <w:rsid w:val="0076006C"/>
    <w:rsid w:val="0076019C"/>
    <w:rsid w:val="007601D6"/>
    <w:rsid w:val="007601D7"/>
    <w:rsid w:val="007603F2"/>
    <w:rsid w:val="0076043C"/>
    <w:rsid w:val="00760458"/>
    <w:rsid w:val="007606BB"/>
    <w:rsid w:val="007607F8"/>
    <w:rsid w:val="00760874"/>
    <w:rsid w:val="007609AD"/>
    <w:rsid w:val="007609D9"/>
    <w:rsid w:val="00760A3D"/>
    <w:rsid w:val="00760B89"/>
    <w:rsid w:val="00760C6D"/>
    <w:rsid w:val="00760C7E"/>
    <w:rsid w:val="00760D98"/>
    <w:rsid w:val="00760E1F"/>
    <w:rsid w:val="00760F4D"/>
    <w:rsid w:val="00760FCD"/>
    <w:rsid w:val="00760FDB"/>
    <w:rsid w:val="00760FF4"/>
    <w:rsid w:val="00761048"/>
    <w:rsid w:val="00761061"/>
    <w:rsid w:val="0076106F"/>
    <w:rsid w:val="007610C2"/>
    <w:rsid w:val="0076135D"/>
    <w:rsid w:val="007614C5"/>
    <w:rsid w:val="007614E3"/>
    <w:rsid w:val="00761534"/>
    <w:rsid w:val="007615D4"/>
    <w:rsid w:val="007616B8"/>
    <w:rsid w:val="00761943"/>
    <w:rsid w:val="00761988"/>
    <w:rsid w:val="00761AC8"/>
    <w:rsid w:val="00761CB8"/>
    <w:rsid w:val="00761CEF"/>
    <w:rsid w:val="00761D2A"/>
    <w:rsid w:val="00761E46"/>
    <w:rsid w:val="00761FAB"/>
    <w:rsid w:val="0076203F"/>
    <w:rsid w:val="00762083"/>
    <w:rsid w:val="0076210D"/>
    <w:rsid w:val="0076219A"/>
    <w:rsid w:val="007621B1"/>
    <w:rsid w:val="00762212"/>
    <w:rsid w:val="0076227F"/>
    <w:rsid w:val="007622BB"/>
    <w:rsid w:val="00762334"/>
    <w:rsid w:val="00762452"/>
    <w:rsid w:val="0076249E"/>
    <w:rsid w:val="007624A3"/>
    <w:rsid w:val="00762512"/>
    <w:rsid w:val="007625C1"/>
    <w:rsid w:val="0076273D"/>
    <w:rsid w:val="00762768"/>
    <w:rsid w:val="00762944"/>
    <w:rsid w:val="007629B4"/>
    <w:rsid w:val="00762B19"/>
    <w:rsid w:val="00762C78"/>
    <w:rsid w:val="00762CA7"/>
    <w:rsid w:val="00762D44"/>
    <w:rsid w:val="00762D4E"/>
    <w:rsid w:val="00762E07"/>
    <w:rsid w:val="00762FD4"/>
    <w:rsid w:val="00763165"/>
    <w:rsid w:val="00763169"/>
    <w:rsid w:val="00763233"/>
    <w:rsid w:val="00763304"/>
    <w:rsid w:val="007633D5"/>
    <w:rsid w:val="00763424"/>
    <w:rsid w:val="00763495"/>
    <w:rsid w:val="00763542"/>
    <w:rsid w:val="007635CD"/>
    <w:rsid w:val="0076361C"/>
    <w:rsid w:val="007636CA"/>
    <w:rsid w:val="007636E2"/>
    <w:rsid w:val="0076371A"/>
    <w:rsid w:val="007637BE"/>
    <w:rsid w:val="00763812"/>
    <w:rsid w:val="007638F7"/>
    <w:rsid w:val="007639ED"/>
    <w:rsid w:val="00763A88"/>
    <w:rsid w:val="00763B2F"/>
    <w:rsid w:val="00763B73"/>
    <w:rsid w:val="00763DC1"/>
    <w:rsid w:val="00763EB6"/>
    <w:rsid w:val="00763F79"/>
    <w:rsid w:val="00763FEA"/>
    <w:rsid w:val="00764022"/>
    <w:rsid w:val="007640BE"/>
    <w:rsid w:val="007640E7"/>
    <w:rsid w:val="00764295"/>
    <w:rsid w:val="007643BB"/>
    <w:rsid w:val="007645AC"/>
    <w:rsid w:val="007645D8"/>
    <w:rsid w:val="007646A0"/>
    <w:rsid w:val="00764812"/>
    <w:rsid w:val="00764995"/>
    <w:rsid w:val="007649A3"/>
    <w:rsid w:val="00764DF9"/>
    <w:rsid w:val="00764EE7"/>
    <w:rsid w:val="007650EF"/>
    <w:rsid w:val="00765448"/>
    <w:rsid w:val="00765546"/>
    <w:rsid w:val="0076566D"/>
    <w:rsid w:val="007657D7"/>
    <w:rsid w:val="007657FA"/>
    <w:rsid w:val="0076583B"/>
    <w:rsid w:val="0076585C"/>
    <w:rsid w:val="00765946"/>
    <w:rsid w:val="007659DB"/>
    <w:rsid w:val="00765A32"/>
    <w:rsid w:val="00765A6C"/>
    <w:rsid w:val="00765B27"/>
    <w:rsid w:val="00765D8A"/>
    <w:rsid w:val="00765F02"/>
    <w:rsid w:val="00765F2B"/>
    <w:rsid w:val="00766036"/>
    <w:rsid w:val="0076611C"/>
    <w:rsid w:val="00766383"/>
    <w:rsid w:val="00766457"/>
    <w:rsid w:val="007664CD"/>
    <w:rsid w:val="0076650D"/>
    <w:rsid w:val="0076653E"/>
    <w:rsid w:val="0076656A"/>
    <w:rsid w:val="00766731"/>
    <w:rsid w:val="007667BC"/>
    <w:rsid w:val="0076686C"/>
    <w:rsid w:val="00766A93"/>
    <w:rsid w:val="00766AF3"/>
    <w:rsid w:val="00766D77"/>
    <w:rsid w:val="00766D87"/>
    <w:rsid w:val="00766E1B"/>
    <w:rsid w:val="00766F11"/>
    <w:rsid w:val="007670B7"/>
    <w:rsid w:val="007670B8"/>
    <w:rsid w:val="00767181"/>
    <w:rsid w:val="00767476"/>
    <w:rsid w:val="00767565"/>
    <w:rsid w:val="00767620"/>
    <w:rsid w:val="00767674"/>
    <w:rsid w:val="007678FC"/>
    <w:rsid w:val="00767946"/>
    <w:rsid w:val="00767A5A"/>
    <w:rsid w:val="00767B61"/>
    <w:rsid w:val="00767DC8"/>
    <w:rsid w:val="00767EBA"/>
    <w:rsid w:val="00767F4D"/>
    <w:rsid w:val="00770021"/>
    <w:rsid w:val="00770097"/>
    <w:rsid w:val="007700B7"/>
    <w:rsid w:val="00770146"/>
    <w:rsid w:val="00770223"/>
    <w:rsid w:val="007702EA"/>
    <w:rsid w:val="0077031C"/>
    <w:rsid w:val="0077036C"/>
    <w:rsid w:val="007703F6"/>
    <w:rsid w:val="00770404"/>
    <w:rsid w:val="007705D1"/>
    <w:rsid w:val="007705ED"/>
    <w:rsid w:val="007705F0"/>
    <w:rsid w:val="00770617"/>
    <w:rsid w:val="00770633"/>
    <w:rsid w:val="00770861"/>
    <w:rsid w:val="007708C5"/>
    <w:rsid w:val="00770AE6"/>
    <w:rsid w:val="00770B7D"/>
    <w:rsid w:val="00770C1B"/>
    <w:rsid w:val="00770D6F"/>
    <w:rsid w:val="00770DEC"/>
    <w:rsid w:val="00770E3F"/>
    <w:rsid w:val="00770FD6"/>
    <w:rsid w:val="0077101C"/>
    <w:rsid w:val="007710C1"/>
    <w:rsid w:val="007710D2"/>
    <w:rsid w:val="00771101"/>
    <w:rsid w:val="00771177"/>
    <w:rsid w:val="007712E9"/>
    <w:rsid w:val="007712F1"/>
    <w:rsid w:val="007713E1"/>
    <w:rsid w:val="007714F4"/>
    <w:rsid w:val="00771546"/>
    <w:rsid w:val="00771547"/>
    <w:rsid w:val="00771560"/>
    <w:rsid w:val="0077161F"/>
    <w:rsid w:val="007716CE"/>
    <w:rsid w:val="00771702"/>
    <w:rsid w:val="00771756"/>
    <w:rsid w:val="00771804"/>
    <w:rsid w:val="0077187C"/>
    <w:rsid w:val="007718EC"/>
    <w:rsid w:val="00771918"/>
    <w:rsid w:val="00771986"/>
    <w:rsid w:val="00771A14"/>
    <w:rsid w:val="00771D6B"/>
    <w:rsid w:val="00771D6C"/>
    <w:rsid w:val="00771EE9"/>
    <w:rsid w:val="00771F83"/>
    <w:rsid w:val="007720E6"/>
    <w:rsid w:val="00772178"/>
    <w:rsid w:val="007721F4"/>
    <w:rsid w:val="00772363"/>
    <w:rsid w:val="007723E1"/>
    <w:rsid w:val="0077240C"/>
    <w:rsid w:val="00772612"/>
    <w:rsid w:val="007727AB"/>
    <w:rsid w:val="007727B5"/>
    <w:rsid w:val="007727CA"/>
    <w:rsid w:val="0077289C"/>
    <w:rsid w:val="007728C5"/>
    <w:rsid w:val="00772990"/>
    <w:rsid w:val="007729CF"/>
    <w:rsid w:val="00772B38"/>
    <w:rsid w:val="00772BB4"/>
    <w:rsid w:val="00772BE3"/>
    <w:rsid w:val="00772CA5"/>
    <w:rsid w:val="00772CB8"/>
    <w:rsid w:val="00772D16"/>
    <w:rsid w:val="00773063"/>
    <w:rsid w:val="007730CF"/>
    <w:rsid w:val="007730E1"/>
    <w:rsid w:val="0077311E"/>
    <w:rsid w:val="00773145"/>
    <w:rsid w:val="0077316B"/>
    <w:rsid w:val="007731C7"/>
    <w:rsid w:val="00773243"/>
    <w:rsid w:val="00773339"/>
    <w:rsid w:val="00773432"/>
    <w:rsid w:val="0077368F"/>
    <w:rsid w:val="00773988"/>
    <w:rsid w:val="007739A4"/>
    <w:rsid w:val="00773A08"/>
    <w:rsid w:val="00773B5D"/>
    <w:rsid w:val="00773B8D"/>
    <w:rsid w:val="00773BC7"/>
    <w:rsid w:val="00773D58"/>
    <w:rsid w:val="00773D83"/>
    <w:rsid w:val="00773DF1"/>
    <w:rsid w:val="00773F9E"/>
    <w:rsid w:val="0077402E"/>
    <w:rsid w:val="00774032"/>
    <w:rsid w:val="00774046"/>
    <w:rsid w:val="00774053"/>
    <w:rsid w:val="007741CE"/>
    <w:rsid w:val="00774220"/>
    <w:rsid w:val="007742AD"/>
    <w:rsid w:val="007742E8"/>
    <w:rsid w:val="00774388"/>
    <w:rsid w:val="00774523"/>
    <w:rsid w:val="00774580"/>
    <w:rsid w:val="00774667"/>
    <w:rsid w:val="007746A5"/>
    <w:rsid w:val="007748D2"/>
    <w:rsid w:val="00774912"/>
    <w:rsid w:val="00774935"/>
    <w:rsid w:val="0077493C"/>
    <w:rsid w:val="00774953"/>
    <w:rsid w:val="007749EC"/>
    <w:rsid w:val="00774BEC"/>
    <w:rsid w:val="00774C26"/>
    <w:rsid w:val="00774CC3"/>
    <w:rsid w:val="00774D57"/>
    <w:rsid w:val="00774E5A"/>
    <w:rsid w:val="007751A7"/>
    <w:rsid w:val="007751E5"/>
    <w:rsid w:val="007752BA"/>
    <w:rsid w:val="007752E8"/>
    <w:rsid w:val="0077532F"/>
    <w:rsid w:val="00775375"/>
    <w:rsid w:val="00775486"/>
    <w:rsid w:val="00775586"/>
    <w:rsid w:val="00775735"/>
    <w:rsid w:val="0077595B"/>
    <w:rsid w:val="00775989"/>
    <w:rsid w:val="00775B1B"/>
    <w:rsid w:val="00775C9D"/>
    <w:rsid w:val="00775D90"/>
    <w:rsid w:val="00775D95"/>
    <w:rsid w:val="00775DDB"/>
    <w:rsid w:val="00775F50"/>
    <w:rsid w:val="007760C1"/>
    <w:rsid w:val="0077614B"/>
    <w:rsid w:val="007762C1"/>
    <w:rsid w:val="00776408"/>
    <w:rsid w:val="00776456"/>
    <w:rsid w:val="00776483"/>
    <w:rsid w:val="0077652D"/>
    <w:rsid w:val="00776563"/>
    <w:rsid w:val="0077656D"/>
    <w:rsid w:val="00776581"/>
    <w:rsid w:val="00776639"/>
    <w:rsid w:val="00776666"/>
    <w:rsid w:val="007766E0"/>
    <w:rsid w:val="00776721"/>
    <w:rsid w:val="00776745"/>
    <w:rsid w:val="0077683E"/>
    <w:rsid w:val="00776862"/>
    <w:rsid w:val="007769DE"/>
    <w:rsid w:val="00776A0C"/>
    <w:rsid w:val="00776B03"/>
    <w:rsid w:val="00776B67"/>
    <w:rsid w:val="00776CDA"/>
    <w:rsid w:val="00776D35"/>
    <w:rsid w:val="00776DB9"/>
    <w:rsid w:val="00776DE5"/>
    <w:rsid w:val="00776DF4"/>
    <w:rsid w:val="00776FED"/>
    <w:rsid w:val="007771F1"/>
    <w:rsid w:val="00777319"/>
    <w:rsid w:val="0077735E"/>
    <w:rsid w:val="0077745E"/>
    <w:rsid w:val="00777480"/>
    <w:rsid w:val="00777490"/>
    <w:rsid w:val="00777676"/>
    <w:rsid w:val="0077769E"/>
    <w:rsid w:val="00777AE6"/>
    <w:rsid w:val="00777CA3"/>
    <w:rsid w:val="00777D77"/>
    <w:rsid w:val="00777D79"/>
    <w:rsid w:val="00777E96"/>
    <w:rsid w:val="00780064"/>
    <w:rsid w:val="00780126"/>
    <w:rsid w:val="00780230"/>
    <w:rsid w:val="00780322"/>
    <w:rsid w:val="00780381"/>
    <w:rsid w:val="00780397"/>
    <w:rsid w:val="0078044D"/>
    <w:rsid w:val="007805A7"/>
    <w:rsid w:val="0078068D"/>
    <w:rsid w:val="007806E4"/>
    <w:rsid w:val="00780B0E"/>
    <w:rsid w:val="00780D41"/>
    <w:rsid w:val="00780E35"/>
    <w:rsid w:val="00780ED1"/>
    <w:rsid w:val="00781000"/>
    <w:rsid w:val="00781061"/>
    <w:rsid w:val="00781143"/>
    <w:rsid w:val="007812BE"/>
    <w:rsid w:val="00781373"/>
    <w:rsid w:val="0078137A"/>
    <w:rsid w:val="00781390"/>
    <w:rsid w:val="00781411"/>
    <w:rsid w:val="0078148E"/>
    <w:rsid w:val="007814E4"/>
    <w:rsid w:val="00781619"/>
    <w:rsid w:val="0078164A"/>
    <w:rsid w:val="0078168C"/>
    <w:rsid w:val="00781773"/>
    <w:rsid w:val="007817C2"/>
    <w:rsid w:val="00781C1A"/>
    <w:rsid w:val="00781C1F"/>
    <w:rsid w:val="00781D4C"/>
    <w:rsid w:val="00781E43"/>
    <w:rsid w:val="00781FA9"/>
    <w:rsid w:val="00782006"/>
    <w:rsid w:val="007821C7"/>
    <w:rsid w:val="007821E1"/>
    <w:rsid w:val="00782378"/>
    <w:rsid w:val="00782387"/>
    <w:rsid w:val="0078256C"/>
    <w:rsid w:val="00782576"/>
    <w:rsid w:val="00782666"/>
    <w:rsid w:val="007828CD"/>
    <w:rsid w:val="00782939"/>
    <w:rsid w:val="00782961"/>
    <w:rsid w:val="0078299C"/>
    <w:rsid w:val="00782A64"/>
    <w:rsid w:val="00782C19"/>
    <w:rsid w:val="00782C34"/>
    <w:rsid w:val="00782C6D"/>
    <w:rsid w:val="00782D6B"/>
    <w:rsid w:val="0078305A"/>
    <w:rsid w:val="007831C6"/>
    <w:rsid w:val="007831E2"/>
    <w:rsid w:val="007831F0"/>
    <w:rsid w:val="007833D2"/>
    <w:rsid w:val="007834EE"/>
    <w:rsid w:val="0078351D"/>
    <w:rsid w:val="00783549"/>
    <w:rsid w:val="0078358D"/>
    <w:rsid w:val="0078362F"/>
    <w:rsid w:val="007838AB"/>
    <w:rsid w:val="007838F8"/>
    <w:rsid w:val="0078396D"/>
    <w:rsid w:val="007839D8"/>
    <w:rsid w:val="007839E1"/>
    <w:rsid w:val="007839F8"/>
    <w:rsid w:val="00783A1A"/>
    <w:rsid w:val="00783A60"/>
    <w:rsid w:val="00783B09"/>
    <w:rsid w:val="00783BBE"/>
    <w:rsid w:val="00783C81"/>
    <w:rsid w:val="00783F0D"/>
    <w:rsid w:val="00783F1B"/>
    <w:rsid w:val="0078408E"/>
    <w:rsid w:val="007840AA"/>
    <w:rsid w:val="0078419E"/>
    <w:rsid w:val="007841E3"/>
    <w:rsid w:val="007843D9"/>
    <w:rsid w:val="00784424"/>
    <w:rsid w:val="007845BB"/>
    <w:rsid w:val="007845BD"/>
    <w:rsid w:val="00784706"/>
    <w:rsid w:val="00784811"/>
    <w:rsid w:val="00784844"/>
    <w:rsid w:val="00784965"/>
    <w:rsid w:val="00784B42"/>
    <w:rsid w:val="00784B8C"/>
    <w:rsid w:val="00784B8F"/>
    <w:rsid w:val="00784C81"/>
    <w:rsid w:val="00784CB4"/>
    <w:rsid w:val="00784CF9"/>
    <w:rsid w:val="00784D24"/>
    <w:rsid w:val="00784D46"/>
    <w:rsid w:val="00784DF5"/>
    <w:rsid w:val="00784E62"/>
    <w:rsid w:val="007850AD"/>
    <w:rsid w:val="007850EA"/>
    <w:rsid w:val="00785198"/>
    <w:rsid w:val="007853AC"/>
    <w:rsid w:val="0078544D"/>
    <w:rsid w:val="0078554C"/>
    <w:rsid w:val="0078555E"/>
    <w:rsid w:val="007855D3"/>
    <w:rsid w:val="007857A1"/>
    <w:rsid w:val="00785972"/>
    <w:rsid w:val="00785A8A"/>
    <w:rsid w:val="00785CD5"/>
    <w:rsid w:val="00785D4B"/>
    <w:rsid w:val="007860F2"/>
    <w:rsid w:val="00786293"/>
    <w:rsid w:val="0078634F"/>
    <w:rsid w:val="00786387"/>
    <w:rsid w:val="0078640D"/>
    <w:rsid w:val="0078641E"/>
    <w:rsid w:val="0078659E"/>
    <w:rsid w:val="007865E5"/>
    <w:rsid w:val="0078687F"/>
    <w:rsid w:val="00786926"/>
    <w:rsid w:val="007869B4"/>
    <w:rsid w:val="00786A2F"/>
    <w:rsid w:val="00786A4F"/>
    <w:rsid w:val="00786A64"/>
    <w:rsid w:val="00786C04"/>
    <w:rsid w:val="00786E42"/>
    <w:rsid w:val="00786FC9"/>
    <w:rsid w:val="00786FD3"/>
    <w:rsid w:val="00787028"/>
    <w:rsid w:val="007870C7"/>
    <w:rsid w:val="00787378"/>
    <w:rsid w:val="007875A3"/>
    <w:rsid w:val="007876E8"/>
    <w:rsid w:val="0078770A"/>
    <w:rsid w:val="0078788A"/>
    <w:rsid w:val="00787914"/>
    <w:rsid w:val="00787AA2"/>
    <w:rsid w:val="00787AB5"/>
    <w:rsid w:val="00787B3A"/>
    <w:rsid w:val="00787B96"/>
    <w:rsid w:val="00787BF1"/>
    <w:rsid w:val="00787C0A"/>
    <w:rsid w:val="00787CC9"/>
    <w:rsid w:val="00787DAF"/>
    <w:rsid w:val="00787DB4"/>
    <w:rsid w:val="00787FE4"/>
    <w:rsid w:val="0079002A"/>
    <w:rsid w:val="0079006F"/>
    <w:rsid w:val="007900B1"/>
    <w:rsid w:val="007900B8"/>
    <w:rsid w:val="007900F2"/>
    <w:rsid w:val="00790221"/>
    <w:rsid w:val="007902D4"/>
    <w:rsid w:val="00790364"/>
    <w:rsid w:val="0079040E"/>
    <w:rsid w:val="007905AB"/>
    <w:rsid w:val="007907AD"/>
    <w:rsid w:val="007907D6"/>
    <w:rsid w:val="00790817"/>
    <w:rsid w:val="0079084A"/>
    <w:rsid w:val="007908B3"/>
    <w:rsid w:val="007909F9"/>
    <w:rsid w:val="00790AF0"/>
    <w:rsid w:val="00790BC7"/>
    <w:rsid w:val="00790C72"/>
    <w:rsid w:val="00790DC8"/>
    <w:rsid w:val="00790F8E"/>
    <w:rsid w:val="007910DB"/>
    <w:rsid w:val="00791143"/>
    <w:rsid w:val="00791159"/>
    <w:rsid w:val="00791218"/>
    <w:rsid w:val="007912B3"/>
    <w:rsid w:val="0079140D"/>
    <w:rsid w:val="00791884"/>
    <w:rsid w:val="00791891"/>
    <w:rsid w:val="00791A48"/>
    <w:rsid w:val="00791B3F"/>
    <w:rsid w:val="0079202C"/>
    <w:rsid w:val="007920BB"/>
    <w:rsid w:val="007922C8"/>
    <w:rsid w:val="007926A7"/>
    <w:rsid w:val="007926CE"/>
    <w:rsid w:val="0079270D"/>
    <w:rsid w:val="0079274B"/>
    <w:rsid w:val="00792817"/>
    <w:rsid w:val="0079297F"/>
    <w:rsid w:val="007929AB"/>
    <w:rsid w:val="00792A1C"/>
    <w:rsid w:val="00792A4B"/>
    <w:rsid w:val="00792A4D"/>
    <w:rsid w:val="00792A80"/>
    <w:rsid w:val="00792C9E"/>
    <w:rsid w:val="00792CD2"/>
    <w:rsid w:val="00792DAC"/>
    <w:rsid w:val="00792E9C"/>
    <w:rsid w:val="00792EB6"/>
    <w:rsid w:val="00792ECF"/>
    <w:rsid w:val="00792EFF"/>
    <w:rsid w:val="00792F78"/>
    <w:rsid w:val="00792F9C"/>
    <w:rsid w:val="00793141"/>
    <w:rsid w:val="0079328B"/>
    <w:rsid w:val="007932F8"/>
    <w:rsid w:val="00793320"/>
    <w:rsid w:val="00793355"/>
    <w:rsid w:val="00793395"/>
    <w:rsid w:val="00793578"/>
    <w:rsid w:val="00793926"/>
    <w:rsid w:val="00793936"/>
    <w:rsid w:val="0079396D"/>
    <w:rsid w:val="00793988"/>
    <w:rsid w:val="007939EB"/>
    <w:rsid w:val="007939FD"/>
    <w:rsid w:val="00793AF3"/>
    <w:rsid w:val="00793CB8"/>
    <w:rsid w:val="00793F36"/>
    <w:rsid w:val="0079414E"/>
    <w:rsid w:val="0079429A"/>
    <w:rsid w:val="0079429B"/>
    <w:rsid w:val="007942AB"/>
    <w:rsid w:val="007942C3"/>
    <w:rsid w:val="007942E8"/>
    <w:rsid w:val="007942EE"/>
    <w:rsid w:val="00794354"/>
    <w:rsid w:val="007945B1"/>
    <w:rsid w:val="007946B1"/>
    <w:rsid w:val="00794844"/>
    <w:rsid w:val="00794A2E"/>
    <w:rsid w:val="00794ACA"/>
    <w:rsid w:val="00794AE2"/>
    <w:rsid w:val="00794C27"/>
    <w:rsid w:val="00794C5D"/>
    <w:rsid w:val="00794E2A"/>
    <w:rsid w:val="00794E3D"/>
    <w:rsid w:val="00794F18"/>
    <w:rsid w:val="00794F1A"/>
    <w:rsid w:val="00794FA6"/>
    <w:rsid w:val="00794FAA"/>
    <w:rsid w:val="007953ED"/>
    <w:rsid w:val="00795625"/>
    <w:rsid w:val="00795811"/>
    <w:rsid w:val="0079587C"/>
    <w:rsid w:val="007958BF"/>
    <w:rsid w:val="00795BF0"/>
    <w:rsid w:val="00795D46"/>
    <w:rsid w:val="00795DB0"/>
    <w:rsid w:val="00795E09"/>
    <w:rsid w:val="00795E1E"/>
    <w:rsid w:val="00795E2B"/>
    <w:rsid w:val="00795FED"/>
    <w:rsid w:val="00796011"/>
    <w:rsid w:val="00796192"/>
    <w:rsid w:val="00796285"/>
    <w:rsid w:val="007962D1"/>
    <w:rsid w:val="00796346"/>
    <w:rsid w:val="007964A9"/>
    <w:rsid w:val="007965CD"/>
    <w:rsid w:val="0079661B"/>
    <w:rsid w:val="0079697E"/>
    <w:rsid w:val="00796A06"/>
    <w:rsid w:val="00796AA0"/>
    <w:rsid w:val="00796B51"/>
    <w:rsid w:val="00796BF1"/>
    <w:rsid w:val="00796DF5"/>
    <w:rsid w:val="00796FD0"/>
    <w:rsid w:val="007971A3"/>
    <w:rsid w:val="00797208"/>
    <w:rsid w:val="00797426"/>
    <w:rsid w:val="00797558"/>
    <w:rsid w:val="007977DA"/>
    <w:rsid w:val="00797ABD"/>
    <w:rsid w:val="00797D2F"/>
    <w:rsid w:val="00797E65"/>
    <w:rsid w:val="00797EC4"/>
    <w:rsid w:val="00797ECD"/>
    <w:rsid w:val="007A00A4"/>
    <w:rsid w:val="007A012E"/>
    <w:rsid w:val="007A023C"/>
    <w:rsid w:val="007A037B"/>
    <w:rsid w:val="007A055E"/>
    <w:rsid w:val="007A0782"/>
    <w:rsid w:val="007A07AB"/>
    <w:rsid w:val="007A0875"/>
    <w:rsid w:val="007A09CA"/>
    <w:rsid w:val="007A0A76"/>
    <w:rsid w:val="007A0B0F"/>
    <w:rsid w:val="007A0B34"/>
    <w:rsid w:val="007A0BA3"/>
    <w:rsid w:val="007A0C74"/>
    <w:rsid w:val="007A0CE2"/>
    <w:rsid w:val="007A0D1C"/>
    <w:rsid w:val="007A0D8E"/>
    <w:rsid w:val="007A0E0A"/>
    <w:rsid w:val="007A0E32"/>
    <w:rsid w:val="007A0E78"/>
    <w:rsid w:val="007A0EBE"/>
    <w:rsid w:val="007A0F3E"/>
    <w:rsid w:val="007A0FCC"/>
    <w:rsid w:val="007A11D6"/>
    <w:rsid w:val="007A1226"/>
    <w:rsid w:val="007A124D"/>
    <w:rsid w:val="007A13A9"/>
    <w:rsid w:val="007A148F"/>
    <w:rsid w:val="007A14CE"/>
    <w:rsid w:val="007A1593"/>
    <w:rsid w:val="007A160A"/>
    <w:rsid w:val="007A162E"/>
    <w:rsid w:val="007A1688"/>
    <w:rsid w:val="007A17DF"/>
    <w:rsid w:val="007A191C"/>
    <w:rsid w:val="007A193C"/>
    <w:rsid w:val="007A1A00"/>
    <w:rsid w:val="007A1A87"/>
    <w:rsid w:val="007A1AA2"/>
    <w:rsid w:val="007A1B3A"/>
    <w:rsid w:val="007A1C0D"/>
    <w:rsid w:val="007A1E41"/>
    <w:rsid w:val="007A2002"/>
    <w:rsid w:val="007A20AC"/>
    <w:rsid w:val="007A20C4"/>
    <w:rsid w:val="007A2192"/>
    <w:rsid w:val="007A224A"/>
    <w:rsid w:val="007A23BF"/>
    <w:rsid w:val="007A24E6"/>
    <w:rsid w:val="007A26A9"/>
    <w:rsid w:val="007A274A"/>
    <w:rsid w:val="007A2838"/>
    <w:rsid w:val="007A295F"/>
    <w:rsid w:val="007A2961"/>
    <w:rsid w:val="007A29CF"/>
    <w:rsid w:val="007A29FF"/>
    <w:rsid w:val="007A2B3A"/>
    <w:rsid w:val="007A2DAD"/>
    <w:rsid w:val="007A2DF8"/>
    <w:rsid w:val="007A2E28"/>
    <w:rsid w:val="007A2E6A"/>
    <w:rsid w:val="007A32D6"/>
    <w:rsid w:val="007A3306"/>
    <w:rsid w:val="007A33DA"/>
    <w:rsid w:val="007A3603"/>
    <w:rsid w:val="007A36B1"/>
    <w:rsid w:val="007A37CA"/>
    <w:rsid w:val="007A37E9"/>
    <w:rsid w:val="007A3B8E"/>
    <w:rsid w:val="007A3C0B"/>
    <w:rsid w:val="007A3C41"/>
    <w:rsid w:val="007A3E1C"/>
    <w:rsid w:val="007A3F4E"/>
    <w:rsid w:val="007A3F67"/>
    <w:rsid w:val="007A407B"/>
    <w:rsid w:val="007A42A1"/>
    <w:rsid w:val="007A443E"/>
    <w:rsid w:val="007A446A"/>
    <w:rsid w:val="007A448D"/>
    <w:rsid w:val="007A44BA"/>
    <w:rsid w:val="007A4526"/>
    <w:rsid w:val="007A453B"/>
    <w:rsid w:val="007A4671"/>
    <w:rsid w:val="007A46D5"/>
    <w:rsid w:val="007A4737"/>
    <w:rsid w:val="007A487B"/>
    <w:rsid w:val="007A4961"/>
    <w:rsid w:val="007A49EA"/>
    <w:rsid w:val="007A4D9C"/>
    <w:rsid w:val="007A4DDB"/>
    <w:rsid w:val="007A506F"/>
    <w:rsid w:val="007A52B7"/>
    <w:rsid w:val="007A567C"/>
    <w:rsid w:val="007A5854"/>
    <w:rsid w:val="007A585B"/>
    <w:rsid w:val="007A58A7"/>
    <w:rsid w:val="007A590F"/>
    <w:rsid w:val="007A595C"/>
    <w:rsid w:val="007A59C7"/>
    <w:rsid w:val="007A5A6E"/>
    <w:rsid w:val="007A5BE6"/>
    <w:rsid w:val="007A5FE5"/>
    <w:rsid w:val="007A6528"/>
    <w:rsid w:val="007A6606"/>
    <w:rsid w:val="007A665F"/>
    <w:rsid w:val="007A66DF"/>
    <w:rsid w:val="007A6889"/>
    <w:rsid w:val="007A6B63"/>
    <w:rsid w:val="007A6DED"/>
    <w:rsid w:val="007A6EC8"/>
    <w:rsid w:val="007A6FAA"/>
    <w:rsid w:val="007A718B"/>
    <w:rsid w:val="007A72D6"/>
    <w:rsid w:val="007A7304"/>
    <w:rsid w:val="007A734A"/>
    <w:rsid w:val="007A757E"/>
    <w:rsid w:val="007A7781"/>
    <w:rsid w:val="007A77BF"/>
    <w:rsid w:val="007A7818"/>
    <w:rsid w:val="007A78BA"/>
    <w:rsid w:val="007A7942"/>
    <w:rsid w:val="007A7B40"/>
    <w:rsid w:val="007A7CF5"/>
    <w:rsid w:val="007A7EED"/>
    <w:rsid w:val="007AE33A"/>
    <w:rsid w:val="007B00AF"/>
    <w:rsid w:val="007B0243"/>
    <w:rsid w:val="007B0280"/>
    <w:rsid w:val="007B031E"/>
    <w:rsid w:val="007B035D"/>
    <w:rsid w:val="007B04A8"/>
    <w:rsid w:val="007B0541"/>
    <w:rsid w:val="007B0637"/>
    <w:rsid w:val="007B068D"/>
    <w:rsid w:val="007B06F4"/>
    <w:rsid w:val="007B08C2"/>
    <w:rsid w:val="007B09C1"/>
    <w:rsid w:val="007B0B2D"/>
    <w:rsid w:val="007B0BDD"/>
    <w:rsid w:val="007B0BEA"/>
    <w:rsid w:val="007B0C77"/>
    <w:rsid w:val="007B0CDA"/>
    <w:rsid w:val="007B0FAA"/>
    <w:rsid w:val="007B10C9"/>
    <w:rsid w:val="007B10F1"/>
    <w:rsid w:val="007B110A"/>
    <w:rsid w:val="007B11C8"/>
    <w:rsid w:val="007B12A1"/>
    <w:rsid w:val="007B15FD"/>
    <w:rsid w:val="007B1640"/>
    <w:rsid w:val="007B1812"/>
    <w:rsid w:val="007B1953"/>
    <w:rsid w:val="007B198F"/>
    <w:rsid w:val="007B1B62"/>
    <w:rsid w:val="007B1BDF"/>
    <w:rsid w:val="007B1BF2"/>
    <w:rsid w:val="007B1E52"/>
    <w:rsid w:val="007B1E5F"/>
    <w:rsid w:val="007B1EA1"/>
    <w:rsid w:val="007B1F90"/>
    <w:rsid w:val="007B20A5"/>
    <w:rsid w:val="007B20E0"/>
    <w:rsid w:val="007B21D5"/>
    <w:rsid w:val="007B23CC"/>
    <w:rsid w:val="007B25DA"/>
    <w:rsid w:val="007B2670"/>
    <w:rsid w:val="007B26AD"/>
    <w:rsid w:val="007B29BF"/>
    <w:rsid w:val="007B2BA7"/>
    <w:rsid w:val="007B2D2C"/>
    <w:rsid w:val="007B2DD9"/>
    <w:rsid w:val="007B2E72"/>
    <w:rsid w:val="007B3021"/>
    <w:rsid w:val="007B30E6"/>
    <w:rsid w:val="007B3205"/>
    <w:rsid w:val="007B32CF"/>
    <w:rsid w:val="007B32EA"/>
    <w:rsid w:val="007B32F9"/>
    <w:rsid w:val="007B332C"/>
    <w:rsid w:val="007B3591"/>
    <w:rsid w:val="007B35DF"/>
    <w:rsid w:val="007B3861"/>
    <w:rsid w:val="007B39C7"/>
    <w:rsid w:val="007B3B46"/>
    <w:rsid w:val="007B3B4C"/>
    <w:rsid w:val="007B3B5C"/>
    <w:rsid w:val="007B3C55"/>
    <w:rsid w:val="007B3D17"/>
    <w:rsid w:val="007B3D5D"/>
    <w:rsid w:val="007B3F50"/>
    <w:rsid w:val="007B4127"/>
    <w:rsid w:val="007B42F7"/>
    <w:rsid w:val="007B43FA"/>
    <w:rsid w:val="007B4439"/>
    <w:rsid w:val="007B4646"/>
    <w:rsid w:val="007B46DF"/>
    <w:rsid w:val="007B46EC"/>
    <w:rsid w:val="007B4999"/>
    <w:rsid w:val="007B4B83"/>
    <w:rsid w:val="007B4C37"/>
    <w:rsid w:val="007B4DF6"/>
    <w:rsid w:val="007B4E61"/>
    <w:rsid w:val="007B4E77"/>
    <w:rsid w:val="007B4F87"/>
    <w:rsid w:val="007B501F"/>
    <w:rsid w:val="007B502B"/>
    <w:rsid w:val="007B5056"/>
    <w:rsid w:val="007B509D"/>
    <w:rsid w:val="007B50F9"/>
    <w:rsid w:val="007B5117"/>
    <w:rsid w:val="007B513C"/>
    <w:rsid w:val="007B519E"/>
    <w:rsid w:val="007B51E3"/>
    <w:rsid w:val="007B5270"/>
    <w:rsid w:val="007B5293"/>
    <w:rsid w:val="007B52BD"/>
    <w:rsid w:val="007B536C"/>
    <w:rsid w:val="007B53E0"/>
    <w:rsid w:val="007B53E8"/>
    <w:rsid w:val="007B5436"/>
    <w:rsid w:val="007B563E"/>
    <w:rsid w:val="007B5715"/>
    <w:rsid w:val="007B5789"/>
    <w:rsid w:val="007B5811"/>
    <w:rsid w:val="007B586C"/>
    <w:rsid w:val="007B58CA"/>
    <w:rsid w:val="007B5AA0"/>
    <w:rsid w:val="007B5B25"/>
    <w:rsid w:val="007B5B48"/>
    <w:rsid w:val="007B5B8C"/>
    <w:rsid w:val="007B5D26"/>
    <w:rsid w:val="007B5D79"/>
    <w:rsid w:val="007B5EBC"/>
    <w:rsid w:val="007B5F9E"/>
    <w:rsid w:val="007B602B"/>
    <w:rsid w:val="007B60C3"/>
    <w:rsid w:val="007B60CC"/>
    <w:rsid w:val="007B61FC"/>
    <w:rsid w:val="007B631A"/>
    <w:rsid w:val="007B63CE"/>
    <w:rsid w:val="007B6492"/>
    <w:rsid w:val="007B66B0"/>
    <w:rsid w:val="007B6830"/>
    <w:rsid w:val="007B6839"/>
    <w:rsid w:val="007B68BE"/>
    <w:rsid w:val="007B68D8"/>
    <w:rsid w:val="007B6979"/>
    <w:rsid w:val="007B69EB"/>
    <w:rsid w:val="007B6A00"/>
    <w:rsid w:val="007B6B2E"/>
    <w:rsid w:val="007B6BCF"/>
    <w:rsid w:val="007B6C38"/>
    <w:rsid w:val="007B6D37"/>
    <w:rsid w:val="007B6D97"/>
    <w:rsid w:val="007B6E10"/>
    <w:rsid w:val="007B6FD2"/>
    <w:rsid w:val="007B6FD6"/>
    <w:rsid w:val="007B7003"/>
    <w:rsid w:val="007B718B"/>
    <w:rsid w:val="007B72AB"/>
    <w:rsid w:val="007B73F4"/>
    <w:rsid w:val="007B7448"/>
    <w:rsid w:val="007B74D2"/>
    <w:rsid w:val="007B74FC"/>
    <w:rsid w:val="007B75E5"/>
    <w:rsid w:val="007B76B5"/>
    <w:rsid w:val="007B7822"/>
    <w:rsid w:val="007B7848"/>
    <w:rsid w:val="007B78C3"/>
    <w:rsid w:val="007B79EE"/>
    <w:rsid w:val="007B7C8F"/>
    <w:rsid w:val="007B7DD1"/>
    <w:rsid w:val="007B7E2A"/>
    <w:rsid w:val="007B7EB0"/>
    <w:rsid w:val="007B7F0E"/>
    <w:rsid w:val="007B7F8A"/>
    <w:rsid w:val="007C029C"/>
    <w:rsid w:val="007C0392"/>
    <w:rsid w:val="007C0438"/>
    <w:rsid w:val="007C04A8"/>
    <w:rsid w:val="007C04D5"/>
    <w:rsid w:val="007C0550"/>
    <w:rsid w:val="007C0555"/>
    <w:rsid w:val="007C05A7"/>
    <w:rsid w:val="007C05B3"/>
    <w:rsid w:val="007C061C"/>
    <w:rsid w:val="007C06BC"/>
    <w:rsid w:val="007C0748"/>
    <w:rsid w:val="007C0859"/>
    <w:rsid w:val="007C09B4"/>
    <w:rsid w:val="007C0D4E"/>
    <w:rsid w:val="007C0FDE"/>
    <w:rsid w:val="007C1143"/>
    <w:rsid w:val="007C1223"/>
    <w:rsid w:val="007C1352"/>
    <w:rsid w:val="007C1385"/>
    <w:rsid w:val="007C13CA"/>
    <w:rsid w:val="007C158B"/>
    <w:rsid w:val="007C15E5"/>
    <w:rsid w:val="007C166F"/>
    <w:rsid w:val="007C1681"/>
    <w:rsid w:val="007C175C"/>
    <w:rsid w:val="007C1854"/>
    <w:rsid w:val="007C1985"/>
    <w:rsid w:val="007C1A24"/>
    <w:rsid w:val="007C1B1A"/>
    <w:rsid w:val="007C1B41"/>
    <w:rsid w:val="007C1B98"/>
    <w:rsid w:val="007C1C17"/>
    <w:rsid w:val="007C1D8E"/>
    <w:rsid w:val="007C1DB9"/>
    <w:rsid w:val="007C1EC9"/>
    <w:rsid w:val="007C1F01"/>
    <w:rsid w:val="007C1F32"/>
    <w:rsid w:val="007C1FEC"/>
    <w:rsid w:val="007C2015"/>
    <w:rsid w:val="007C2053"/>
    <w:rsid w:val="007C22CC"/>
    <w:rsid w:val="007C2345"/>
    <w:rsid w:val="007C23B4"/>
    <w:rsid w:val="007C247D"/>
    <w:rsid w:val="007C24E9"/>
    <w:rsid w:val="007C25AC"/>
    <w:rsid w:val="007C286B"/>
    <w:rsid w:val="007C28CB"/>
    <w:rsid w:val="007C29B2"/>
    <w:rsid w:val="007C2ADF"/>
    <w:rsid w:val="007C2BDD"/>
    <w:rsid w:val="007C2C3C"/>
    <w:rsid w:val="007C2D38"/>
    <w:rsid w:val="007C2E27"/>
    <w:rsid w:val="007C2ED3"/>
    <w:rsid w:val="007C2F94"/>
    <w:rsid w:val="007C2FA1"/>
    <w:rsid w:val="007C30C0"/>
    <w:rsid w:val="007C3164"/>
    <w:rsid w:val="007C316C"/>
    <w:rsid w:val="007C317C"/>
    <w:rsid w:val="007C328B"/>
    <w:rsid w:val="007C32B4"/>
    <w:rsid w:val="007C330C"/>
    <w:rsid w:val="007C3342"/>
    <w:rsid w:val="007C336F"/>
    <w:rsid w:val="007C350E"/>
    <w:rsid w:val="007C352B"/>
    <w:rsid w:val="007C3653"/>
    <w:rsid w:val="007C3658"/>
    <w:rsid w:val="007C36A0"/>
    <w:rsid w:val="007C38A9"/>
    <w:rsid w:val="007C397C"/>
    <w:rsid w:val="007C39D2"/>
    <w:rsid w:val="007C3A94"/>
    <w:rsid w:val="007C3B8C"/>
    <w:rsid w:val="007C3BAA"/>
    <w:rsid w:val="007C3F75"/>
    <w:rsid w:val="007C4119"/>
    <w:rsid w:val="007C4146"/>
    <w:rsid w:val="007C414B"/>
    <w:rsid w:val="007C4204"/>
    <w:rsid w:val="007C42C2"/>
    <w:rsid w:val="007C45CD"/>
    <w:rsid w:val="007C4665"/>
    <w:rsid w:val="007C4688"/>
    <w:rsid w:val="007C47B2"/>
    <w:rsid w:val="007C4995"/>
    <w:rsid w:val="007C4B4D"/>
    <w:rsid w:val="007C4E7E"/>
    <w:rsid w:val="007C4EFE"/>
    <w:rsid w:val="007C4FC6"/>
    <w:rsid w:val="007C5014"/>
    <w:rsid w:val="007C510E"/>
    <w:rsid w:val="007C5521"/>
    <w:rsid w:val="007C5523"/>
    <w:rsid w:val="007C556F"/>
    <w:rsid w:val="007C557A"/>
    <w:rsid w:val="007C566D"/>
    <w:rsid w:val="007C56CB"/>
    <w:rsid w:val="007C57DC"/>
    <w:rsid w:val="007C5869"/>
    <w:rsid w:val="007C590C"/>
    <w:rsid w:val="007C5973"/>
    <w:rsid w:val="007C5976"/>
    <w:rsid w:val="007C59DA"/>
    <w:rsid w:val="007C5A35"/>
    <w:rsid w:val="007C5A67"/>
    <w:rsid w:val="007C5B63"/>
    <w:rsid w:val="007C5C72"/>
    <w:rsid w:val="007C5D1D"/>
    <w:rsid w:val="007C5E72"/>
    <w:rsid w:val="007C5EE6"/>
    <w:rsid w:val="007C6029"/>
    <w:rsid w:val="007C604F"/>
    <w:rsid w:val="007C6137"/>
    <w:rsid w:val="007C624F"/>
    <w:rsid w:val="007C62A2"/>
    <w:rsid w:val="007C62C3"/>
    <w:rsid w:val="007C6328"/>
    <w:rsid w:val="007C63F9"/>
    <w:rsid w:val="007C6418"/>
    <w:rsid w:val="007C6521"/>
    <w:rsid w:val="007C65F8"/>
    <w:rsid w:val="007C6B90"/>
    <w:rsid w:val="007C6C7F"/>
    <w:rsid w:val="007C6CB2"/>
    <w:rsid w:val="007C6D9E"/>
    <w:rsid w:val="007C6DD5"/>
    <w:rsid w:val="007C6E3C"/>
    <w:rsid w:val="007C6EF3"/>
    <w:rsid w:val="007C6FC6"/>
    <w:rsid w:val="007C707F"/>
    <w:rsid w:val="007C728A"/>
    <w:rsid w:val="007C72E0"/>
    <w:rsid w:val="007C7403"/>
    <w:rsid w:val="007C74F3"/>
    <w:rsid w:val="007C7610"/>
    <w:rsid w:val="007C7652"/>
    <w:rsid w:val="007C7661"/>
    <w:rsid w:val="007C768B"/>
    <w:rsid w:val="007C7868"/>
    <w:rsid w:val="007C797D"/>
    <w:rsid w:val="007C7B75"/>
    <w:rsid w:val="007C7BC0"/>
    <w:rsid w:val="007C7C88"/>
    <w:rsid w:val="007C7D7F"/>
    <w:rsid w:val="007C7E02"/>
    <w:rsid w:val="007C7E44"/>
    <w:rsid w:val="007C7E81"/>
    <w:rsid w:val="007C7EC2"/>
    <w:rsid w:val="007C7FCF"/>
    <w:rsid w:val="007D00AF"/>
    <w:rsid w:val="007D027F"/>
    <w:rsid w:val="007D02DA"/>
    <w:rsid w:val="007D05E7"/>
    <w:rsid w:val="007D088E"/>
    <w:rsid w:val="007D09DC"/>
    <w:rsid w:val="007D0C02"/>
    <w:rsid w:val="007D0DD1"/>
    <w:rsid w:val="007D0E36"/>
    <w:rsid w:val="007D0FF3"/>
    <w:rsid w:val="007D0FF6"/>
    <w:rsid w:val="007D11C5"/>
    <w:rsid w:val="007D12B2"/>
    <w:rsid w:val="007D12CD"/>
    <w:rsid w:val="007D136B"/>
    <w:rsid w:val="007D13EE"/>
    <w:rsid w:val="007D141E"/>
    <w:rsid w:val="007D1588"/>
    <w:rsid w:val="007D163A"/>
    <w:rsid w:val="007D178D"/>
    <w:rsid w:val="007D181A"/>
    <w:rsid w:val="007D19D5"/>
    <w:rsid w:val="007D1BD4"/>
    <w:rsid w:val="007D1C10"/>
    <w:rsid w:val="007D1C68"/>
    <w:rsid w:val="007D1CDD"/>
    <w:rsid w:val="007D1D6C"/>
    <w:rsid w:val="007D1D73"/>
    <w:rsid w:val="007D1EB9"/>
    <w:rsid w:val="007D1EE0"/>
    <w:rsid w:val="007D1F30"/>
    <w:rsid w:val="007D201D"/>
    <w:rsid w:val="007D215F"/>
    <w:rsid w:val="007D21AE"/>
    <w:rsid w:val="007D21BD"/>
    <w:rsid w:val="007D21C5"/>
    <w:rsid w:val="007D21E1"/>
    <w:rsid w:val="007D22D4"/>
    <w:rsid w:val="007D230C"/>
    <w:rsid w:val="007D2386"/>
    <w:rsid w:val="007D23D1"/>
    <w:rsid w:val="007D248C"/>
    <w:rsid w:val="007D2554"/>
    <w:rsid w:val="007D2592"/>
    <w:rsid w:val="007D261A"/>
    <w:rsid w:val="007D2672"/>
    <w:rsid w:val="007D268F"/>
    <w:rsid w:val="007D286E"/>
    <w:rsid w:val="007D28F5"/>
    <w:rsid w:val="007D28FE"/>
    <w:rsid w:val="007D29FE"/>
    <w:rsid w:val="007D2A9F"/>
    <w:rsid w:val="007D2B1C"/>
    <w:rsid w:val="007D2B51"/>
    <w:rsid w:val="007D2B98"/>
    <w:rsid w:val="007D2DA9"/>
    <w:rsid w:val="007D2F4D"/>
    <w:rsid w:val="007D32BF"/>
    <w:rsid w:val="007D337D"/>
    <w:rsid w:val="007D33B6"/>
    <w:rsid w:val="007D33E2"/>
    <w:rsid w:val="007D3556"/>
    <w:rsid w:val="007D357D"/>
    <w:rsid w:val="007D3598"/>
    <w:rsid w:val="007D37A3"/>
    <w:rsid w:val="007D3855"/>
    <w:rsid w:val="007D3974"/>
    <w:rsid w:val="007D3987"/>
    <w:rsid w:val="007D39CD"/>
    <w:rsid w:val="007D3C1D"/>
    <w:rsid w:val="007D3E91"/>
    <w:rsid w:val="007D405B"/>
    <w:rsid w:val="007D4085"/>
    <w:rsid w:val="007D40BB"/>
    <w:rsid w:val="007D40C1"/>
    <w:rsid w:val="007D41C8"/>
    <w:rsid w:val="007D423E"/>
    <w:rsid w:val="007D42A6"/>
    <w:rsid w:val="007D442C"/>
    <w:rsid w:val="007D4487"/>
    <w:rsid w:val="007D4648"/>
    <w:rsid w:val="007D46A1"/>
    <w:rsid w:val="007D4729"/>
    <w:rsid w:val="007D4766"/>
    <w:rsid w:val="007D47CF"/>
    <w:rsid w:val="007D4887"/>
    <w:rsid w:val="007D49AD"/>
    <w:rsid w:val="007D4C7D"/>
    <w:rsid w:val="007D4CCD"/>
    <w:rsid w:val="007D4D26"/>
    <w:rsid w:val="007D4EC7"/>
    <w:rsid w:val="007D4F67"/>
    <w:rsid w:val="007D5039"/>
    <w:rsid w:val="007D5130"/>
    <w:rsid w:val="007D5147"/>
    <w:rsid w:val="007D5160"/>
    <w:rsid w:val="007D51E4"/>
    <w:rsid w:val="007D5256"/>
    <w:rsid w:val="007D54A0"/>
    <w:rsid w:val="007D54D1"/>
    <w:rsid w:val="007D55F4"/>
    <w:rsid w:val="007D5657"/>
    <w:rsid w:val="007D56C5"/>
    <w:rsid w:val="007D5743"/>
    <w:rsid w:val="007D57EC"/>
    <w:rsid w:val="007D58F1"/>
    <w:rsid w:val="007D5908"/>
    <w:rsid w:val="007D5940"/>
    <w:rsid w:val="007D59AE"/>
    <w:rsid w:val="007D5B55"/>
    <w:rsid w:val="007D5B92"/>
    <w:rsid w:val="007D5B95"/>
    <w:rsid w:val="007D5BC2"/>
    <w:rsid w:val="007D5C3B"/>
    <w:rsid w:val="007D5EFF"/>
    <w:rsid w:val="007D5F03"/>
    <w:rsid w:val="007D632B"/>
    <w:rsid w:val="007D6348"/>
    <w:rsid w:val="007D6462"/>
    <w:rsid w:val="007D656F"/>
    <w:rsid w:val="007D665F"/>
    <w:rsid w:val="007D66D4"/>
    <w:rsid w:val="007D67BC"/>
    <w:rsid w:val="007D68D9"/>
    <w:rsid w:val="007D698D"/>
    <w:rsid w:val="007D69FA"/>
    <w:rsid w:val="007D6A06"/>
    <w:rsid w:val="007D6A5B"/>
    <w:rsid w:val="007D6BFF"/>
    <w:rsid w:val="007D6D34"/>
    <w:rsid w:val="007D6EB4"/>
    <w:rsid w:val="007D71A0"/>
    <w:rsid w:val="007D71E7"/>
    <w:rsid w:val="007D7278"/>
    <w:rsid w:val="007D7347"/>
    <w:rsid w:val="007D7607"/>
    <w:rsid w:val="007D7754"/>
    <w:rsid w:val="007D7777"/>
    <w:rsid w:val="007D786B"/>
    <w:rsid w:val="007D78AB"/>
    <w:rsid w:val="007D7B8D"/>
    <w:rsid w:val="007D7BB9"/>
    <w:rsid w:val="007D7D82"/>
    <w:rsid w:val="007D7F02"/>
    <w:rsid w:val="007D7FBE"/>
    <w:rsid w:val="007E0002"/>
    <w:rsid w:val="007E00DE"/>
    <w:rsid w:val="007E040E"/>
    <w:rsid w:val="007E0416"/>
    <w:rsid w:val="007E0498"/>
    <w:rsid w:val="007E04A7"/>
    <w:rsid w:val="007E04D5"/>
    <w:rsid w:val="007E04DD"/>
    <w:rsid w:val="007E0738"/>
    <w:rsid w:val="007E08FD"/>
    <w:rsid w:val="007E0B4A"/>
    <w:rsid w:val="007E0B81"/>
    <w:rsid w:val="007E0C28"/>
    <w:rsid w:val="007E0C75"/>
    <w:rsid w:val="007E10E0"/>
    <w:rsid w:val="007E112E"/>
    <w:rsid w:val="007E13A2"/>
    <w:rsid w:val="007E13E0"/>
    <w:rsid w:val="007E13F5"/>
    <w:rsid w:val="007E1476"/>
    <w:rsid w:val="007E178A"/>
    <w:rsid w:val="007E1795"/>
    <w:rsid w:val="007E17B6"/>
    <w:rsid w:val="007E17CC"/>
    <w:rsid w:val="007E185B"/>
    <w:rsid w:val="007E1938"/>
    <w:rsid w:val="007E1967"/>
    <w:rsid w:val="007E1B8A"/>
    <w:rsid w:val="007E1B91"/>
    <w:rsid w:val="007E1BB8"/>
    <w:rsid w:val="007E1BBD"/>
    <w:rsid w:val="007E1BDB"/>
    <w:rsid w:val="007E1CA9"/>
    <w:rsid w:val="007E1CAB"/>
    <w:rsid w:val="007E1EED"/>
    <w:rsid w:val="007E1F56"/>
    <w:rsid w:val="007E201E"/>
    <w:rsid w:val="007E20BA"/>
    <w:rsid w:val="007E2123"/>
    <w:rsid w:val="007E2140"/>
    <w:rsid w:val="007E21FB"/>
    <w:rsid w:val="007E2288"/>
    <w:rsid w:val="007E229E"/>
    <w:rsid w:val="007E2358"/>
    <w:rsid w:val="007E236F"/>
    <w:rsid w:val="007E25F4"/>
    <w:rsid w:val="007E267D"/>
    <w:rsid w:val="007E26EF"/>
    <w:rsid w:val="007E27E9"/>
    <w:rsid w:val="007E2825"/>
    <w:rsid w:val="007E2845"/>
    <w:rsid w:val="007E2A84"/>
    <w:rsid w:val="007E2AF8"/>
    <w:rsid w:val="007E2BD6"/>
    <w:rsid w:val="007E2EA3"/>
    <w:rsid w:val="007E2EF2"/>
    <w:rsid w:val="007E2F5F"/>
    <w:rsid w:val="007E2FCB"/>
    <w:rsid w:val="007E3027"/>
    <w:rsid w:val="007E30AA"/>
    <w:rsid w:val="007E31F8"/>
    <w:rsid w:val="007E3370"/>
    <w:rsid w:val="007E33A7"/>
    <w:rsid w:val="007E33DB"/>
    <w:rsid w:val="007E349C"/>
    <w:rsid w:val="007E35D4"/>
    <w:rsid w:val="007E369F"/>
    <w:rsid w:val="007E36E0"/>
    <w:rsid w:val="007E39E7"/>
    <w:rsid w:val="007E3A4F"/>
    <w:rsid w:val="007E3A9D"/>
    <w:rsid w:val="007E3AC8"/>
    <w:rsid w:val="007E3B73"/>
    <w:rsid w:val="007E3BC9"/>
    <w:rsid w:val="007E3DC6"/>
    <w:rsid w:val="007E3E2A"/>
    <w:rsid w:val="007E3F02"/>
    <w:rsid w:val="007E414F"/>
    <w:rsid w:val="007E4393"/>
    <w:rsid w:val="007E43B2"/>
    <w:rsid w:val="007E43DF"/>
    <w:rsid w:val="007E43E2"/>
    <w:rsid w:val="007E44E3"/>
    <w:rsid w:val="007E4556"/>
    <w:rsid w:val="007E46FD"/>
    <w:rsid w:val="007E47D9"/>
    <w:rsid w:val="007E4808"/>
    <w:rsid w:val="007E4882"/>
    <w:rsid w:val="007E4A98"/>
    <w:rsid w:val="007E4B42"/>
    <w:rsid w:val="007E4BA0"/>
    <w:rsid w:val="007E4C32"/>
    <w:rsid w:val="007E4C50"/>
    <w:rsid w:val="007E4C81"/>
    <w:rsid w:val="007E4C9A"/>
    <w:rsid w:val="007E4D29"/>
    <w:rsid w:val="007E4D83"/>
    <w:rsid w:val="007E52A7"/>
    <w:rsid w:val="007E5331"/>
    <w:rsid w:val="007E5371"/>
    <w:rsid w:val="007E5480"/>
    <w:rsid w:val="007E5485"/>
    <w:rsid w:val="007E562A"/>
    <w:rsid w:val="007E585C"/>
    <w:rsid w:val="007E587B"/>
    <w:rsid w:val="007E58BF"/>
    <w:rsid w:val="007E5940"/>
    <w:rsid w:val="007E5972"/>
    <w:rsid w:val="007E5B62"/>
    <w:rsid w:val="007E5BE2"/>
    <w:rsid w:val="007E5BEA"/>
    <w:rsid w:val="007E5C2F"/>
    <w:rsid w:val="007E5C4C"/>
    <w:rsid w:val="007E5DE7"/>
    <w:rsid w:val="007E5FC3"/>
    <w:rsid w:val="007E5FCA"/>
    <w:rsid w:val="007E60A3"/>
    <w:rsid w:val="007E60AB"/>
    <w:rsid w:val="007E614C"/>
    <w:rsid w:val="007E6206"/>
    <w:rsid w:val="007E64E1"/>
    <w:rsid w:val="007E64E6"/>
    <w:rsid w:val="007E6522"/>
    <w:rsid w:val="007E6578"/>
    <w:rsid w:val="007E685C"/>
    <w:rsid w:val="007E6AC4"/>
    <w:rsid w:val="007E6B1C"/>
    <w:rsid w:val="007E6BC9"/>
    <w:rsid w:val="007E6E43"/>
    <w:rsid w:val="007E6EF2"/>
    <w:rsid w:val="007E6F42"/>
    <w:rsid w:val="007E7069"/>
    <w:rsid w:val="007E707C"/>
    <w:rsid w:val="007E71A5"/>
    <w:rsid w:val="007E7266"/>
    <w:rsid w:val="007E73B3"/>
    <w:rsid w:val="007E73CE"/>
    <w:rsid w:val="007E73FC"/>
    <w:rsid w:val="007E7454"/>
    <w:rsid w:val="007E748C"/>
    <w:rsid w:val="007E74D3"/>
    <w:rsid w:val="007E7593"/>
    <w:rsid w:val="007E75A0"/>
    <w:rsid w:val="007E769D"/>
    <w:rsid w:val="007E7705"/>
    <w:rsid w:val="007E772E"/>
    <w:rsid w:val="007E7A40"/>
    <w:rsid w:val="007E7B51"/>
    <w:rsid w:val="007E7E54"/>
    <w:rsid w:val="007E7E68"/>
    <w:rsid w:val="007E7F63"/>
    <w:rsid w:val="007E7FD0"/>
    <w:rsid w:val="007F0016"/>
    <w:rsid w:val="007F006A"/>
    <w:rsid w:val="007F0538"/>
    <w:rsid w:val="007F054A"/>
    <w:rsid w:val="007F066C"/>
    <w:rsid w:val="007F07F1"/>
    <w:rsid w:val="007F0833"/>
    <w:rsid w:val="007F087F"/>
    <w:rsid w:val="007F092A"/>
    <w:rsid w:val="007F09AC"/>
    <w:rsid w:val="007F0A14"/>
    <w:rsid w:val="007F0A55"/>
    <w:rsid w:val="007F0A5E"/>
    <w:rsid w:val="007F0A8C"/>
    <w:rsid w:val="007F0B9C"/>
    <w:rsid w:val="007F0C04"/>
    <w:rsid w:val="007F0E8D"/>
    <w:rsid w:val="007F0EA2"/>
    <w:rsid w:val="007F1149"/>
    <w:rsid w:val="007F1273"/>
    <w:rsid w:val="007F1278"/>
    <w:rsid w:val="007F1363"/>
    <w:rsid w:val="007F1511"/>
    <w:rsid w:val="007F1919"/>
    <w:rsid w:val="007F191C"/>
    <w:rsid w:val="007F1B07"/>
    <w:rsid w:val="007F1B43"/>
    <w:rsid w:val="007F1BC6"/>
    <w:rsid w:val="007F1E08"/>
    <w:rsid w:val="007F1E84"/>
    <w:rsid w:val="007F1F12"/>
    <w:rsid w:val="007F2144"/>
    <w:rsid w:val="007F2176"/>
    <w:rsid w:val="007F219C"/>
    <w:rsid w:val="007F228C"/>
    <w:rsid w:val="007F2301"/>
    <w:rsid w:val="007F2422"/>
    <w:rsid w:val="007F2555"/>
    <w:rsid w:val="007F26A8"/>
    <w:rsid w:val="007F2A34"/>
    <w:rsid w:val="007F2A55"/>
    <w:rsid w:val="007F2AD3"/>
    <w:rsid w:val="007F2CE6"/>
    <w:rsid w:val="007F2D08"/>
    <w:rsid w:val="007F2E84"/>
    <w:rsid w:val="007F2F03"/>
    <w:rsid w:val="007F30CF"/>
    <w:rsid w:val="007F31EF"/>
    <w:rsid w:val="007F332F"/>
    <w:rsid w:val="007F3334"/>
    <w:rsid w:val="007F33FD"/>
    <w:rsid w:val="007F3501"/>
    <w:rsid w:val="007F36C7"/>
    <w:rsid w:val="007F385B"/>
    <w:rsid w:val="007F3C20"/>
    <w:rsid w:val="007F3C83"/>
    <w:rsid w:val="007F3DC2"/>
    <w:rsid w:val="007F3DC9"/>
    <w:rsid w:val="007F3FE0"/>
    <w:rsid w:val="007F4087"/>
    <w:rsid w:val="007F4131"/>
    <w:rsid w:val="007F4175"/>
    <w:rsid w:val="007F4221"/>
    <w:rsid w:val="007F4589"/>
    <w:rsid w:val="007F458C"/>
    <w:rsid w:val="007F47C3"/>
    <w:rsid w:val="007F4882"/>
    <w:rsid w:val="007F49B8"/>
    <w:rsid w:val="007F4B45"/>
    <w:rsid w:val="007F4B88"/>
    <w:rsid w:val="007F4B9A"/>
    <w:rsid w:val="007F4C79"/>
    <w:rsid w:val="007F4C93"/>
    <w:rsid w:val="007F4E4A"/>
    <w:rsid w:val="007F4F12"/>
    <w:rsid w:val="007F4FA0"/>
    <w:rsid w:val="007F5135"/>
    <w:rsid w:val="007F51E5"/>
    <w:rsid w:val="007F5236"/>
    <w:rsid w:val="007F523C"/>
    <w:rsid w:val="007F5294"/>
    <w:rsid w:val="007F52F4"/>
    <w:rsid w:val="007F52FE"/>
    <w:rsid w:val="007F54B8"/>
    <w:rsid w:val="007F54D4"/>
    <w:rsid w:val="007F54E5"/>
    <w:rsid w:val="007F54EB"/>
    <w:rsid w:val="007F567F"/>
    <w:rsid w:val="007F575C"/>
    <w:rsid w:val="007F5789"/>
    <w:rsid w:val="007F5804"/>
    <w:rsid w:val="007F5822"/>
    <w:rsid w:val="007F59D4"/>
    <w:rsid w:val="007F5A52"/>
    <w:rsid w:val="007F5C12"/>
    <w:rsid w:val="007F5C14"/>
    <w:rsid w:val="007F5C1B"/>
    <w:rsid w:val="007F5D20"/>
    <w:rsid w:val="007F5DC8"/>
    <w:rsid w:val="007F5E74"/>
    <w:rsid w:val="007F5EE6"/>
    <w:rsid w:val="007F5F1C"/>
    <w:rsid w:val="007F5F20"/>
    <w:rsid w:val="007F5F5C"/>
    <w:rsid w:val="007F5FCA"/>
    <w:rsid w:val="007F60A7"/>
    <w:rsid w:val="007F60B1"/>
    <w:rsid w:val="007F6165"/>
    <w:rsid w:val="007F61DC"/>
    <w:rsid w:val="007F6883"/>
    <w:rsid w:val="007F68F0"/>
    <w:rsid w:val="007F6906"/>
    <w:rsid w:val="007F6990"/>
    <w:rsid w:val="007F6A5F"/>
    <w:rsid w:val="007F6A6E"/>
    <w:rsid w:val="007F6AF7"/>
    <w:rsid w:val="007F6C3B"/>
    <w:rsid w:val="007F6CB2"/>
    <w:rsid w:val="007F6E14"/>
    <w:rsid w:val="007F6E99"/>
    <w:rsid w:val="007F6F6F"/>
    <w:rsid w:val="007F6F89"/>
    <w:rsid w:val="007F7010"/>
    <w:rsid w:val="007F7027"/>
    <w:rsid w:val="007F7117"/>
    <w:rsid w:val="007F7210"/>
    <w:rsid w:val="007F735D"/>
    <w:rsid w:val="007F738E"/>
    <w:rsid w:val="007F73A2"/>
    <w:rsid w:val="007F7561"/>
    <w:rsid w:val="007F77E8"/>
    <w:rsid w:val="007F78E2"/>
    <w:rsid w:val="007F7950"/>
    <w:rsid w:val="007F79B8"/>
    <w:rsid w:val="007F7A19"/>
    <w:rsid w:val="007F7BC6"/>
    <w:rsid w:val="007F7C25"/>
    <w:rsid w:val="007F7C79"/>
    <w:rsid w:val="007F7D6A"/>
    <w:rsid w:val="007F7F9B"/>
    <w:rsid w:val="00800186"/>
    <w:rsid w:val="008001B3"/>
    <w:rsid w:val="008002E4"/>
    <w:rsid w:val="008002FB"/>
    <w:rsid w:val="00800342"/>
    <w:rsid w:val="008003F5"/>
    <w:rsid w:val="00800548"/>
    <w:rsid w:val="00800622"/>
    <w:rsid w:val="00800682"/>
    <w:rsid w:val="00800ABF"/>
    <w:rsid w:val="00800B45"/>
    <w:rsid w:val="00800BAF"/>
    <w:rsid w:val="00800C04"/>
    <w:rsid w:val="00800C4F"/>
    <w:rsid w:val="00800CFF"/>
    <w:rsid w:val="00800DD4"/>
    <w:rsid w:val="00800ED3"/>
    <w:rsid w:val="008013BC"/>
    <w:rsid w:val="008015BD"/>
    <w:rsid w:val="008016DE"/>
    <w:rsid w:val="0080193B"/>
    <w:rsid w:val="008019AD"/>
    <w:rsid w:val="00801A6C"/>
    <w:rsid w:val="00801B78"/>
    <w:rsid w:val="00801B7E"/>
    <w:rsid w:val="00801C12"/>
    <w:rsid w:val="00801CB4"/>
    <w:rsid w:val="00801CB9"/>
    <w:rsid w:val="00801CC7"/>
    <w:rsid w:val="00801E63"/>
    <w:rsid w:val="00801EE8"/>
    <w:rsid w:val="00801F2E"/>
    <w:rsid w:val="008021C9"/>
    <w:rsid w:val="008022DB"/>
    <w:rsid w:val="008024BC"/>
    <w:rsid w:val="00802678"/>
    <w:rsid w:val="008026CD"/>
    <w:rsid w:val="0080281D"/>
    <w:rsid w:val="008028DB"/>
    <w:rsid w:val="00802ADF"/>
    <w:rsid w:val="00802AFC"/>
    <w:rsid w:val="00802BCD"/>
    <w:rsid w:val="00802C6B"/>
    <w:rsid w:val="00802F0F"/>
    <w:rsid w:val="00802F26"/>
    <w:rsid w:val="008030C4"/>
    <w:rsid w:val="0080317D"/>
    <w:rsid w:val="0080317E"/>
    <w:rsid w:val="008031DA"/>
    <w:rsid w:val="008031F8"/>
    <w:rsid w:val="0080329F"/>
    <w:rsid w:val="008032DE"/>
    <w:rsid w:val="0080338E"/>
    <w:rsid w:val="008033A1"/>
    <w:rsid w:val="0080342A"/>
    <w:rsid w:val="00803564"/>
    <w:rsid w:val="0080363A"/>
    <w:rsid w:val="00803646"/>
    <w:rsid w:val="00803683"/>
    <w:rsid w:val="008036B4"/>
    <w:rsid w:val="008036B6"/>
    <w:rsid w:val="00803701"/>
    <w:rsid w:val="00803731"/>
    <w:rsid w:val="00803790"/>
    <w:rsid w:val="008037B8"/>
    <w:rsid w:val="0080381F"/>
    <w:rsid w:val="008039AC"/>
    <w:rsid w:val="00803ADD"/>
    <w:rsid w:val="00803B32"/>
    <w:rsid w:val="00803B74"/>
    <w:rsid w:val="00803BBA"/>
    <w:rsid w:val="00803C06"/>
    <w:rsid w:val="00803C1E"/>
    <w:rsid w:val="00803E47"/>
    <w:rsid w:val="00803F4F"/>
    <w:rsid w:val="00804044"/>
    <w:rsid w:val="008040D6"/>
    <w:rsid w:val="008040EB"/>
    <w:rsid w:val="008041C2"/>
    <w:rsid w:val="008042CC"/>
    <w:rsid w:val="00804320"/>
    <w:rsid w:val="008043C0"/>
    <w:rsid w:val="0080446D"/>
    <w:rsid w:val="0080448F"/>
    <w:rsid w:val="0080455E"/>
    <w:rsid w:val="008046AE"/>
    <w:rsid w:val="00804726"/>
    <w:rsid w:val="00804736"/>
    <w:rsid w:val="008047E8"/>
    <w:rsid w:val="00804803"/>
    <w:rsid w:val="00804C41"/>
    <w:rsid w:val="00804CD8"/>
    <w:rsid w:val="00804D25"/>
    <w:rsid w:val="00804D85"/>
    <w:rsid w:val="00804E27"/>
    <w:rsid w:val="00804FFD"/>
    <w:rsid w:val="008052E6"/>
    <w:rsid w:val="0080534D"/>
    <w:rsid w:val="008053BE"/>
    <w:rsid w:val="00805402"/>
    <w:rsid w:val="008054B3"/>
    <w:rsid w:val="008054CA"/>
    <w:rsid w:val="008054F2"/>
    <w:rsid w:val="008055A7"/>
    <w:rsid w:val="0080561A"/>
    <w:rsid w:val="008056A7"/>
    <w:rsid w:val="008056B6"/>
    <w:rsid w:val="008057D3"/>
    <w:rsid w:val="0080585E"/>
    <w:rsid w:val="00805872"/>
    <w:rsid w:val="008058E9"/>
    <w:rsid w:val="00805A91"/>
    <w:rsid w:val="00805BF1"/>
    <w:rsid w:val="00805CFE"/>
    <w:rsid w:val="00805D67"/>
    <w:rsid w:val="00805D8E"/>
    <w:rsid w:val="00805E3D"/>
    <w:rsid w:val="00805E43"/>
    <w:rsid w:val="00805E57"/>
    <w:rsid w:val="00805EB4"/>
    <w:rsid w:val="00806133"/>
    <w:rsid w:val="008061F2"/>
    <w:rsid w:val="00806229"/>
    <w:rsid w:val="0080627D"/>
    <w:rsid w:val="0080634C"/>
    <w:rsid w:val="00806398"/>
    <w:rsid w:val="00806434"/>
    <w:rsid w:val="008065D9"/>
    <w:rsid w:val="0080662C"/>
    <w:rsid w:val="008067B2"/>
    <w:rsid w:val="00806850"/>
    <w:rsid w:val="00806950"/>
    <w:rsid w:val="00806968"/>
    <w:rsid w:val="00806A16"/>
    <w:rsid w:val="00806A74"/>
    <w:rsid w:val="00806B2F"/>
    <w:rsid w:val="00806B8A"/>
    <w:rsid w:val="00806BAF"/>
    <w:rsid w:val="00806BBA"/>
    <w:rsid w:val="00806C80"/>
    <w:rsid w:val="00806CE3"/>
    <w:rsid w:val="00806D4F"/>
    <w:rsid w:val="00806E8B"/>
    <w:rsid w:val="00806E97"/>
    <w:rsid w:val="00806FE5"/>
    <w:rsid w:val="00806FE8"/>
    <w:rsid w:val="0080701B"/>
    <w:rsid w:val="00807024"/>
    <w:rsid w:val="00807068"/>
    <w:rsid w:val="0080715E"/>
    <w:rsid w:val="008071C9"/>
    <w:rsid w:val="008071D2"/>
    <w:rsid w:val="00807321"/>
    <w:rsid w:val="0080738E"/>
    <w:rsid w:val="008073BB"/>
    <w:rsid w:val="008074C9"/>
    <w:rsid w:val="0080756B"/>
    <w:rsid w:val="0080756F"/>
    <w:rsid w:val="00807599"/>
    <w:rsid w:val="008076CD"/>
    <w:rsid w:val="008076FC"/>
    <w:rsid w:val="008077FF"/>
    <w:rsid w:val="008078F5"/>
    <w:rsid w:val="00807960"/>
    <w:rsid w:val="00807A04"/>
    <w:rsid w:val="00807A08"/>
    <w:rsid w:val="00807AED"/>
    <w:rsid w:val="00807BD0"/>
    <w:rsid w:val="00807C76"/>
    <w:rsid w:val="00807E7B"/>
    <w:rsid w:val="00807F4B"/>
    <w:rsid w:val="0080ECDB"/>
    <w:rsid w:val="00810014"/>
    <w:rsid w:val="00810054"/>
    <w:rsid w:val="008100CB"/>
    <w:rsid w:val="00810227"/>
    <w:rsid w:val="00810251"/>
    <w:rsid w:val="008103B1"/>
    <w:rsid w:val="008103B6"/>
    <w:rsid w:val="00810435"/>
    <w:rsid w:val="00810473"/>
    <w:rsid w:val="00810511"/>
    <w:rsid w:val="0081056B"/>
    <w:rsid w:val="00810681"/>
    <w:rsid w:val="008107B2"/>
    <w:rsid w:val="0081090A"/>
    <w:rsid w:val="00810A27"/>
    <w:rsid w:val="00810A9D"/>
    <w:rsid w:val="00810D90"/>
    <w:rsid w:val="00810D9D"/>
    <w:rsid w:val="00810DE9"/>
    <w:rsid w:val="00810E3D"/>
    <w:rsid w:val="00810E79"/>
    <w:rsid w:val="00810FD5"/>
    <w:rsid w:val="00810FE9"/>
    <w:rsid w:val="00811038"/>
    <w:rsid w:val="008112C2"/>
    <w:rsid w:val="008113D6"/>
    <w:rsid w:val="00811626"/>
    <w:rsid w:val="00811683"/>
    <w:rsid w:val="00811939"/>
    <w:rsid w:val="00811955"/>
    <w:rsid w:val="00811CB3"/>
    <w:rsid w:val="00811D1E"/>
    <w:rsid w:val="00811E57"/>
    <w:rsid w:val="00811E60"/>
    <w:rsid w:val="00811F39"/>
    <w:rsid w:val="00811FE3"/>
    <w:rsid w:val="0081200B"/>
    <w:rsid w:val="0081212B"/>
    <w:rsid w:val="008122E6"/>
    <w:rsid w:val="0081235C"/>
    <w:rsid w:val="00812551"/>
    <w:rsid w:val="008125E4"/>
    <w:rsid w:val="008126F8"/>
    <w:rsid w:val="008127D2"/>
    <w:rsid w:val="008128B1"/>
    <w:rsid w:val="008128EB"/>
    <w:rsid w:val="008128FE"/>
    <w:rsid w:val="0081290B"/>
    <w:rsid w:val="0081299E"/>
    <w:rsid w:val="008129BE"/>
    <w:rsid w:val="00812A1F"/>
    <w:rsid w:val="00812B96"/>
    <w:rsid w:val="00812C03"/>
    <w:rsid w:val="00812CE9"/>
    <w:rsid w:val="00812DE9"/>
    <w:rsid w:val="00812E93"/>
    <w:rsid w:val="00813135"/>
    <w:rsid w:val="008131B6"/>
    <w:rsid w:val="008131E9"/>
    <w:rsid w:val="0081340A"/>
    <w:rsid w:val="0081341C"/>
    <w:rsid w:val="0081347C"/>
    <w:rsid w:val="008134AD"/>
    <w:rsid w:val="0081351E"/>
    <w:rsid w:val="00813554"/>
    <w:rsid w:val="008135B3"/>
    <w:rsid w:val="00813642"/>
    <w:rsid w:val="00813686"/>
    <w:rsid w:val="0081378D"/>
    <w:rsid w:val="008137F4"/>
    <w:rsid w:val="00813895"/>
    <w:rsid w:val="00813B6E"/>
    <w:rsid w:val="00813BAF"/>
    <w:rsid w:val="00813BD3"/>
    <w:rsid w:val="00813BF5"/>
    <w:rsid w:val="00813CF3"/>
    <w:rsid w:val="00813D29"/>
    <w:rsid w:val="00813DA3"/>
    <w:rsid w:val="00813E6E"/>
    <w:rsid w:val="00813F6C"/>
    <w:rsid w:val="00814004"/>
    <w:rsid w:val="00814052"/>
    <w:rsid w:val="00814087"/>
    <w:rsid w:val="008140B3"/>
    <w:rsid w:val="00814192"/>
    <w:rsid w:val="00814233"/>
    <w:rsid w:val="008143AA"/>
    <w:rsid w:val="008143EC"/>
    <w:rsid w:val="0081442F"/>
    <w:rsid w:val="00814461"/>
    <w:rsid w:val="008144FA"/>
    <w:rsid w:val="00814625"/>
    <w:rsid w:val="008146C1"/>
    <w:rsid w:val="0081490B"/>
    <w:rsid w:val="00814952"/>
    <w:rsid w:val="00814A22"/>
    <w:rsid w:val="00814A5D"/>
    <w:rsid w:val="00814B9E"/>
    <w:rsid w:val="00814C20"/>
    <w:rsid w:val="00814C60"/>
    <w:rsid w:val="00814E10"/>
    <w:rsid w:val="00814E62"/>
    <w:rsid w:val="00814F31"/>
    <w:rsid w:val="00814FF4"/>
    <w:rsid w:val="008150BA"/>
    <w:rsid w:val="00815139"/>
    <w:rsid w:val="0081529A"/>
    <w:rsid w:val="00815335"/>
    <w:rsid w:val="00815408"/>
    <w:rsid w:val="008154C1"/>
    <w:rsid w:val="008154E7"/>
    <w:rsid w:val="00815510"/>
    <w:rsid w:val="008156DF"/>
    <w:rsid w:val="0081591A"/>
    <w:rsid w:val="00815A1F"/>
    <w:rsid w:val="00815ADB"/>
    <w:rsid w:val="00815B41"/>
    <w:rsid w:val="00815BC4"/>
    <w:rsid w:val="00815BD9"/>
    <w:rsid w:val="00815D9F"/>
    <w:rsid w:val="00815EDD"/>
    <w:rsid w:val="00816198"/>
    <w:rsid w:val="008161E5"/>
    <w:rsid w:val="0081620C"/>
    <w:rsid w:val="0081629B"/>
    <w:rsid w:val="00816374"/>
    <w:rsid w:val="008163C4"/>
    <w:rsid w:val="008165D7"/>
    <w:rsid w:val="008165F2"/>
    <w:rsid w:val="0081663A"/>
    <w:rsid w:val="008167F6"/>
    <w:rsid w:val="0081682F"/>
    <w:rsid w:val="00816849"/>
    <w:rsid w:val="00816890"/>
    <w:rsid w:val="0081693C"/>
    <w:rsid w:val="00816BD6"/>
    <w:rsid w:val="00816C82"/>
    <w:rsid w:val="00816D55"/>
    <w:rsid w:val="00816F33"/>
    <w:rsid w:val="00816F68"/>
    <w:rsid w:val="00816FBE"/>
    <w:rsid w:val="00816FC8"/>
    <w:rsid w:val="0081713B"/>
    <w:rsid w:val="00817243"/>
    <w:rsid w:val="008173D5"/>
    <w:rsid w:val="0081748D"/>
    <w:rsid w:val="0081754D"/>
    <w:rsid w:val="008176C5"/>
    <w:rsid w:val="008177AB"/>
    <w:rsid w:val="0081782A"/>
    <w:rsid w:val="008178C6"/>
    <w:rsid w:val="0081794C"/>
    <w:rsid w:val="00817991"/>
    <w:rsid w:val="008179CA"/>
    <w:rsid w:val="00817BA9"/>
    <w:rsid w:val="00817C05"/>
    <w:rsid w:val="00817C6F"/>
    <w:rsid w:val="00817CAC"/>
    <w:rsid w:val="00817E43"/>
    <w:rsid w:val="00817ECE"/>
    <w:rsid w:val="00817F96"/>
    <w:rsid w:val="00817FDA"/>
    <w:rsid w:val="008201DB"/>
    <w:rsid w:val="008203AA"/>
    <w:rsid w:val="008203FA"/>
    <w:rsid w:val="008204BE"/>
    <w:rsid w:val="00820502"/>
    <w:rsid w:val="00820689"/>
    <w:rsid w:val="00820797"/>
    <w:rsid w:val="008208B2"/>
    <w:rsid w:val="00820A06"/>
    <w:rsid w:val="00820A31"/>
    <w:rsid w:val="00820BA4"/>
    <w:rsid w:val="00820BDD"/>
    <w:rsid w:val="00820CC3"/>
    <w:rsid w:val="00820DD2"/>
    <w:rsid w:val="00820E29"/>
    <w:rsid w:val="00820E50"/>
    <w:rsid w:val="00820E90"/>
    <w:rsid w:val="00820FDB"/>
    <w:rsid w:val="008210C1"/>
    <w:rsid w:val="008210F8"/>
    <w:rsid w:val="0082118E"/>
    <w:rsid w:val="008211B1"/>
    <w:rsid w:val="0082132E"/>
    <w:rsid w:val="008213CD"/>
    <w:rsid w:val="008214CA"/>
    <w:rsid w:val="00821541"/>
    <w:rsid w:val="00821570"/>
    <w:rsid w:val="00821628"/>
    <w:rsid w:val="0082162B"/>
    <w:rsid w:val="00821665"/>
    <w:rsid w:val="008218DB"/>
    <w:rsid w:val="00821ACB"/>
    <w:rsid w:val="00821BDA"/>
    <w:rsid w:val="00821C3D"/>
    <w:rsid w:val="00821DDA"/>
    <w:rsid w:val="00821DFF"/>
    <w:rsid w:val="0082213C"/>
    <w:rsid w:val="0082226A"/>
    <w:rsid w:val="0082234F"/>
    <w:rsid w:val="008223C5"/>
    <w:rsid w:val="008223EE"/>
    <w:rsid w:val="0082250D"/>
    <w:rsid w:val="0082282D"/>
    <w:rsid w:val="00822985"/>
    <w:rsid w:val="008229C2"/>
    <w:rsid w:val="00822CF9"/>
    <w:rsid w:val="00822D37"/>
    <w:rsid w:val="00822D71"/>
    <w:rsid w:val="00822EA6"/>
    <w:rsid w:val="00822EC3"/>
    <w:rsid w:val="00822F3D"/>
    <w:rsid w:val="00823106"/>
    <w:rsid w:val="008231CB"/>
    <w:rsid w:val="008232D8"/>
    <w:rsid w:val="008234A1"/>
    <w:rsid w:val="008236E1"/>
    <w:rsid w:val="00823892"/>
    <w:rsid w:val="00823B11"/>
    <w:rsid w:val="00823B16"/>
    <w:rsid w:val="00823B26"/>
    <w:rsid w:val="00823BBD"/>
    <w:rsid w:val="00823C6F"/>
    <w:rsid w:val="00823C80"/>
    <w:rsid w:val="00823F5C"/>
    <w:rsid w:val="00823FDF"/>
    <w:rsid w:val="0082408B"/>
    <w:rsid w:val="008240E2"/>
    <w:rsid w:val="0082430E"/>
    <w:rsid w:val="00824387"/>
    <w:rsid w:val="008244C6"/>
    <w:rsid w:val="00824867"/>
    <w:rsid w:val="00824979"/>
    <w:rsid w:val="00824B3F"/>
    <w:rsid w:val="00824C64"/>
    <w:rsid w:val="00824D85"/>
    <w:rsid w:val="00824FDA"/>
    <w:rsid w:val="008251DB"/>
    <w:rsid w:val="008251E3"/>
    <w:rsid w:val="00825200"/>
    <w:rsid w:val="00825299"/>
    <w:rsid w:val="008252BA"/>
    <w:rsid w:val="008252F0"/>
    <w:rsid w:val="00825305"/>
    <w:rsid w:val="00825321"/>
    <w:rsid w:val="008257D4"/>
    <w:rsid w:val="00825958"/>
    <w:rsid w:val="00825B4D"/>
    <w:rsid w:val="00825C35"/>
    <w:rsid w:val="00825CB4"/>
    <w:rsid w:val="00825D1D"/>
    <w:rsid w:val="00825D6E"/>
    <w:rsid w:val="00825DA2"/>
    <w:rsid w:val="00825DD5"/>
    <w:rsid w:val="00825EB9"/>
    <w:rsid w:val="00826053"/>
    <w:rsid w:val="0082606D"/>
    <w:rsid w:val="0082615C"/>
    <w:rsid w:val="008261C9"/>
    <w:rsid w:val="008262C4"/>
    <w:rsid w:val="00826485"/>
    <w:rsid w:val="0082654C"/>
    <w:rsid w:val="00826564"/>
    <w:rsid w:val="00826576"/>
    <w:rsid w:val="008265EA"/>
    <w:rsid w:val="0082664E"/>
    <w:rsid w:val="0082673F"/>
    <w:rsid w:val="00826A41"/>
    <w:rsid w:val="00826B09"/>
    <w:rsid w:val="00826B5C"/>
    <w:rsid w:val="00826C10"/>
    <w:rsid w:val="00826D3D"/>
    <w:rsid w:val="00826EC2"/>
    <w:rsid w:val="00826F70"/>
    <w:rsid w:val="00826F80"/>
    <w:rsid w:val="00827145"/>
    <w:rsid w:val="00827441"/>
    <w:rsid w:val="0082764A"/>
    <w:rsid w:val="00827657"/>
    <w:rsid w:val="008276C1"/>
    <w:rsid w:val="008277A3"/>
    <w:rsid w:val="0082785B"/>
    <w:rsid w:val="008278DA"/>
    <w:rsid w:val="00827ADA"/>
    <w:rsid w:val="00827C85"/>
    <w:rsid w:val="00827C98"/>
    <w:rsid w:val="00827E66"/>
    <w:rsid w:val="00827EA1"/>
    <w:rsid w:val="00827F84"/>
    <w:rsid w:val="008301E3"/>
    <w:rsid w:val="00830225"/>
    <w:rsid w:val="00830294"/>
    <w:rsid w:val="00830377"/>
    <w:rsid w:val="0083049F"/>
    <w:rsid w:val="008304E1"/>
    <w:rsid w:val="00830527"/>
    <w:rsid w:val="0083056C"/>
    <w:rsid w:val="008306B3"/>
    <w:rsid w:val="008306FA"/>
    <w:rsid w:val="008307DD"/>
    <w:rsid w:val="00830941"/>
    <w:rsid w:val="0083099F"/>
    <w:rsid w:val="00830B6E"/>
    <w:rsid w:val="00830BC1"/>
    <w:rsid w:val="00830C78"/>
    <w:rsid w:val="00830F10"/>
    <w:rsid w:val="00831040"/>
    <w:rsid w:val="008313AE"/>
    <w:rsid w:val="008313DF"/>
    <w:rsid w:val="0083146A"/>
    <w:rsid w:val="00831561"/>
    <w:rsid w:val="00831595"/>
    <w:rsid w:val="008316B7"/>
    <w:rsid w:val="008316D3"/>
    <w:rsid w:val="008316F8"/>
    <w:rsid w:val="0083178C"/>
    <w:rsid w:val="00831821"/>
    <w:rsid w:val="0083186D"/>
    <w:rsid w:val="008318BE"/>
    <w:rsid w:val="0083196C"/>
    <w:rsid w:val="00831A10"/>
    <w:rsid w:val="00831B87"/>
    <w:rsid w:val="00831C23"/>
    <w:rsid w:val="00831C81"/>
    <w:rsid w:val="00831D65"/>
    <w:rsid w:val="00831E67"/>
    <w:rsid w:val="00831F76"/>
    <w:rsid w:val="00831FB1"/>
    <w:rsid w:val="00832166"/>
    <w:rsid w:val="008322D6"/>
    <w:rsid w:val="008323E6"/>
    <w:rsid w:val="00832547"/>
    <w:rsid w:val="0083254E"/>
    <w:rsid w:val="008325E5"/>
    <w:rsid w:val="0083277A"/>
    <w:rsid w:val="0083289F"/>
    <w:rsid w:val="00832A17"/>
    <w:rsid w:val="00832AFA"/>
    <w:rsid w:val="00832C05"/>
    <w:rsid w:val="00832C29"/>
    <w:rsid w:val="00832CA7"/>
    <w:rsid w:val="00832CEA"/>
    <w:rsid w:val="00832CEE"/>
    <w:rsid w:val="00832CF8"/>
    <w:rsid w:val="00832D75"/>
    <w:rsid w:val="00833123"/>
    <w:rsid w:val="00833213"/>
    <w:rsid w:val="00833256"/>
    <w:rsid w:val="0083331F"/>
    <w:rsid w:val="0083338D"/>
    <w:rsid w:val="0083346D"/>
    <w:rsid w:val="008335D2"/>
    <w:rsid w:val="008335D8"/>
    <w:rsid w:val="008339DD"/>
    <w:rsid w:val="00833A1A"/>
    <w:rsid w:val="00833C43"/>
    <w:rsid w:val="00833C8F"/>
    <w:rsid w:val="00833F07"/>
    <w:rsid w:val="00833F09"/>
    <w:rsid w:val="00834214"/>
    <w:rsid w:val="00834224"/>
    <w:rsid w:val="0083425A"/>
    <w:rsid w:val="00834377"/>
    <w:rsid w:val="00834414"/>
    <w:rsid w:val="0083446D"/>
    <w:rsid w:val="0083447C"/>
    <w:rsid w:val="008344F1"/>
    <w:rsid w:val="008345B9"/>
    <w:rsid w:val="0083467C"/>
    <w:rsid w:val="008346BB"/>
    <w:rsid w:val="008346F7"/>
    <w:rsid w:val="00834A58"/>
    <w:rsid w:val="00834AA9"/>
    <w:rsid w:val="00834AAA"/>
    <w:rsid w:val="00834AE0"/>
    <w:rsid w:val="00834BAA"/>
    <w:rsid w:val="00834BAE"/>
    <w:rsid w:val="00834C8E"/>
    <w:rsid w:val="00834D61"/>
    <w:rsid w:val="00834DA7"/>
    <w:rsid w:val="00834EB3"/>
    <w:rsid w:val="00834F49"/>
    <w:rsid w:val="00834F80"/>
    <w:rsid w:val="00834F85"/>
    <w:rsid w:val="00834FB7"/>
    <w:rsid w:val="00835163"/>
    <w:rsid w:val="008351AD"/>
    <w:rsid w:val="00835427"/>
    <w:rsid w:val="00835439"/>
    <w:rsid w:val="008354E0"/>
    <w:rsid w:val="0083560D"/>
    <w:rsid w:val="00835712"/>
    <w:rsid w:val="00835731"/>
    <w:rsid w:val="00835784"/>
    <w:rsid w:val="008357DB"/>
    <w:rsid w:val="0083582C"/>
    <w:rsid w:val="0083583F"/>
    <w:rsid w:val="00835AD9"/>
    <w:rsid w:val="00835B8D"/>
    <w:rsid w:val="00835BB8"/>
    <w:rsid w:val="00835BEE"/>
    <w:rsid w:val="00835CF5"/>
    <w:rsid w:val="00835D25"/>
    <w:rsid w:val="00835D8F"/>
    <w:rsid w:val="00835E1B"/>
    <w:rsid w:val="00835FF6"/>
    <w:rsid w:val="00836051"/>
    <w:rsid w:val="008360FB"/>
    <w:rsid w:val="00836126"/>
    <w:rsid w:val="008361EB"/>
    <w:rsid w:val="00836200"/>
    <w:rsid w:val="008362A2"/>
    <w:rsid w:val="00836634"/>
    <w:rsid w:val="0083665D"/>
    <w:rsid w:val="008367E7"/>
    <w:rsid w:val="008368CF"/>
    <w:rsid w:val="008368F1"/>
    <w:rsid w:val="0083691E"/>
    <w:rsid w:val="0083694C"/>
    <w:rsid w:val="00836964"/>
    <w:rsid w:val="00836C7C"/>
    <w:rsid w:val="00836D81"/>
    <w:rsid w:val="00836D8B"/>
    <w:rsid w:val="00836F42"/>
    <w:rsid w:val="00836FE1"/>
    <w:rsid w:val="0083701B"/>
    <w:rsid w:val="00837079"/>
    <w:rsid w:val="008370C3"/>
    <w:rsid w:val="00837342"/>
    <w:rsid w:val="00837381"/>
    <w:rsid w:val="00837391"/>
    <w:rsid w:val="00837657"/>
    <w:rsid w:val="00837709"/>
    <w:rsid w:val="008377B9"/>
    <w:rsid w:val="008377E9"/>
    <w:rsid w:val="0083795D"/>
    <w:rsid w:val="00837961"/>
    <w:rsid w:val="00837B7C"/>
    <w:rsid w:val="00837BB8"/>
    <w:rsid w:val="00837C72"/>
    <w:rsid w:val="00837D8E"/>
    <w:rsid w:val="00837ED4"/>
    <w:rsid w:val="00837F85"/>
    <w:rsid w:val="00840171"/>
    <w:rsid w:val="0084039B"/>
    <w:rsid w:val="008403D8"/>
    <w:rsid w:val="008403DF"/>
    <w:rsid w:val="0084048B"/>
    <w:rsid w:val="00840613"/>
    <w:rsid w:val="00840755"/>
    <w:rsid w:val="00840936"/>
    <w:rsid w:val="00840CBA"/>
    <w:rsid w:val="00840E6D"/>
    <w:rsid w:val="00840EF7"/>
    <w:rsid w:val="00840F2C"/>
    <w:rsid w:val="00841056"/>
    <w:rsid w:val="0084112C"/>
    <w:rsid w:val="0084124E"/>
    <w:rsid w:val="008412F5"/>
    <w:rsid w:val="00841370"/>
    <w:rsid w:val="00841437"/>
    <w:rsid w:val="00841786"/>
    <w:rsid w:val="00841818"/>
    <w:rsid w:val="00841823"/>
    <w:rsid w:val="00841900"/>
    <w:rsid w:val="0084192E"/>
    <w:rsid w:val="00841987"/>
    <w:rsid w:val="00841AC5"/>
    <w:rsid w:val="00841F94"/>
    <w:rsid w:val="00841FB5"/>
    <w:rsid w:val="008421BA"/>
    <w:rsid w:val="00842211"/>
    <w:rsid w:val="00842256"/>
    <w:rsid w:val="008422A0"/>
    <w:rsid w:val="008422D3"/>
    <w:rsid w:val="00842343"/>
    <w:rsid w:val="008424EB"/>
    <w:rsid w:val="008424F6"/>
    <w:rsid w:val="00842728"/>
    <w:rsid w:val="008427B4"/>
    <w:rsid w:val="00842837"/>
    <w:rsid w:val="0084296E"/>
    <w:rsid w:val="00842A9A"/>
    <w:rsid w:val="00842D08"/>
    <w:rsid w:val="00842E27"/>
    <w:rsid w:val="00842EE4"/>
    <w:rsid w:val="00842F02"/>
    <w:rsid w:val="008430D0"/>
    <w:rsid w:val="008431E9"/>
    <w:rsid w:val="00843289"/>
    <w:rsid w:val="0084337B"/>
    <w:rsid w:val="008433B6"/>
    <w:rsid w:val="00843668"/>
    <w:rsid w:val="00843676"/>
    <w:rsid w:val="008436A8"/>
    <w:rsid w:val="008436D1"/>
    <w:rsid w:val="008436DE"/>
    <w:rsid w:val="00843913"/>
    <w:rsid w:val="008439D9"/>
    <w:rsid w:val="008439E1"/>
    <w:rsid w:val="00843A68"/>
    <w:rsid w:val="00843A9D"/>
    <w:rsid w:val="00843AA5"/>
    <w:rsid w:val="00843DC7"/>
    <w:rsid w:val="00843E90"/>
    <w:rsid w:val="00843F36"/>
    <w:rsid w:val="00843F7A"/>
    <w:rsid w:val="0084408C"/>
    <w:rsid w:val="0084409E"/>
    <w:rsid w:val="008440CF"/>
    <w:rsid w:val="0084429D"/>
    <w:rsid w:val="008442D3"/>
    <w:rsid w:val="00844334"/>
    <w:rsid w:val="00844342"/>
    <w:rsid w:val="008443CB"/>
    <w:rsid w:val="008443F2"/>
    <w:rsid w:val="008444D9"/>
    <w:rsid w:val="00844649"/>
    <w:rsid w:val="00844674"/>
    <w:rsid w:val="0084467E"/>
    <w:rsid w:val="008446FD"/>
    <w:rsid w:val="0084488E"/>
    <w:rsid w:val="00844968"/>
    <w:rsid w:val="00844A9B"/>
    <w:rsid w:val="00844D7A"/>
    <w:rsid w:val="00844E12"/>
    <w:rsid w:val="0084500C"/>
    <w:rsid w:val="008450E7"/>
    <w:rsid w:val="00845158"/>
    <w:rsid w:val="0084515F"/>
    <w:rsid w:val="008452B2"/>
    <w:rsid w:val="00845322"/>
    <w:rsid w:val="00845375"/>
    <w:rsid w:val="0084542F"/>
    <w:rsid w:val="008454EA"/>
    <w:rsid w:val="0084555F"/>
    <w:rsid w:val="0084566C"/>
    <w:rsid w:val="0084569F"/>
    <w:rsid w:val="008457DC"/>
    <w:rsid w:val="008458B3"/>
    <w:rsid w:val="00845B0A"/>
    <w:rsid w:val="00845BBA"/>
    <w:rsid w:val="00845C86"/>
    <w:rsid w:val="00845D4D"/>
    <w:rsid w:val="00845E4E"/>
    <w:rsid w:val="00845F65"/>
    <w:rsid w:val="00845F7F"/>
    <w:rsid w:val="00845FB2"/>
    <w:rsid w:val="008460AD"/>
    <w:rsid w:val="008461BD"/>
    <w:rsid w:val="008462F0"/>
    <w:rsid w:val="00846456"/>
    <w:rsid w:val="008464D3"/>
    <w:rsid w:val="0084662C"/>
    <w:rsid w:val="00846824"/>
    <w:rsid w:val="008468CF"/>
    <w:rsid w:val="00846A2B"/>
    <w:rsid w:val="00846A3E"/>
    <w:rsid w:val="00846A6F"/>
    <w:rsid w:val="00846B8D"/>
    <w:rsid w:val="00846BA5"/>
    <w:rsid w:val="00846BC1"/>
    <w:rsid w:val="00846D19"/>
    <w:rsid w:val="00846DAA"/>
    <w:rsid w:val="00846E59"/>
    <w:rsid w:val="00846E64"/>
    <w:rsid w:val="00846F1D"/>
    <w:rsid w:val="00846FB7"/>
    <w:rsid w:val="00847519"/>
    <w:rsid w:val="0084755C"/>
    <w:rsid w:val="00847560"/>
    <w:rsid w:val="0084766E"/>
    <w:rsid w:val="008476FB"/>
    <w:rsid w:val="0084797D"/>
    <w:rsid w:val="008479A5"/>
    <w:rsid w:val="008479B7"/>
    <w:rsid w:val="008479DB"/>
    <w:rsid w:val="008479EC"/>
    <w:rsid w:val="00847A49"/>
    <w:rsid w:val="00847A4D"/>
    <w:rsid w:val="00847A99"/>
    <w:rsid w:val="00847AB4"/>
    <w:rsid w:val="00847B28"/>
    <w:rsid w:val="00847B3D"/>
    <w:rsid w:val="00847BE5"/>
    <w:rsid w:val="00847D92"/>
    <w:rsid w:val="00847D9C"/>
    <w:rsid w:val="00847E42"/>
    <w:rsid w:val="00847FD1"/>
    <w:rsid w:val="00850006"/>
    <w:rsid w:val="0085007F"/>
    <w:rsid w:val="008500DD"/>
    <w:rsid w:val="008500EE"/>
    <w:rsid w:val="00850131"/>
    <w:rsid w:val="00850265"/>
    <w:rsid w:val="00850291"/>
    <w:rsid w:val="00850433"/>
    <w:rsid w:val="008504A2"/>
    <w:rsid w:val="00850564"/>
    <w:rsid w:val="008505D7"/>
    <w:rsid w:val="0085083B"/>
    <w:rsid w:val="00850866"/>
    <w:rsid w:val="008508DC"/>
    <w:rsid w:val="00850B08"/>
    <w:rsid w:val="00850B8B"/>
    <w:rsid w:val="00850BE5"/>
    <w:rsid w:val="00850C06"/>
    <w:rsid w:val="00850C13"/>
    <w:rsid w:val="00850D6F"/>
    <w:rsid w:val="00850E48"/>
    <w:rsid w:val="00850E6D"/>
    <w:rsid w:val="00850F9F"/>
    <w:rsid w:val="00850FC0"/>
    <w:rsid w:val="0085103A"/>
    <w:rsid w:val="0085110B"/>
    <w:rsid w:val="0085111B"/>
    <w:rsid w:val="00851355"/>
    <w:rsid w:val="008514CF"/>
    <w:rsid w:val="00851609"/>
    <w:rsid w:val="0085181A"/>
    <w:rsid w:val="00851859"/>
    <w:rsid w:val="008518B3"/>
    <w:rsid w:val="0085197D"/>
    <w:rsid w:val="008519D3"/>
    <w:rsid w:val="00851A27"/>
    <w:rsid w:val="00851C80"/>
    <w:rsid w:val="00851D5C"/>
    <w:rsid w:val="00851EB8"/>
    <w:rsid w:val="00851EC7"/>
    <w:rsid w:val="00851F70"/>
    <w:rsid w:val="00851FBE"/>
    <w:rsid w:val="00852090"/>
    <w:rsid w:val="00852145"/>
    <w:rsid w:val="00852190"/>
    <w:rsid w:val="00852302"/>
    <w:rsid w:val="00852404"/>
    <w:rsid w:val="00852608"/>
    <w:rsid w:val="0085260D"/>
    <w:rsid w:val="0085283F"/>
    <w:rsid w:val="008528C0"/>
    <w:rsid w:val="00852962"/>
    <w:rsid w:val="00852A10"/>
    <w:rsid w:val="00852A21"/>
    <w:rsid w:val="00852A87"/>
    <w:rsid w:val="00852E4C"/>
    <w:rsid w:val="00852EC7"/>
    <w:rsid w:val="00853001"/>
    <w:rsid w:val="0085309F"/>
    <w:rsid w:val="0085333E"/>
    <w:rsid w:val="008533B6"/>
    <w:rsid w:val="00853474"/>
    <w:rsid w:val="008535E6"/>
    <w:rsid w:val="00853631"/>
    <w:rsid w:val="00853A7D"/>
    <w:rsid w:val="00853AE1"/>
    <w:rsid w:val="00853AE6"/>
    <w:rsid w:val="00853C65"/>
    <w:rsid w:val="0085403F"/>
    <w:rsid w:val="0085407E"/>
    <w:rsid w:val="0085413A"/>
    <w:rsid w:val="008542A4"/>
    <w:rsid w:val="008542D0"/>
    <w:rsid w:val="00854381"/>
    <w:rsid w:val="008544CE"/>
    <w:rsid w:val="008544F9"/>
    <w:rsid w:val="00854624"/>
    <w:rsid w:val="008547B4"/>
    <w:rsid w:val="00854888"/>
    <w:rsid w:val="00854995"/>
    <w:rsid w:val="00854BB9"/>
    <w:rsid w:val="00854D86"/>
    <w:rsid w:val="00854E59"/>
    <w:rsid w:val="008551ED"/>
    <w:rsid w:val="00855238"/>
    <w:rsid w:val="00855318"/>
    <w:rsid w:val="00855529"/>
    <w:rsid w:val="0085554B"/>
    <w:rsid w:val="00855628"/>
    <w:rsid w:val="008556A3"/>
    <w:rsid w:val="00855743"/>
    <w:rsid w:val="00855745"/>
    <w:rsid w:val="00855783"/>
    <w:rsid w:val="0085586F"/>
    <w:rsid w:val="0085592C"/>
    <w:rsid w:val="00855A9B"/>
    <w:rsid w:val="00855AF0"/>
    <w:rsid w:val="00855C16"/>
    <w:rsid w:val="00855D56"/>
    <w:rsid w:val="00855E8D"/>
    <w:rsid w:val="00855F29"/>
    <w:rsid w:val="00855F60"/>
    <w:rsid w:val="00855F90"/>
    <w:rsid w:val="0085603E"/>
    <w:rsid w:val="00856041"/>
    <w:rsid w:val="00856186"/>
    <w:rsid w:val="008561BF"/>
    <w:rsid w:val="00856294"/>
    <w:rsid w:val="0085630D"/>
    <w:rsid w:val="0085638C"/>
    <w:rsid w:val="008565BC"/>
    <w:rsid w:val="0085660C"/>
    <w:rsid w:val="00856904"/>
    <w:rsid w:val="0085693E"/>
    <w:rsid w:val="00856A45"/>
    <w:rsid w:val="00856B3D"/>
    <w:rsid w:val="00856B4E"/>
    <w:rsid w:val="00856D1B"/>
    <w:rsid w:val="0085712A"/>
    <w:rsid w:val="0085713B"/>
    <w:rsid w:val="00857170"/>
    <w:rsid w:val="00857313"/>
    <w:rsid w:val="00857332"/>
    <w:rsid w:val="00857355"/>
    <w:rsid w:val="00857618"/>
    <w:rsid w:val="00857642"/>
    <w:rsid w:val="008576F4"/>
    <w:rsid w:val="008577AC"/>
    <w:rsid w:val="00857803"/>
    <w:rsid w:val="00857A42"/>
    <w:rsid w:val="00857B11"/>
    <w:rsid w:val="00857BFC"/>
    <w:rsid w:val="00857D16"/>
    <w:rsid w:val="00860057"/>
    <w:rsid w:val="008600D6"/>
    <w:rsid w:val="0086018E"/>
    <w:rsid w:val="00860358"/>
    <w:rsid w:val="00860484"/>
    <w:rsid w:val="00860496"/>
    <w:rsid w:val="008606B2"/>
    <w:rsid w:val="0086072F"/>
    <w:rsid w:val="00860807"/>
    <w:rsid w:val="00860839"/>
    <w:rsid w:val="00860849"/>
    <w:rsid w:val="0086088D"/>
    <w:rsid w:val="008608B8"/>
    <w:rsid w:val="0086096C"/>
    <w:rsid w:val="008609F4"/>
    <w:rsid w:val="00860A31"/>
    <w:rsid w:val="00860D63"/>
    <w:rsid w:val="00860DD8"/>
    <w:rsid w:val="00861165"/>
    <w:rsid w:val="008611C3"/>
    <w:rsid w:val="0086131F"/>
    <w:rsid w:val="0086141F"/>
    <w:rsid w:val="008615FD"/>
    <w:rsid w:val="0086171F"/>
    <w:rsid w:val="00861773"/>
    <w:rsid w:val="0086189A"/>
    <w:rsid w:val="008619AF"/>
    <w:rsid w:val="00861B32"/>
    <w:rsid w:val="00861BEE"/>
    <w:rsid w:val="00861C01"/>
    <w:rsid w:val="00861C5D"/>
    <w:rsid w:val="00861C8C"/>
    <w:rsid w:val="00861CBA"/>
    <w:rsid w:val="00861DB4"/>
    <w:rsid w:val="00861E33"/>
    <w:rsid w:val="00861EE6"/>
    <w:rsid w:val="00861F0D"/>
    <w:rsid w:val="00861F1A"/>
    <w:rsid w:val="008620BB"/>
    <w:rsid w:val="00862115"/>
    <w:rsid w:val="0086219E"/>
    <w:rsid w:val="0086229D"/>
    <w:rsid w:val="008623D5"/>
    <w:rsid w:val="00862414"/>
    <w:rsid w:val="008624D1"/>
    <w:rsid w:val="0086255D"/>
    <w:rsid w:val="008625DA"/>
    <w:rsid w:val="00862739"/>
    <w:rsid w:val="0086276E"/>
    <w:rsid w:val="00862867"/>
    <w:rsid w:val="008628E4"/>
    <w:rsid w:val="00862936"/>
    <w:rsid w:val="008629AF"/>
    <w:rsid w:val="00862A6A"/>
    <w:rsid w:val="00862DFF"/>
    <w:rsid w:val="00862E31"/>
    <w:rsid w:val="00863106"/>
    <w:rsid w:val="00863176"/>
    <w:rsid w:val="00863502"/>
    <w:rsid w:val="0086357B"/>
    <w:rsid w:val="00863781"/>
    <w:rsid w:val="008637C7"/>
    <w:rsid w:val="008638A3"/>
    <w:rsid w:val="00863960"/>
    <w:rsid w:val="00863AB7"/>
    <w:rsid w:val="00863AD1"/>
    <w:rsid w:val="00863B59"/>
    <w:rsid w:val="00863BEE"/>
    <w:rsid w:val="00863C19"/>
    <w:rsid w:val="00863D9E"/>
    <w:rsid w:val="00863F09"/>
    <w:rsid w:val="00863F69"/>
    <w:rsid w:val="00864010"/>
    <w:rsid w:val="008641A4"/>
    <w:rsid w:val="00864389"/>
    <w:rsid w:val="0086439E"/>
    <w:rsid w:val="008643E9"/>
    <w:rsid w:val="00864479"/>
    <w:rsid w:val="008647A3"/>
    <w:rsid w:val="008647D7"/>
    <w:rsid w:val="00864BDB"/>
    <w:rsid w:val="00864EF0"/>
    <w:rsid w:val="00865121"/>
    <w:rsid w:val="008651D5"/>
    <w:rsid w:val="0086524F"/>
    <w:rsid w:val="008652A3"/>
    <w:rsid w:val="00865312"/>
    <w:rsid w:val="0086535E"/>
    <w:rsid w:val="008654B7"/>
    <w:rsid w:val="008656B3"/>
    <w:rsid w:val="008656FB"/>
    <w:rsid w:val="0086570F"/>
    <w:rsid w:val="0086572A"/>
    <w:rsid w:val="00865765"/>
    <w:rsid w:val="008657D9"/>
    <w:rsid w:val="008657FB"/>
    <w:rsid w:val="00865893"/>
    <w:rsid w:val="008658E5"/>
    <w:rsid w:val="0086594C"/>
    <w:rsid w:val="00865AA8"/>
    <w:rsid w:val="00865AB8"/>
    <w:rsid w:val="00865B0B"/>
    <w:rsid w:val="00865CAF"/>
    <w:rsid w:val="00865CBA"/>
    <w:rsid w:val="00865E3D"/>
    <w:rsid w:val="00865EE6"/>
    <w:rsid w:val="00866115"/>
    <w:rsid w:val="00866292"/>
    <w:rsid w:val="008663B7"/>
    <w:rsid w:val="0086661E"/>
    <w:rsid w:val="00866631"/>
    <w:rsid w:val="00866690"/>
    <w:rsid w:val="00866812"/>
    <w:rsid w:val="00866840"/>
    <w:rsid w:val="00866970"/>
    <w:rsid w:val="00866A69"/>
    <w:rsid w:val="00866B00"/>
    <w:rsid w:val="00866B5F"/>
    <w:rsid w:val="00866B6B"/>
    <w:rsid w:val="00866D51"/>
    <w:rsid w:val="00866F87"/>
    <w:rsid w:val="00867129"/>
    <w:rsid w:val="00867149"/>
    <w:rsid w:val="0086726B"/>
    <w:rsid w:val="0086730A"/>
    <w:rsid w:val="0086739F"/>
    <w:rsid w:val="008673CC"/>
    <w:rsid w:val="008673F2"/>
    <w:rsid w:val="00867497"/>
    <w:rsid w:val="00867653"/>
    <w:rsid w:val="0086771C"/>
    <w:rsid w:val="0086785B"/>
    <w:rsid w:val="0086796C"/>
    <w:rsid w:val="0086798A"/>
    <w:rsid w:val="008679BC"/>
    <w:rsid w:val="00867A34"/>
    <w:rsid w:val="00867A7F"/>
    <w:rsid w:val="00867D6A"/>
    <w:rsid w:val="00867DF2"/>
    <w:rsid w:val="00867E91"/>
    <w:rsid w:val="00867F03"/>
    <w:rsid w:val="00867F10"/>
    <w:rsid w:val="00867F11"/>
    <w:rsid w:val="0087016A"/>
    <w:rsid w:val="00870197"/>
    <w:rsid w:val="0087020E"/>
    <w:rsid w:val="00870216"/>
    <w:rsid w:val="008703A9"/>
    <w:rsid w:val="008703BB"/>
    <w:rsid w:val="008704AB"/>
    <w:rsid w:val="008707A2"/>
    <w:rsid w:val="00870844"/>
    <w:rsid w:val="00870867"/>
    <w:rsid w:val="00870900"/>
    <w:rsid w:val="00870905"/>
    <w:rsid w:val="00870A34"/>
    <w:rsid w:val="00870A8F"/>
    <w:rsid w:val="00870BF7"/>
    <w:rsid w:val="00870C87"/>
    <w:rsid w:val="00870DEE"/>
    <w:rsid w:val="00870F82"/>
    <w:rsid w:val="00870FBB"/>
    <w:rsid w:val="0087125A"/>
    <w:rsid w:val="00871434"/>
    <w:rsid w:val="0087143A"/>
    <w:rsid w:val="00871642"/>
    <w:rsid w:val="0087169B"/>
    <w:rsid w:val="0087172F"/>
    <w:rsid w:val="0087189A"/>
    <w:rsid w:val="0087195A"/>
    <w:rsid w:val="00871B29"/>
    <w:rsid w:val="00871BE9"/>
    <w:rsid w:val="00871D57"/>
    <w:rsid w:val="00871DFC"/>
    <w:rsid w:val="00871F25"/>
    <w:rsid w:val="00872003"/>
    <w:rsid w:val="008720CE"/>
    <w:rsid w:val="00872425"/>
    <w:rsid w:val="0087249F"/>
    <w:rsid w:val="008726B5"/>
    <w:rsid w:val="008726C5"/>
    <w:rsid w:val="008727E2"/>
    <w:rsid w:val="00872870"/>
    <w:rsid w:val="00872975"/>
    <w:rsid w:val="00872A68"/>
    <w:rsid w:val="00872A88"/>
    <w:rsid w:val="00872CCB"/>
    <w:rsid w:val="00872DD0"/>
    <w:rsid w:val="00872DE0"/>
    <w:rsid w:val="00872E27"/>
    <w:rsid w:val="00872E2D"/>
    <w:rsid w:val="00872E69"/>
    <w:rsid w:val="00872EED"/>
    <w:rsid w:val="00872EF6"/>
    <w:rsid w:val="00873179"/>
    <w:rsid w:val="0087341D"/>
    <w:rsid w:val="00873430"/>
    <w:rsid w:val="00873535"/>
    <w:rsid w:val="00873692"/>
    <w:rsid w:val="008736AE"/>
    <w:rsid w:val="00873708"/>
    <w:rsid w:val="00873AD3"/>
    <w:rsid w:val="00873AFD"/>
    <w:rsid w:val="00873B16"/>
    <w:rsid w:val="00873B7B"/>
    <w:rsid w:val="00873B8C"/>
    <w:rsid w:val="00873F58"/>
    <w:rsid w:val="0087403E"/>
    <w:rsid w:val="0087404A"/>
    <w:rsid w:val="008740F3"/>
    <w:rsid w:val="008741C8"/>
    <w:rsid w:val="00874261"/>
    <w:rsid w:val="008743DE"/>
    <w:rsid w:val="00874470"/>
    <w:rsid w:val="00874596"/>
    <w:rsid w:val="00874688"/>
    <w:rsid w:val="008746AA"/>
    <w:rsid w:val="008746DF"/>
    <w:rsid w:val="0087479B"/>
    <w:rsid w:val="00874BC6"/>
    <w:rsid w:val="00874C07"/>
    <w:rsid w:val="00874D58"/>
    <w:rsid w:val="00874E03"/>
    <w:rsid w:val="00874E53"/>
    <w:rsid w:val="00874EBA"/>
    <w:rsid w:val="00874F9D"/>
    <w:rsid w:val="008752AC"/>
    <w:rsid w:val="008753C5"/>
    <w:rsid w:val="0087542D"/>
    <w:rsid w:val="00875494"/>
    <w:rsid w:val="00875538"/>
    <w:rsid w:val="0087565E"/>
    <w:rsid w:val="008756D9"/>
    <w:rsid w:val="00875742"/>
    <w:rsid w:val="00875871"/>
    <w:rsid w:val="00875877"/>
    <w:rsid w:val="008758C1"/>
    <w:rsid w:val="00875930"/>
    <w:rsid w:val="008759CE"/>
    <w:rsid w:val="00875A35"/>
    <w:rsid w:val="00875A5E"/>
    <w:rsid w:val="00875B0C"/>
    <w:rsid w:val="00875CB9"/>
    <w:rsid w:val="00875E83"/>
    <w:rsid w:val="00876056"/>
    <w:rsid w:val="008761E5"/>
    <w:rsid w:val="008763DA"/>
    <w:rsid w:val="008765A6"/>
    <w:rsid w:val="00876616"/>
    <w:rsid w:val="00876705"/>
    <w:rsid w:val="0087671E"/>
    <w:rsid w:val="008769D2"/>
    <w:rsid w:val="00876A2E"/>
    <w:rsid w:val="00876A97"/>
    <w:rsid w:val="00876B2B"/>
    <w:rsid w:val="00876DBB"/>
    <w:rsid w:val="00876DE0"/>
    <w:rsid w:val="00876EAA"/>
    <w:rsid w:val="00876EB0"/>
    <w:rsid w:val="00876FA8"/>
    <w:rsid w:val="0087700F"/>
    <w:rsid w:val="00877157"/>
    <w:rsid w:val="00877167"/>
    <w:rsid w:val="008771E2"/>
    <w:rsid w:val="00877377"/>
    <w:rsid w:val="00877435"/>
    <w:rsid w:val="008774CD"/>
    <w:rsid w:val="008774D0"/>
    <w:rsid w:val="0087761D"/>
    <w:rsid w:val="0087777F"/>
    <w:rsid w:val="008777BC"/>
    <w:rsid w:val="00877897"/>
    <w:rsid w:val="008778BB"/>
    <w:rsid w:val="00877906"/>
    <w:rsid w:val="00877B0D"/>
    <w:rsid w:val="00877BD3"/>
    <w:rsid w:val="00877BE6"/>
    <w:rsid w:val="00877BEF"/>
    <w:rsid w:val="00877BF8"/>
    <w:rsid w:val="00877C0E"/>
    <w:rsid w:val="00877CDD"/>
    <w:rsid w:val="00880072"/>
    <w:rsid w:val="008800CC"/>
    <w:rsid w:val="0088013A"/>
    <w:rsid w:val="008802AF"/>
    <w:rsid w:val="0088046B"/>
    <w:rsid w:val="008804AB"/>
    <w:rsid w:val="0088052A"/>
    <w:rsid w:val="00880776"/>
    <w:rsid w:val="00880931"/>
    <w:rsid w:val="008809E1"/>
    <w:rsid w:val="00880AD8"/>
    <w:rsid w:val="00880B5F"/>
    <w:rsid w:val="00880B71"/>
    <w:rsid w:val="00880BF0"/>
    <w:rsid w:val="00880C88"/>
    <w:rsid w:val="00880C9F"/>
    <w:rsid w:val="00880CCF"/>
    <w:rsid w:val="00880D3F"/>
    <w:rsid w:val="00880DBD"/>
    <w:rsid w:val="00880DCE"/>
    <w:rsid w:val="00880DD6"/>
    <w:rsid w:val="00880ED1"/>
    <w:rsid w:val="00880F27"/>
    <w:rsid w:val="00880FE6"/>
    <w:rsid w:val="00880FF4"/>
    <w:rsid w:val="008812A3"/>
    <w:rsid w:val="008812E0"/>
    <w:rsid w:val="00881524"/>
    <w:rsid w:val="008815A1"/>
    <w:rsid w:val="008815DC"/>
    <w:rsid w:val="008816FF"/>
    <w:rsid w:val="00881899"/>
    <w:rsid w:val="00881963"/>
    <w:rsid w:val="00881979"/>
    <w:rsid w:val="0088199A"/>
    <w:rsid w:val="00881A0D"/>
    <w:rsid w:val="00881CC7"/>
    <w:rsid w:val="00881D61"/>
    <w:rsid w:val="00881DB2"/>
    <w:rsid w:val="0088203D"/>
    <w:rsid w:val="008820B5"/>
    <w:rsid w:val="00882176"/>
    <w:rsid w:val="008822B7"/>
    <w:rsid w:val="00882355"/>
    <w:rsid w:val="0088264D"/>
    <w:rsid w:val="00882681"/>
    <w:rsid w:val="0088268D"/>
    <w:rsid w:val="008826AD"/>
    <w:rsid w:val="00882866"/>
    <w:rsid w:val="00882947"/>
    <w:rsid w:val="0088298B"/>
    <w:rsid w:val="00882D0F"/>
    <w:rsid w:val="00882E2C"/>
    <w:rsid w:val="00882F4B"/>
    <w:rsid w:val="00883021"/>
    <w:rsid w:val="00883082"/>
    <w:rsid w:val="00883201"/>
    <w:rsid w:val="0088335E"/>
    <w:rsid w:val="008833EA"/>
    <w:rsid w:val="00883571"/>
    <w:rsid w:val="008835F2"/>
    <w:rsid w:val="00883852"/>
    <w:rsid w:val="008838ED"/>
    <w:rsid w:val="00883903"/>
    <w:rsid w:val="008839BC"/>
    <w:rsid w:val="00883BA9"/>
    <w:rsid w:val="00883C2E"/>
    <w:rsid w:val="00883C7D"/>
    <w:rsid w:val="00883C9C"/>
    <w:rsid w:val="00883CBD"/>
    <w:rsid w:val="00883D1E"/>
    <w:rsid w:val="00883DDB"/>
    <w:rsid w:val="00883E9B"/>
    <w:rsid w:val="00884000"/>
    <w:rsid w:val="00884325"/>
    <w:rsid w:val="0088449E"/>
    <w:rsid w:val="00884592"/>
    <w:rsid w:val="00884665"/>
    <w:rsid w:val="00884685"/>
    <w:rsid w:val="008846CE"/>
    <w:rsid w:val="008846E5"/>
    <w:rsid w:val="008847B1"/>
    <w:rsid w:val="0088494B"/>
    <w:rsid w:val="008849B8"/>
    <w:rsid w:val="00884BF4"/>
    <w:rsid w:val="00884C27"/>
    <w:rsid w:val="00884C52"/>
    <w:rsid w:val="00884D45"/>
    <w:rsid w:val="00884DAF"/>
    <w:rsid w:val="00884E82"/>
    <w:rsid w:val="00884F14"/>
    <w:rsid w:val="00884F72"/>
    <w:rsid w:val="00885058"/>
    <w:rsid w:val="0088518B"/>
    <w:rsid w:val="008852BD"/>
    <w:rsid w:val="008853D2"/>
    <w:rsid w:val="0088542F"/>
    <w:rsid w:val="00885468"/>
    <w:rsid w:val="0088549B"/>
    <w:rsid w:val="0088557D"/>
    <w:rsid w:val="008855D1"/>
    <w:rsid w:val="008855F6"/>
    <w:rsid w:val="00885737"/>
    <w:rsid w:val="008857A2"/>
    <w:rsid w:val="008858E2"/>
    <w:rsid w:val="00885AE8"/>
    <w:rsid w:val="00885B82"/>
    <w:rsid w:val="00885D44"/>
    <w:rsid w:val="00885E27"/>
    <w:rsid w:val="00885EC3"/>
    <w:rsid w:val="00886223"/>
    <w:rsid w:val="0088639D"/>
    <w:rsid w:val="008863E2"/>
    <w:rsid w:val="00886594"/>
    <w:rsid w:val="00886609"/>
    <w:rsid w:val="00886726"/>
    <w:rsid w:val="00886777"/>
    <w:rsid w:val="008867F1"/>
    <w:rsid w:val="008869A0"/>
    <w:rsid w:val="00886A12"/>
    <w:rsid w:val="00886A5F"/>
    <w:rsid w:val="00886AD6"/>
    <w:rsid w:val="00886B62"/>
    <w:rsid w:val="00886BCD"/>
    <w:rsid w:val="00886CE6"/>
    <w:rsid w:val="00886E61"/>
    <w:rsid w:val="00886F2C"/>
    <w:rsid w:val="00886FBD"/>
    <w:rsid w:val="00886FE5"/>
    <w:rsid w:val="008871C4"/>
    <w:rsid w:val="008873AA"/>
    <w:rsid w:val="00887424"/>
    <w:rsid w:val="008877CE"/>
    <w:rsid w:val="00887847"/>
    <w:rsid w:val="008879CD"/>
    <w:rsid w:val="00887A0F"/>
    <w:rsid w:val="00887A2A"/>
    <w:rsid w:val="00887B06"/>
    <w:rsid w:val="00887B17"/>
    <w:rsid w:val="00887B88"/>
    <w:rsid w:val="00887BE9"/>
    <w:rsid w:val="00887DFB"/>
    <w:rsid w:val="00887EEB"/>
    <w:rsid w:val="00887FC8"/>
    <w:rsid w:val="00890028"/>
    <w:rsid w:val="00890038"/>
    <w:rsid w:val="0089008D"/>
    <w:rsid w:val="00890141"/>
    <w:rsid w:val="00890280"/>
    <w:rsid w:val="00890294"/>
    <w:rsid w:val="00890460"/>
    <w:rsid w:val="00890527"/>
    <w:rsid w:val="008906EC"/>
    <w:rsid w:val="008906F7"/>
    <w:rsid w:val="00890700"/>
    <w:rsid w:val="0089073A"/>
    <w:rsid w:val="008907E5"/>
    <w:rsid w:val="00890920"/>
    <w:rsid w:val="00890936"/>
    <w:rsid w:val="00890A65"/>
    <w:rsid w:val="00890BBB"/>
    <w:rsid w:val="00890D82"/>
    <w:rsid w:val="00890DA9"/>
    <w:rsid w:val="00890DF9"/>
    <w:rsid w:val="00890EBD"/>
    <w:rsid w:val="00890F06"/>
    <w:rsid w:val="00890F84"/>
    <w:rsid w:val="00891012"/>
    <w:rsid w:val="0089104C"/>
    <w:rsid w:val="00891096"/>
    <w:rsid w:val="008910C3"/>
    <w:rsid w:val="0089142E"/>
    <w:rsid w:val="0089154A"/>
    <w:rsid w:val="00891556"/>
    <w:rsid w:val="00891706"/>
    <w:rsid w:val="00891799"/>
    <w:rsid w:val="00891825"/>
    <w:rsid w:val="00891966"/>
    <w:rsid w:val="00891A08"/>
    <w:rsid w:val="00891AEA"/>
    <w:rsid w:val="00891B32"/>
    <w:rsid w:val="00891BE1"/>
    <w:rsid w:val="00891C03"/>
    <w:rsid w:val="00891CD6"/>
    <w:rsid w:val="00891D02"/>
    <w:rsid w:val="00891DF9"/>
    <w:rsid w:val="00891ED1"/>
    <w:rsid w:val="00891F33"/>
    <w:rsid w:val="00891FF1"/>
    <w:rsid w:val="00892156"/>
    <w:rsid w:val="0089228E"/>
    <w:rsid w:val="008922B0"/>
    <w:rsid w:val="00892342"/>
    <w:rsid w:val="008923B8"/>
    <w:rsid w:val="00892409"/>
    <w:rsid w:val="008924E9"/>
    <w:rsid w:val="00892673"/>
    <w:rsid w:val="00892724"/>
    <w:rsid w:val="00892751"/>
    <w:rsid w:val="008928E9"/>
    <w:rsid w:val="00892984"/>
    <w:rsid w:val="00892B13"/>
    <w:rsid w:val="00892BB3"/>
    <w:rsid w:val="00892CEC"/>
    <w:rsid w:val="008930A1"/>
    <w:rsid w:val="00893150"/>
    <w:rsid w:val="008932A2"/>
    <w:rsid w:val="008933C8"/>
    <w:rsid w:val="00893481"/>
    <w:rsid w:val="008937DB"/>
    <w:rsid w:val="008938AD"/>
    <w:rsid w:val="008938F2"/>
    <w:rsid w:val="00893927"/>
    <w:rsid w:val="008939EA"/>
    <w:rsid w:val="00893A44"/>
    <w:rsid w:val="00893A56"/>
    <w:rsid w:val="00893C9B"/>
    <w:rsid w:val="00893D07"/>
    <w:rsid w:val="00893D91"/>
    <w:rsid w:val="00893FF2"/>
    <w:rsid w:val="00894033"/>
    <w:rsid w:val="00894420"/>
    <w:rsid w:val="0089442B"/>
    <w:rsid w:val="008945B4"/>
    <w:rsid w:val="00894664"/>
    <w:rsid w:val="0089472E"/>
    <w:rsid w:val="0089475B"/>
    <w:rsid w:val="00894795"/>
    <w:rsid w:val="00894809"/>
    <w:rsid w:val="00894A7A"/>
    <w:rsid w:val="00894B29"/>
    <w:rsid w:val="00894C85"/>
    <w:rsid w:val="00894CB3"/>
    <w:rsid w:val="00894EED"/>
    <w:rsid w:val="00895050"/>
    <w:rsid w:val="00895317"/>
    <w:rsid w:val="008953B0"/>
    <w:rsid w:val="0089551E"/>
    <w:rsid w:val="00895577"/>
    <w:rsid w:val="00895955"/>
    <w:rsid w:val="00895B48"/>
    <w:rsid w:val="00895B93"/>
    <w:rsid w:val="00895C2B"/>
    <w:rsid w:val="00895E68"/>
    <w:rsid w:val="0089605B"/>
    <w:rsid w:val="00896179"/>
    <w:rsid w:val="008961A7"/>
    <w:rsid w:val="008961AD"/>
    <w:rsid w:val="00896275"/>
    <w:rsid w:val="008962C9"/>
    <w:rsid w:val="008962F8"/>
    <w:rsid w:val="008963A6"/>
    <w:rsid w:val="0089649B"/>
    <w:rsid w:val="0089674A"/>
    <w:rsid w:val="008967E9"/>
    <w:rsid w:val="008967F1"/>
    <w:rsid w:val="00896897"/>
    <w:rsid w:val="0089691E"/>
    <w:rsid w:val="00896B00"/>
    <w:rsid w:val="00896C7C"/>
    <w:rsid w:val="00896E61"/>
    <w:rsid w:val="00896E8B"/>
    <w:rsid w:val="00896ECA"/>
    <w:rsid w:val="00896F0E"/>
    <w:rsid w:val="00896F89"/>
    <w:rsid w:val="00897017"/>
    <w:rsid w:val="008970AC"/>
    <w:rsid w:val="008970F6"/>
    <w:rsid w:val="00897187"/>
    <w:rsid w:val="00897250"/>
    <w:rsid w:val="00897281"/>
    <w:rsid w:val="0089734E"/>
    <w:rsid w:val="008973A9"/>
    <w:rsid w:val="00897665"/>
    <w:rsid w:val="008979C9"/>
    <w:rsid w:val="00897A1F"/>
    <w:rsid w:val="00897A9C"/>
    <w:rsid w:val="00897AC7"/>
    <w:rsid w:val="00897C1D"/>
    <w:rsid w:val="00897D23"/>
    <w:rsid w:val="00897E39"/>
    <w:rsid w:val="00897E93"/>
    <w:rsid w:val="00897F2B"/>
    <w:rsid w:val="00897F40"/>
    <w:rsid w:val="0089A36D"/>
    <w:rsid w:val="008A0210"/>
    <w:rsid w:val="008A03F9"/>
    <w:rsid w:val="008A0448"/>
    <w:rsid w:val="008A0521"/>
    <w:rsid w:val="008A055A"/>
    <w:rsid w:val="008A0596"/>
    <w:rsid w:val="008A05AD"/>
    <w:rsid w:val="008A064F"/>
    <w:rsid w:val="008A0713"/>
    <w:rsid w:val="008A0757"/>
    <w:rsid w:val="008A0761"/>
    <w:rsid w:val="008A07B0"/>
    <w:rsid w:val="008A0854"/>
    <w:rsid w:val="008A08F3"/>
    <w:rsid w:val="008A09C0"/>
    <w:rsid w:val="008A0ABC"/>
    <w:rsid w:val="008A0C6B"/>
    <w:rsid w:val="008A0D0B"/>
    <w:rsid w:val="008A0E1E"/>
    <w:rsid w:val="008A0ECC"/>
    <w:rsid w:val="008A0F3A"/>
    <w:rsid w:val="008A0F58"/>
    <w:rsid w:val="008A103A"/>
    <w:rsid w:val="008A115C"/>
    <w:rsid w:val="008A11B7"/>
    <w:rsid w:val="008A11C0"/>
    <w:rsid w:val="008A1274"/>
    <w:rsid w:val="008A13A7"/>
    <w:rsid w:val="008A13E6"/>
    <w:rsid w:val="008A1460"/>
    <w:rsid w:val="008A15EF"/>
    <w:rsid w:val="008A1675"/>
    <w:rsid w:val="008A180F"/>
    <w:rsid w:val="008A1836"/>
    <w:rsid w:val="008A18FC"/>
    <w:rsid w:val="008A1972"/>
    <w:rsid w:val="008A1A2D"/>
    <w:rsid w:val="008A1A3B"/>
    <w:rsid w:val="008A1D3F"/>
    <w:rsid w:val="008A1DDD"/>
    <w:rsid w:val="008A1E1A"/>
    <w:rsid w:val="008A1E8C"/>
    <w:rsid w:val="008A1F23"/>
    <w:rsid w:val="008A1F9E"/>
    <w:rsid w:val="008A2020"/>
    <w:rsid w:val="008A210E"/>
    <w:rsid w:val="008A233E"/>
    <w:rsid w:val="008A23D0"/>
    <w:rsid w:val="008A24AD"/>
    <w:rsid w:val="008A2560"/>
    <w:rsid w:val="008A2627"/>
    <w:rsid w:val="008A267A"/>
    <w:rsid w:val="008A28AB"/>
    <w:rsid w:val="008A293E"/>
    <w:rsid w:val="008A298D"/>
    <w:rsid w:val="008A29CA"/>
    <w:rsid w:val="008A29E5"/>
    <w:rsid w:val="008A29F9"/>
    <w:rsid w:val="008A2A75"/>
    <w:rsid w:val="008A2B40"/>
    <w:rsid w:val="008A2C11"/>
    <w:rsid w:val="008A2C68"/>
    <w:rsid w:val="008A2DE1"/>
    <w:rsid w:val="008A2E57"/>
    <w:rsid w:val="008A2ED7"/>
    <w:rsid w:val="008A2FF2"/>
    <w:rsid w:val="008A3089"/>
    <w:rsid w:val="008A30E3"/>
    <w:rsid w:val="008A312B"/>
    <w:rsid w:val="008A355C"/>
    <w:rsid w:val="008A35A3"/>
    <w:rsid w:val="008A3683"/>
    <w:rsid w:val="008A3707"/>
    <w:rsid w:val="008A3722"/>
    <w:rsid w:val="008A38A4"/>
    <w:rsid w:val="008A39ED"/>
    <w:rsid w:val="008A3A72"/>
    <w:rsid w:val="008A3B39"/>
    <w:rsid w:val="008A3BD9"/>
    <w:rsid w:val="008A3C88"/>
    <w:rsid w:val="008A3CF2"/>
    <w:rsid w:val="008A3D7F"/>
    <w:rsid w:val="008A3DCB"/>
    <w:rsid w:val="008A3E51"/>
    <w:rsid w:val="008A3E6F"/>
    <w:rsid w:val="008A3F09"/>
    <w:rsid w:val="008A3F5D"/>
    <w:rsid w:val="008A3FC3"/>
    <w:rsid w:val="008A4270"/>
    <w:rsid w:val="008A451F"/>
    <w:rsid w:val="008A4567"/>
    <w:rsid w:val="008A45A6"/>
    <w:rsid w:val="008A4763"/>
    <w:rsid w:val="008A480A"/>
    <w:rsid w:val="008A48EC"/>
    <w:rsid w:val="008A491D"/>
    <w:rsid w:val="008A4A8A"/>
    <w:rsid w:val="008A4AC0"/>
    <w:rsid w:val="008A4CA0"/>
    <w:rsid w:val="008A4DF5"/>
    <w:rsid w:val="008A4EC1"/>
    <w:rsid w:val="008A4FBA"/>
    <w:rsid w:val="008A500B"/>
    <w:rsid w:val="008A512C"/>
    <w:rsid w:val="008A5178"/>
    <w:rsid w:val="008A51B3"/>
    <w:rsid w:val="008A5228"/>
    <w:rsid w:val="008A5286"/>
    <w:rsid w:val="008A54AF"/>
    <w:rsid w:val="008A55C1"/>
    <w:rsid w:val="008A5617"/>
    <w:rsid w:val="008A5859"/>
    <w:rsid w:val="008A5983"/>
    <w:rsid w:val="008A5A3E"/>
    <w:rsid w:val="008A5B96"/>
    <w:rsid w:val="008A5C10"/>
    <w:rsid w:val="008A5C98"/>
    <w:rsid w:val="008A5DEC"/>
    <w:rsid w:val="008A5F31"/>
    <w:rsid w:val="008A5F5E"/>
    <w:rsid w:val="008A5F89"/>
    <w:rsid w:val="008A60E5"/>
    <w:rsid w:val="008A6212"/>
    <w:rsid w:val="008A6231"/>
    <w:rsid w:val="008A62C9"/>
    <w:rsid w:val="008A6488"/>
    <w:rsid w:val="008A64BA"/>
    <w:rsid w:val="008A64EB"/>
    <w:rsid w:val="008A66D0"/>
    <w:rsid w:val="008A68F4"/>
    <w:rsid w:val="008A69FB"/>
    <w:rsid w:val="008A6B54"/>
    <w:rsid w:val="008A6C83"/>
    <w:rsid w:val="008A6DFA"/>
    <w:rsid w:val="008A6EB6"/>
    <w:rsid w:val="008A6F2E"/>
    <w:rsid w:val="008A7060"/>
    <w:rsid w:val="008A708E"/>
    <w:rsid w:val="008A7278"/>
    <w:rsid w:val="008A72BA"/>
    <w:rsid w:val="008A72CF"/>
    <w:rsid w:val="008A7379"/>
    <w:rsid w:val="008A73D5"/>
    <w:rsid w:val="008A7551"/>
    <w:rsid w:val="008A76E7"/>
    <w:rsid w:val="008A771E"/>
    <w:rsid w:val="008A7953"/>
    <w:rsid w:val="008A7979"/>
    <w:rsid w:val="008A7A0B"/>
    <w:rsid w:val="008A7AA4"/>
    <w:rsid w:val="008A7B40"/>
    <w:rsid w:val="008A7E8F"/>
    <w:rsid w:val="008A7FCD"/>
    <w:rsid w:val="008B00D0"/>
    <w:rsid w:val="008B0339"/>
    <w:rsid w:val="008B038D"/>
    <w:rsid w:val="008B0501"/>
    <w:rsid w:val="008B054E"/>
    <w:rsid w:val="008B056D"/>
    <w:rsid w:val="008B0970"/>
    <w:rsid w:val="008B0AB2"/>
    <w:rsid w:val="008B0AD8"/>
    <w:rsid w:val="008B0B44"/>
    <w:rsid w:val="008B0BA6"/>
    <w:rsid w:val="008B0DC7"/>
    <w:rsid w:val="008B0EDB"/>
    <w:rsid w:val="008B0F00"/>
    <w:rsid w:val="008B0F7C"/>
    <w:rsid w:val="008B100F"/>
    <w:rsid w:val="008B10DC"/>
    <w:rsid w:val="008B11A5"/>
    <w:rsid w:val="008B11C6"/>
    <w:rsid w:val="008B1246"/>
    <w:rsid w:val="008B137B"/>
    <w:rsid w:val="008B13AA"/>
    <w:rsid w:val="008B13BE"/>
    <w:rsid w:val="008B13FE"/>
    <w:rsid w:val="008B1584"/>
    <w:rsid w:val="008B162D"/>
    <w:rsid w:val="008B16ED"/>
    <w:rsid w:val="008B170D"/>
    <w:rsid w:val="008B171D"/>
    <w:rsid w:val="008B1870"/>
    <w:rsid w:val="008B1945"/>
    <w:rsid w:val="008B1A62"/>
    <w:rsid w:val="008B1B5F"/>
    <w:rsid w:val="008B1C3F"/>
    <w:rsid w:val="008B1CB3"/>
    <w:rsid w:val="008B1E52"/>
    <w:rsid w:val="008B1E5E"/>
    <w:rsid w:val="008B1FEE"/>
    <w:rsid w:val="008B2153"/>
    <w:rsid w:val="008B232F"/>
    <w:rsid w:val="008B23CD"/>
    <w:rsid w:val="008B2624"/>
    <w:rsid w:val="008B269E"/>
    <w:rsid w:val="008B272B"/>
    <w:rsid w:val="008B27EF"/>
    <w:rsid w:val="008B2803"/>
    <w:rsid w:val="008B2BB6"/>
    <w:rsid w:val="008B2BE7"/>
    <w:rsid w:val="008B2F10"/>
    <w:rsid w:val="008B2F55"/>
    <w:rsid w:val="008B2FE9"/>
    <w:rsid w:val="008B30F6"/>
    <w:rsid w:val="008B31E7"/>
    <w:rsid w:val="008B346A"/>
    <w:rsid w:val="008B3477"/>
    <w:rsid w:val="008B34AE"/>
    <w:rsid w:val="008B3519"/>
    <w:rsid w:val="008B354D"/>
    <w:rsid w:val="008B3734"/>
    <w:rsid w:val="008B38E5"/>
    <w:rsid w:val="008B39ED"/>
    <w:rsid w:val="008B3AC5"/>
    <w:rsid w:val="008B3B8D"/>
    <w:rsid w:val="008B3BC6"/>
    <w:rsid w:val="008B3BD9"/>
    <w:rsid w:val="008B3EE2"/>
    <w:rsid w:val="008B3EEE"/>
    <w:rsid w:val="008B400D"/>
    <w:rsid w:val="008B4138"/>
    <w:rsid w:val="008B4211"/>
    <w:rsid w:val="008B4244"/>
    <w:rsid w:val="008B42A9"/>
    <w:rsid w:val="008B438F"/>
    <w:rsid w:val="008B43EE"/>
    <w:rsid w:val="008B43F4"/>
    <w:rsid w:val="008B4637"/>
    <w:rsid w:val="008B46B5"/>
    <w:rsid w:val="008B46F5"/>
    <w:rsid w:val="008B48CD"/>
    <w:rsid w:val="008B48EA"/>
    <w:rsid w:val="008B4952"/>
    <w:rsid w:val="008B4966"/>
    <w:rsid w:val="008B4B22"/>
    <w:rsid w:val="008B4D93"/>
    <w:rsid w:val="008B5015"/>
    <w:rsid w:val="008B51BE"/>
    <w:rsid w:val="008B533C"/>
    <w:rsid w:val="008B5395"/>
    <w:rsid w:val="008B541E"/>
    <w:rsid w:val="008B5482"/>
    <w:rsid w:val="008B54AC"/>
    <w:rsid w:val="008B54BA"/>
    <w:rsid w:val="008B55DB"/>
    <w:rsid w:val="008B5634"/>
    <w:rsid w:val="008B5642"/>
    <w:rsid w:val="008B5810"/>
    <w:rsid w:val="008B58FA"/>
    <w:rsid w:val="008B593E"/>
    <w:rsid w:val="008B59C1"/>
    <w:rsid w:val="008B5A09"/>
    <w:rsid w:val="008B5D01"/>
    <w:rsid w:val="008B5DFF"/>
    <w:rsid w:val="008B5E03"/>
    <w:rsid w:val="008B5E6D"/>
    <w:rsid w:val="008B5EAE"/>
    <w:rsid w:val="008B5ED8"/>
    <w:rsid w:val="008B5EDD"/>
    <w:rsid w:val="008B5F71"/>
    <w:rsid w:val="008B6136"/>
    <w:rsid w:val="008B624A"/>
    <w:rsid w:val="008B62C4"/>
    <w:rsid w:val="008B62CE"/>
    <w:rsid w:val="008B6342"/>
    <w:rsid w:val="008B645D"/>
    <w:rsid w:val="008B6594"/>
    <w:rsid w:val="008B67CF"/>
    <w:rsid w:val="008B686C"/>
    <w:rsid w:val="008B6BE1"/>
    <w:rsid w:val="008B6C05"/>
    <w:rsid w:val="008B6D36"/>
    <w:rsid w:val="008B6D45"/>
    <w:rsid w:val="008B6E89"/>
    <w:rsid w:val="008B6E9E"/>
    <w:rsid w:val="008B6EF4"/>
    <w:rsid w:val="008B6F0E"/>
    <w:rsid w:val="008B70EB"/>
    <w:rsid w:val="008B7148"/>
    <w:rsid w:val="008B71AA"/>
    <w:rsid w:val="008B71F1"/>
    <w:rsid w:val="008B7255"/>
    <w:rsid w:val="008B72A4"/>
    <w:rsid w:val="008B72DD"/>
    <w:rsid w:val="008B745F"/>
    <w:rsid w:val="008B7505"/>
    <w:rsid w:val="008B750D"/>
    <w:rsid w:val="008B764C"/>
    <w:rsid w:val="008B77BE"/>
    <w:rsid w:val="008B77D6"/>
    <w:rsid w:val="008B7A1E"/>
    <w:rsid w:val="008B7BD4"/>
    <w:rsid w:val="008B7D50"/>
    <w:rsid w:val="008B7E24"/>
    <w:rsid w:val="008B7ED0"/>
    <w:rsid w:val="008B7FCE"/>
    <w:rsid w:val="008B7FEB"/>
    <w:rsid w:val="008C0176"/>
    <w:rsid w:val="008C0177"/>
    <w:rsid w:val="008C02B2"/>
    <w:rsid w:val="008C0394"/>
    <w:rsid w:val="008C03EE"/>
    <w:rsid w:val="008C0493"/>
    <w:rsid w:val="008C0635"/>
    <w:rsid w:val="008C0690"/>
    <w:rsid w:val="008C07B7"/>
    <w:rsid w:val="008C084A"/>
    <w:rsid w:val="008C086F"/>
    <w:rsid w:val="008C08A0"/>
    <w:rsid w:val="008C0940"/>
    <w:rsid w:val="008C094F"/>
    <w:rsid w:val="008C0960"/>
    <w:rsid w:val="008C0977"/>
    <w:rsid w:val="008C0983"/>
    <w:rsid w:val="008C09EA"/>
    <w:rsid w:val="008C0A16"/>
    <w:rsid w:val="008C0AC7"/>
    <w:rsid w:val="008C0C6F"/>
    <w:rsid w:val="008C0CA3"/>
    <w:rsid w:val="008C0CF8"/>
    <w:rsid w:val="008C0E58"/>
    <w:rsid w:val="008C0E8D"/>
    <w:rsid w:val="008C0EE0"/>
    <w:rsid w:val="008C0EF5"/>
    <w:rsid w:val="008C0F8A"/>
    <w:rsid w:val="008C0F9C"/>
    <w:rsid w:val="008C10BB"/>
    <w:rsid w:val="008C1100"/>
    <w:rsid w:val="008C1235"/>
    <w:rsid w:val="008C151C"/>
    <w:rsid w:val="008C15F0"/>
    <w:rsid w:val="008C1603"/>
    <w:rsid w:val="008C1859"/>
    <w:rsid w:val="008C1885"/>
    <w:rsid w:val="008C1C2A"/>
    <w:rsid w:val="008C1CFF"/>
    <w:rsid w:val="008C1E8F"/>
    <w:rsid w:val="008C2013"/>
    <w:rsid w:val="008C2077"/>
    <w:rsid w:val="008C2082"/>
    <w:rsid w:val="008C20C6"/>
    <w:rsid w:val="008C21EF"/>
    <w:rsid w:val="008C2235"/>
    <w:rsid w:val="008C24B6"/>
    <w:rsid w:val="008C24C2"/>
    <w:rsid w:val="008C2559"/>
    <w:rsid w:val="008C2681"/>
    <w:rsid w:val="008C273D"/>
    <w:rsid w:val="008C27C7"/>
    <w:rsid w:val="008C2964"/>
    <w:rsid w:val="008C2A90"/>
    <w:rsid w:val="008C2B90"/>
    <w:rsid w:val="008C2BA6"/>
    <w:rsid w:val="008C2D14"/>
    <w:rsid w:val="008C2E30"/>
    <w:rsid w:val="008C2F4B"/>
    <w:rsid w:val="008C2F8E"/>
    <w:rsid w:val="008C31A7"/>
    <w:rsid w:val="008C31D7"/>
    <w:rsid w:val="008C3367"/>
    <w:rsid w:val="008C342F"/>
    <w:rsid w:val="008C3498"/>
    <w:rsid w:val="008C34E2"/>
    <w:rsid w:val="008C35AB"/>
    <w:rsid w:val="008C3747"/>
    <w:rsid w:val="008C38C4"/>
    <w:rsid w:val="008C392D"/>
    <w:rsid w:val="008C39F2"/>
    <w:rsid w:val="008C3A39"/>
    <w:rsid w:val="008C3AA0"/>
    <w:rsid w:val="008C3B47"/>
    <w:rsid w:val="008C3B8B"/>
    <w:rsid w:val="008C3BA5"/>
    <w:rsid w:val="008C3D66"/>
    <w:rsid w:val="008C3DC0"/>
    <w:rsid w:val="008C3EA0"/>
    <w:rsid w:val="008C3F68"/>
    <w:rsid w:val="008C40BF"/>
    <w:rsid w:val="008C42FA"/>
    <w:rsid w:val="008C43F2"/>
    <w:rsid w:val="008C4444"/>
    <w:rsid w:val="008C450E"/>
    <w:rsid w:val="008C4575"/>
    <w:rsid w:val="008C4594"/>
    <w:rsid w:val="008C45BA"/>
    <w:rsid w:val="008C46F0"/>
    <w:rsid w:val="008C47EB"/>
    <w:rsid w:val="008C4898"/>
    <w:rsid w:val="008C49E7"/>
    <w:rsid w:val="008C4AB6"/>
    <w:rsid w:val="008C4C77"/>
    <w:rsid w:val="008C4CCF"/>
    <w:rsid w:val="008C4D07"/>
    <w:rsid w:val="008C4DE2"/>
    <w:rsid w:val="008C4EA4"/>
    <w:rsid w:val="008C4EC2"/>
    <w:rsid w:val="008C522E"/>
    <w:rsid w:val="008C5268"/>
    <w:rsid w:val="008C52AB"/>
    <w:rsid w:val="008C5491"/>
    <w:rsid w:val="008C5859"/>
    <w:rsid w:val="008C58C5"/>
    <w:rsid w:val="008C5910"/>
    <w:rsid w:val="008C59B7"/>
    <w:rsid w:val="008C5E99"/>
    <w:rsid w:val="008C5EB9"/>
    <w:rsid w:val="008C5F2A"/>
    <w:rsid w:val="008C6048"/>
    <w:rsid w:val="008C60C6"/>
    <w:rsid w:val="008C61C8"/>
    <w:rsid w:val="008C6257"/>
    <w:rsid w:val="008C62A4"/>
    <w:rsid w:val="008C63FA"/>
    <w:rsid w:val="008C64ED"/>
    <w:rsid w:val="008C6591"/>
    <w:rsid w:val="008C65ED"/>
    <w:rsid w:val="008C65F4"/>
    <w:rsid w:val="008C6679"/>
    <w:rsid w:val="008C6791"/>
    <w:rsid w:val="008C6843"/>
    <w:rsid w:val="008C690F"/>
    <w:rsid w:val="008C6927"/>
    <w:rsid w:val="008C6B05"/>
    <w:rsid w:val="008C6B99"/>
    <w:rsid w:val="008C6B9B"/>
    <w:rsid w:val="008C6BF6"/>
    <w:rsid w:val="008C6CDA"/>
    <w:rsid w:val="008C6DEE"/>
    <w:rsid w:val="008C6E06"/>
    <w:rsid w:val="008C6F4B"/>
    <w:rsid w:val="008C6F50"/>
    <w:rsid w:val="008C6F97"/>
    <w:rsid w:val="008C7020"/>
    <w:rsid w:val="008C7033"/>
    <w:rsid w:val="008C703E"/>
    <w:rsid w:val="008C70CC"/>
    <w:rsid w:val="008C70EE"/>
    <w:rsid w:val="008C7359"/>
    <w:rsid w:val="008C7381"/>
    <w:rsid w:val="008C770D"/>
    <w:rsid w:val="008C7730"/>
    <w:rsid w:val="008C7832"/>
    <w:rsid w:val="008C791E"/>
    <w:rsid w:val="008C79BA"/>
    <w:rsid w:val="008C79DA"/>
    <w:rsid w:val="008C7A4E"/>
    <w:rsid w:val="008C7AB0"/>
    <w:rsid w:val="008C7B11"/>
    <w:rsid w:val="008C7B18"/>
    <w:rsid w:val="008C7B2D"/>
    <w:rsid w:val="008C7BAA"/>
    <w:rsid w:val="008C7CCA"/>
    <w:rsid w:val="008C7D43"/>
    <w:rsid w:val="008C7D98"/>
    <w:rsid w:val="008C7F0A"/>
    <w:rsid w:val="008C7F96"/>
    <w:rsid w:val="008C7F9C"/>
    <w:rsid w:val="008D0039"/>
    <w:rsid w:val="008D0050"/>
    <w:rsid w:val="008D0245"/>
    <w:rsid w:val="008D0453"/>
    <w:rsid w:val="008D0497"/>
    <w:rsid w:val="008D04BD"/>
    <w:rsid w:val="008D04C6"/>
    <w:rsid w:val="008D0687"/>
    <w:rsid w:val="008D06D5"/>
    <w:rsid w:val="008D0732"/>
    <w:rsid w:val="008D077A"/>
    <w:rsid w:val="008D07E2"/>
    <w:rsid w:val="008D0DC8"/>
    <w:rsid w:val="008D0E45"/>
    <w:rsid w:val="008D0E8A"/>
    <w:rsid w:val="008D0F02"/>
    <w:rsid w:val="008D0F79"/>
    <w:rsid w:val="008D103A"/>
    <w:rsid w:val="008D1164"/>
    <w:rsid w:val="008D11EA"/>
    <w:rsid w:val="008D11F7"/>
    <w:rsid w:val="008D127B"/>
    <w:rsid w:val="008D12B3"/>
    <w:rsid w:val="008D12E3"/>
    <w:rsid w:val="008D1308"/>
    <w:rsid w:val="008D1320"/>
    <w:rsid w:val="008D1398"/>
    <w:rsid w:val="008D14AB"/>
    <w:rsid w:val="008D14DD"/>
    <w:rsid w:val="008D153F"/>
    <w:rsid w:val="008D178E"/>
    <w:rsid w:val="008D17D2"/>
    <w:rsid w:val="008D19CF"/>
    <w:rsid w:val="008D1C75"/>
    <w:rsid w:val="008D1CAB"/>
    <w:rsid w:val="008D1D4A"/>
    <w:rsid w:val="008D1D83"/>
    <w:rsid w:val="008D1D85"/>
    <w:rsid w:val="008D2068"/>
    <w:rsid w:val="008D21EE"/>
    <w:rsid w:val="008D2258"/>
    <w:rsid w:val="008D22A2"/>
    <w:rsid w:val="008D2323"/>
    <w:rsid w:val="008D244A"/>
    <w:rsid w:val="008D2456"/>
    <w:rsid w:val="008D2605"/>
    <w:rsid w:val="008D2778"/>
    <w:rsid w:val="008D2985"/>
    <w:rsid w:val="008D29B0"/>
    <w:rsid w:val="008D2A3F"/>
    <w:rsid w:val="008D2A57"/>
    <w:rsid w:val="008D2CA9"/>
    <w:rsid w:val="008D2D3F"/>
    <w:rsid w:val="008D2E9A"/>
    <w:rsid w:val="008D2F0A"/>
    <w:rsid w:val="008D30A9"/>
    <w:rsid w:val="008D3143"/>
    <w:rsid w:val="008D318B"/>
    <w:rsid w:val="008D31DB"/>
    <w:rsid w:val="008D3218"/>
    <w:rsid w:val="008D337E"/>
    <w:rsid w:val="008D3744"/>
    <w:rsid w:val="008D3776"/>
    <w:rsid w:val="008D3778"/>
    <w:rsid w:val="008D3A91"/>
    <w:rsid w:val="008D3C82"/>
    <w:rsid w:val="008D3CA9"/>
    <w:rsid w:val="008D3E44"/>
    <w:rsid w:val="008D3E8A"/>
    <w:rsid w:val="008D3F88"/>
    <w:rsid w:val="008D41C5"/>
    <w:rsid w:val="008D4362"/>
    <w:rsid w:val="008D442D"/>
    <w:rsid w:val="008D443E"/>
    <w:rsid w:val="008D48EF"/>
    <w:rsid w:val="008D49E4"/>
    <w:rsid w:val="008D49FB"/>
    <w:rsid w:val="008D4B30"/>
    <w:rsid w:val="008D4C52"/>
    <w:rsid w:val="008D4F17"/>
    <w:rsid w:val="008D4F3D"/>
    <w:rsid w:val="008D4F5B"/>
    <w:rsid w:val="008D5093"/>
    <w:rsid w:val="008D516D"/>
    <w:rsid w:val="008D51B1"/>
    <w:rsid w:val="008D5290"/>
    <w:rsid w:val="008D5291"/>
    <w:rsid w:val="008D5418"/>
    <w:rsid w:val="008D547A"/>
    <w:rsid w:val="008D55B6"/>
    <w:rsid w:val="008D5643"/>
    <w:rsid w:val="008D56E3"/>
    <w:rsid w:val="008D57E4"/>
    <w:rsid w:val="008D5A77"/>
    <w:rsid w:val="008D5C9D"/>
    <w:rsid w:val="008D5FBB"/>
    <w:rsid w:val="008D6185"/>
    <w:rsid w:val="008D61F5"/>
    <w:rsid w:val="008D6399"/>
    <w:rsid w:val="008D63EB"/>
    <w:rsid w:val="008D640E"/>
    <w:rsid w:val="008D6591"/>
    <w:rsid w:val="008D6715"/>
    <w:rsid w:val="008D6840"/>
    <w:rsid w:val="008D68E0"/>
    <w:rsid w:val="008D6A3E"/>
    <w:rsid w:val="008D6A78"/>
    <w:rsid w:val="008D6B3A"/>
    <w:rsid w:val="008D6B99"/>
    <w:rsid w:val="008D6CC6"/>
    <w:rsid w:val="008D6D15"/>
    <w:rsid w:val="008D6E45"/>
    <w:rsid w:val="008D7004"/>
    <w:rsid w:val="008D70B0"/>
    <w:rsid w:val="008D7173"/>
    <w:rsid w:val="008D7289"/>
    <w:rsid w:val="008D74C8"/>
    <w:rsid w:val="008D7646"/>
    <w:rsid w:val="008D7682"/>
    <w:rsid w:val="008D781B"/>
    <w:rsid w:val="008D79F9"/>
    <w:rsid w:val="008D7A12"/>
    <w:rsid w:val="008D7A6C"/>
    <w:rsid w:val="008D7AEE"/>
    <w:rsid w:val="008D7C7C"/>
    <w:rsid w:val="008D7D95"/>
    <w:rsid w:val="008D7E3E"/>
    <w:rsid w:val="008D7F4C"/>
    <w:rsid w:val="008E012B"/>
    <w:rsid w:val="008E027F"/>
    <w:rsid w:val="008E0312"/>
    <w:rsid w:val="008E0509"/>
    <w:rsid w:val="008E06A3"/>
    <w:rsid w:val="008E06EB"/>
    <w:rsid w:val="008E074C"/>
    <w:rsid w:val="008E0849"/>
    <w:rsid w:val="008E0862"/>
    <w:rsid w:val="008E0980"/>
    <w:rsid w:val="008E0B54"/>
    <w:rsid w:val="008E0BE1"/>
    <w:rsid w:val="008E0C12"/>
    <w:rsid w:val="008E0EE2"/>
    <w:rsid w:val="008E1050"/>
    <w:rsid w:val="008E1068"/>
    <w:rsid w:val="008E11B2"/>
    <w:rsid w:val="008E1580"/>
    <w:rsid w:val="008E15CD"/>
    <w:rsid w:val="008E1614"/>
    <w:rsid w:val="008E1618"/>
    <w:rsid w:val="008E16FA"/>
    <w:rsid w:val="008E1781"/>
    <w:rsid w:val="008E17B1"/>
    <w:rsid w:val="008E17FD"/>
    <w:rsid w:val="008E1B34"/>
    <w:rsid w:val="008E1B58"/>
    <w:rsid w:val="008E1BF2"/>
    <w:rsid w:val="008E1C34"/>
    <w:rsid w:val="008E2193"/>
    <w:rsid w:val="008E21F0"/>
    <w:rsid w:val="008E233E"/>
    <w:rsid w:val="008E236F"/>
    <w:rsid w:val="008E23EC"/>
    <w:rsid w:val="008E2481"/>
    <w:rsid w:val="008E2C03"/>
    <w:rsid w:val="008E2E25"/>
    <w:rsid w:val="008E2E2F"/>
    <w:rsid w:val="008E2EB2"/>
    <w:rsid w:val="008E3021"/>
    <w:rsid w:val="008E30C8"/>
    <w:rsid w:val="008E3123"/>
    <w:rsid w:val="008E31F2"/>
    <w:rsid w:val="008E3257"/>
    <w:rsid w:val="008E326F"/>
    <w:rsid w:val="008E3348"/>
    <w:rsid w:val="008E3395"/>
    <w:rsid w:val="008E3611"/>
    <w:rsid w:val="008E364C"/>
    <w:rsid w:val="008E36FF"/>
    <w:rsid w:val="008E3719"/>
    <w:rsid w:val="008E3790"/>
    <w:rsid w:val="008E37DA"/>
    <w:rsid w:val="008E37F1"/>
    <w:rsid w:val="008E3879"/>
    <w:rsid w:val="008E3AB3"/>
    <w:rsid w:val="008E3B5F"/>
    <w:rsid w:val="008E3C0C"/>
    <w:rsid w:val="008E3C5A"/>
    <w:rsid w:val="008E3C81"/>
    <w:rsid w:val="008E42E5"/>
    <w:rsid w:val="008E43C3"/>
    <w:rsid w:val="008E43D8"/>
    <w:rsid w:val="008E443A"/>
    <w:rsid w:val="008E443C"/>
    <w:rsid w:val="008E4753"/>
    <w:rsid w:val="008E47F1"/>
    <w:rsid w:val="008E494F"/>
    <w:rsid w:val="008E49EE"/>
    <w:rsid w:val="008E4AAF"/>
    <w:rsid w:val="008E4AE4"/>
    <w:rsid w:val="008E4B2C"/>
    <w:rsid w:val="008E4CFF"/>
    <w:rsid w:val="008E4EA2"/>
    <w:rsid w:val="008E4F34"/>
    <w:rsid w:val="008E4F66"/>
    <w:rsid w:val="008E51D3"/>
    <w:rsid w:val="008E538B"/>
    <w:rsid w:val="008E53B4"/>
    <w:rsid w:val="008E5450"/>
    <w:rsid w:val="008E54FC"/>
    <w:rsid w:val="008E551D"/>
    <w:rsid w:val="008E553C"/>
    <w:rsid w:val="008E55B7"/>
    <w:rsid w:val="008E5665"/>
    <w:rsid w:val="008E56B0"/>
    <w:rsid w:val="008E570E"/>
    <w:rsid w:val="008E573A"/>
    <w:rsid w:val="008E57F1"/>
    <w:rsid w:val="008E582B"/>
    <w:rsid w:val="008E5880"/>
    <w:rsid w:val="008E58BB"/>
    <w:rsid w:val="008E5A4E"/>
    <w:rsid w:val="008E5A90"/>
    <w:rsid w:val="008E5C84"/>
    <w:rsid w:val="008E5C9D"/>
    <w:rsid w:val="008E5CC9"/>
    <w:rsid w:val="008E6378"/>
    <w:rsid w:val="008E63EF"/>
    <w:rsid w:val="008E6404"/>
    <w:rsid w:val="008E6486"/>
    <w:rsid w:val="008E64B2"/>
    <w:rsid w:val="008E6534"/>
    <w:rsid w:val="008E655C"/>
    <w:rsid w:val="008E68D8"/>
    <w:rsid w:val="008E6A08"/>
    <w:rsid w:val="008E6A77"/>
    <w:rsid w:val="008E6AFB"/>
    <w:rsid w:val="008E6B2C"/>
    <w:rsid w:val="008E6C2E"/>
    <w:rsid w:val="008E6C93"/>
    <w:rsid w:val="008E6DB9"/>
    <w:rsid w:val="008E6DBC"/>
    <w:rsid w:val="008E6DF7"/>
    <w:rsid w:val="008E6E60"/>
    <w:rsid w:val="008E6EB3"/>
    <w:rsid w:val="008E6F7F"/>
    <w:rsid w:val="008E6FD4"/>
    <w:rsid w:val="008E715A"/>
    <w:rsid w:val="008E7174"/>
    <w:rsid w:val="008E73D1"/>
    <w:rsid w:val="008E7417"/>
    <w:rsid w:val="008E75BB"/>
    <w:rsid w:val="008E788F"/>
    <w:rsid w:val="008E78CB"/>
    <w:rsid w:val="008E79DA"/>
    <w:rsid w:val="008E7AA2"/>
    <w:rsid w:val="008E7AB1"/>
    <w:rsid w:val="008E7ADD"/>
    <w:rsid w:val="008E7BA1"/>
    <w:rsid w:val="008E7C16"/>
    <w:rsid w:val="008E7D4E"/>
    <w:rsid w:val="008E7D51"/>
    <w:rsid w:val="008E7E93"/>
    <w:rsid w:val="008F00E1"/>
    <w:rsid w:val="008F04F3"/>
    <w:rsid w:val="008F05E4"/>
    <w:rsid w:val="008F06FC"/>
    <w:rsid w:val="008F08C7"/>
    <w:rsid w:val="008F0937"/>
    <w:rsid w:val="008F09E9"/>
    <w:rsid w:val="008F1084"/>
    <w:rsid w:val="008F1172"/>
    <w:rsid w:val="008F1186"/>
    <w:rsid w:val="008F118C"/>
    <w:rsid w:val="008F11B1"/>
    <w:rsid w:val="008F1442"/>
    <w:rsid w:val="008F14BD"/>
    <w:rsid w:val="008F17F4"/>
    <w:rsid w:val="008F1A68"/>
    <w:rsid w:val="008F1AC5"/>
    <w:rsid w:val="008F1B65"/>
    <w:rsid w:val="008F1C5D"/>
    <w:rsid w:val="008F1D99"/>
    <w:rsid w:val="008F1F96"/>
    <w:rsid w:val="008F2018"/>
    <w:rsid w:val="008F201B"/>
    <w:rsid w:val="008F223C"/>
    <w:rsid w:val="008F2362"/>
    <w:rsid w:val="008F243E"/>
    <w:rsid w:val="008F25BE"/>
    <w:rsid w:val="008F2903"/>
    <w:rsid w:val="008F2962"/>
    <w:rsid w:val="008F29C3"/>
    <w:rsid w:val="008F29F6"/>
    <w:rsid w:val="008F2D46"/>
    <w:rsid w:val="008F2E6C"/>
    <w:rsid w:val="008F30C1"/>
    <w:rsid w:val="008F3165"/>
    <w:rsid w:val="008F3487"/>
    <w:rsid w:val="008F3613"/>
    <w:rsid w:val="008F36CC"/>
    <w:rsid w:val="008F3804"/>
    <w:rsid w:val="008F3814"/>
    <w:rsid w:val="008F38B4"/>
    <w:rsid w:val="008F395F"/>
    <w:rsid w:val="008F3971"/>
    <w:rsid w:val="008F39AB"/>
    <w:rsid w:val="008F39D5"/>
    <w:rsid w:val="008F3A1A"/>
    <w:rsid w:val="008F3A79"/>
    <w:rsid w:val="008F3E2C"/>
    <w:rsid w:val="008F4028"/>
    <w:rsid w:val="008F405E"/>
    <w:rsid w:val="008F4108"/>
    <w:rsid w:val="008F4163"/>
    <w:rsid w:val="008F4165"/>
    <w:rsid w:val="008F431E"/>
    <w:rsid w:val="008F43CB"/>
    <w:rsid w:val="008F4596"/>
    <w:rsid w:val="008F45E4"/>
    <w:rsid w:val="008F46EB"/>
    <w:rsid w:val="008F477B"/>
    <w:rsid w:val="008F47A5"/>
    <w:rsid w:val="008F48AB"/>
    <w:rsid w:val="008F497B"/>
    <w:rsid w:val="008F4A69"/>
    <w:rsid w:val="008F4A6D"/>
    <w:rsid w:val="008F4C2B"/>
    <w:rsid w:val="008F4E7C"/>
    <w:rsid w:val="008F4F24"/>
    <w:rsid w:val="008F4FAE"/>
    <w:rsid w:val="008F4FB8"/>
    <w:rsid w:val="008F51FB"/>
    <w:rsid w:val="008F523D"/>
    <w:rsid w:val="008F528B"/>
    <w:rsid w:val="008F52B1"/>
    <w:rsid w:val="008F52B9"/>
    <w:rsid w:val="008F5326"/>
    <w:rsid w:val="008F532C"/>
    <w:rsid w:val="008F53D5"/>
    <w:rsid w:val="008F550A"/>
    <w:rsid w:val="008F5656"/>
    <w:rsid w:val="008F5974"/>
    <w:rsid w:val="008F5985"/>
    <w:rsid w:val="008F5A31"/>
    <w:rsid w:val="008F5ACB"/>
    <w:rsid w:val="008F5B7C"/>
    <w:rsid w:val="008F5CB9"/>
    <w:rsid w:val="008F5E8C"/>
    <w:rsid w:val="008F5F0F"/>
    <w:rsid w:val="008F5F3A"/>
    <w:rsid w:val="008F5FC9"/>
    <w:rsid w:val="008F6020"/>
    <w:rsid w:val="008F611D"/>
    <w:rsid w:val="008F6227"/>
    <w:rsid w:val="008F647D"/>
    <w:rsid w:val="008F647F"/>
    <w:rsid w:val="008F6495"/>
    <w:rsid w:val="008F655B"/>
    <w:rsid w:val="008F659E"/>
    <w:rsid w:val="008F65C6"/>
    <w:rsid w:val="008F65D5"/>
    <w:rsid w:val="008F6852"/>
    <w:rsid w:val="008F6A6B"/>
    <w:rsid w:val="008F6AF4"/>
    <w:rsid w:val="008F6ED1"/>
    <w:rsid w:val="008F6EE8"/>
    <w:rsid w:val="008F6F1B"/>
    <w:rsid w:val="008F6F32"/>
    <w:rsid w:val="008F707A"/>
    <w:rsid w:val="008F719B"/>
    <w:rsid w:val="008F72B3"/>
    <w:rsid w:val="008F74F0"/>
    <w:rsid w:val="008F754D"/>
    <w:rsid w:val="008F7592"/>
    <w:rsid w:val="008F75AE"/>
    <w:rsid w:val="008F75F5"/>
    <w:rsid w:val="008F76D4"/>
    <w:rsid w:val="008F7704"/>
    <w:rsid w:val="008F781E"/>
    <w:rsid w:val="008F786B"/>
    <w:rsid w:val="008F7878"/>
    <w:rsid w:val="008F79F9"/>
    <w:rsid w:val="008F7A14"/>
    <w:rsid w:val="008F7AD5"/>
    <w:rsid w:val="008F7B82"/>
    <w:rsid w:val="008F7CBE"/>
    <w:rsid w:val="008F7CC2"/>
    <w:rsid w:val="008F7CFB"/>
    <w:rsid w:val="008F7DAE"/>
    <w:rsid w:val="008F7E8F"/>
    <w:rsid w:val="008F7EE2"/>
    <w:rsid w:val="008F7F24"/>
    <w:rsid w:val="009000FA"/>
    <w:rsid w:val="00900109"/>
    <w:rsid w:val="009001E6"/>
    <w:rsid w:val="009002D0"/>
    <w:rsid w:val="0090037D"/>
    <w:rsid w:val="009003D0"/>
    <w:rsid w:val="00900517"/>
    <w:rsid w:val="00900518"/>
    <w:rsid w:val="009007D9"/>
    <w:rsid w:val="009007FD"/>
    <w:rsid w:val="0090095C"/>
    <w:rsid w:val="009009A0"/>
    <w:rsid w:val="009009FB"/>
    <w:rsid w:val="00900A6C"/>
    <w:rsid w:val="00900A73"/>
    <w:rsid w:val="00900B14"/>
    <w:rsid w:val="00900BE5"/>
    <w:rsid w:val="00900C2D"/>
    <w:rsid w:val="00900CF9"/>
    <w:rsid w:val="00900D57"/>
    <w:rsid w:val="00900E1D"/>
    <w:rsid w:val="00900EE3"/>
    <w:rsid w:val="00901069"/>
    <w:rsid w:val="00901112"/>
    <w:rsid w:val="00901118"/>
    <w:rsid w:val="00901171"/>
    <w:rsid w:val="0090118E"/>
    <w:rsid w:val="009012AD"/>
    <w:rsid w:val="00901349"/>
    <w:rsid w:val="009013AC"/>
    <w:rsid w:val="009013B4"/>
    <w:rsid w:val="00901486"/>
    <w:rsid w:val="0090158E"/>
    <w:rsid w:val="00901683"/>
    <w:rsid w:val="0090174F"/>
    <w:rsid w:val="009018EF"/>
    <w:rsid w:val="0090199F"/>
    <w:rsid w:val="009019D6"/>
    <w:rsid w:val="00901A95"/>
    <w:rsid w:val="00901CDB"/>
    <w:rsid w:val="00901D9D"/>
    <w:rsid w:val="00901DAE"/>
    <w:rsid w:val="00901DD6"/>
    <w:rsid w:val="00901DF2"/>
    <w:rsid w:val="00901E1C"/>
    <w:rsid w:val="0090204D"/>
    <w:rsid w:val="0090209A"/>
    <w:rsid w:val="0090243B"/>
    <w:rsid w:val="0090246B"/>
    <w:rsid w:val="00902472"/>
    <w:rsid w:val="00902495"/>
    <w:rsid w:val="009024BE"/>
    <w:rsid w:val="0090264D"/>
    <w:rsid w:val="0090265C"/>
    <w:rsid w:val="00902821"/>
    <w:rsid w:val="0090292E"/>
    <w:rsid w:val="00902A8C"/>
    <w:rsid w:val="00902B09"/>
    <w:rsid w:val="00902D0E"/>
    <w:rsid w:val="00902D46"/>
    <w:rsid w:val="00902EF1"/>
    <w:rsid w:val="0090302C"/>
    <w:rsid w:val="00903292"/>
    <w:rsid w:val="0090332F"/>
    <w:rsid w:val="00903347"/>
    <w:rsid w:val="00903688"/>
    <w:rsid w:val="009036BB"/>
    <w:rsid w:val="0090395A"/>
    <w:rsid w:val="00903972"/>
    <w:rsid w:val="00903A2B"/>
    <w:rsid w:val="00903B5C"/>
    <w:rsid w:val="00903B73"/>
    <w:rsid w:val="00903BAB"/>
    <w:rsid w:val="00903C31"/>
    <w:rsid w:val="00903C6F"/>
    <w:rsid w:val="00903D31"/>
    <w:rsid w:val="00903D9E"/>
    <w:rsid w:val="00903E67"/>
    <w:rsid w:val="00903E92"/>
    <w:rsid w:val="00904190"/>
    <w:rsid w:val="0090425F"/>
    <w:rsid w:val="009042C8"/>
    <w:rsid w:val="009042DB"/>
    <w:rsid w:val="009042E7"/>
    <w:rsid w:val="00904326"/>
    <w:rsid w:val="00904365"/>
    <w:rsid w:val="009043E2"/>
    <w:rsid w:val="0090455E"/>
    <w:rsid w:val="00904577"/>
    <w:rsid w:val="00904631"/>
    <w:rsid w:val="009047B0"/>
    <w:rsid w:val="009047EB"/>
    <w:rsid w:val="00904E65"/>
    <w:rsid w:val="00904E76"/>
    <w:rsid w:val="00904EBE"/>
    <w:rsid w:val="00904EC8"/>
    <w:rsid w:val="00904EFC"/>
    <w:rsid w:val="00904F88"/>
    <w:rsid w:val="00904F8D"/>
    <w:rsid w:val="00905335"/>
    <w:rsid w:val="0090537D"/>
    <w:rsid w:val="009053F7"/>
    <w:rsid w:val="009054EB"/>
    <w:rsid w:val="009055E0"/>
    <w:rsid w:val="00905804"/>
    <w:rsid w:val="00905897"/>
    <w:rsid w:val="00905935"/>
    <w:rsid w:val="0090596D"/>
    <w:rsid w:val="009059EE"/>
    <w:rsid w:val="00905B37"/>
    <w:rsid w:val="00905C0E"/>
    <w:rsid w:val="00905C11"/>
    <w:rsid w:val="00905C2A"/>
    <w:rsid w:val="00905D33"/>
    <w:rsid w:val="00905DF1"/>
    <w:rsid w:val="00905E5A"/>
    <w:rsid w:val="00905EA7"/>
    <w:rsid w:val="00905F50"/>
    <w:rsid w:val="009060CD"/>
    <w:rsid w:val="0090612A"/>
    <w:rsid w:val="00906316"/>
    <w:rsid w:val="0090631E"/>
    <w:rsid w:val="009063EC"/>
    <w:rsid w:val="00906478"/>
    <w:rsid w:val="0090654A"/>
    <w:rsid w:val="009066E1"/>
    <w:rsid w:val="00906895"/>
    <w:rsid w:val="00906AF6"/>
    <w:rsid w:val="00906CAA"/>
    <w:rsid w:val="00906D9B"/>
    <w:rsid w:val="00906F82"/>
    <w:rsid w:val="00906FD7"/>
    <w:rsid w:val="00907025"/>
    <w:rsid w:val="00907385"/>
    <w:rsid w:val="009073FB"/>
    <w:rsid w:val="00907434"/>
    <w:rsid w:val="009076D2"/>
    <w:rsid w:val="00907748"/>
    <w:rsid w:val="009078C1"/>
    <w:rsid w:val="009079F1"/>
    <w:rsid w:val="00907A1C"/>
    <w:rsid w:val="00907A1F"/>
    <w:rsid w:val="00907A60"/>
    <w:rsid w:val="00907AF2"/>
    <w:rsid w:val="00907DBA"/>
    <w:rsid w:val="00907DDF"/>
    <w:rsid w:val="00907E98"/>
    <w:rsid w:val="0091015A"/>
    <w:rsid w:val="00910378"/>
    <w:rsid w:val="009103D9"/>
    <w:rsid w:val="00910442"/>
    <w:rsid w:val="00910446"/>
    <w:rsid w:val="0091054E"/>
    <w:rsid w:val="009105A7"/>
    <w:rsid w:val="009106FD"/>
    <w:rsid w:val="0091099B"/>
    <w:rsid w:val="00910A09"/>
    <w:rsid w:val="00910D1E"/>
    <w:rsid w:val="00910E5C"/>
    <w:rsid w:val="00910E6C"/>
    <w:rsid w:val="00910F06"/>
    <w:rsid w:val="00910FA8"/>
    <w:rsid w:val="00910FCA"/>
    <w:rsid w:val="0091130B"/>
    <w:rsid w:val="0091134B"/>
    <w:rsid w:val="00911379"/>
    <w:rsid w:val="009113CF"/>
    <w:rsid w:val="00911525"/>
    <w:rsid w:val="009115A6"/>
    <w:rsid w:val="009116AA"/>
    <w:rsid w:val="00911713"/>
    <w:rsid w:val="00911795"/>
    <w:rsid w:val="00911840"/>
    <w:rsid w:val="009118A3"/>
    <w:rsid w:val="00911A0D"/>
    <w:rsid w:val="00911A9F"/>
    <w:rsid w:val="0091200A"/>
    <w:rsid w:val="00912096"/>
    <w:rsid w:val="0091209A"/>
    <w:rsid w:val="00912162"/>
    <w:rsid w:val="009121AF"/>
    <w:rsid w:val="00912327"/>
    <w:rsid w:val="00912366"/>
    <w:rsid w:val="009123A0"/>
    <w:rsid w:val="00912486"/>
    <w:rsid w:val="0091253F"/>
    <w:rsid w:val="009125EE"/>
    <w:rsid w:val="009129D6"/>
    <w:rsid w:val="00912A09"/>
    <w:rsid w:val="00912B92"/>
    <w:rsid w:val="00912BAA"/>
    <w:rsid w:val="00912BEB"/>
    <w:rsid w:val="00912C5A"/>
    <w:rsid w:val="00912C98"/>
    <w:rsid w:val="00912D07"/>
    <w:rsid w:val="00912D51"/>
    <w:rsid w:val="00912D52"/>
    <w:rsid w:val="00912E6B"/>
    <w:rsid w:val="00912E89"/>
    <w:rsid w:val="00912EA7"/>
    <w:rsid w:val="00912EBF"/>
    <w:rsid w:val="00913095"/>
    <w:rsid w:val="0091309D"/>
    <w:rsid w:val="0091312C"/>
    <w:rsid w:val="009131E0"/>
    <w:rsid w:val="009131F4"/>
    <w:rsid w:val="00913343"/>
    <w:rsid w:val="0091337B"/>
    <w:rsid w:val="009133AA"/>
    <w:rsid w:val="0091345D"/>
    <w:rsid w:val="009134A8"/>
    <w:rsid w:val="00913669"/>
    <w:rsid w:val="0091373A"/>
    <w:rsid w:val="00913752"/>
    <w:rsid w:val="0091383F"/>
    <w:rsid w:val="009138CA"/>
    <w:rsid w:val="009138D2"/>
    <w:rsid w:val="009139D9"/>
    <w:rsid w:val="00913AA0"/>
    <w:rsid w:val="00913B26"/>
    <w:rsid w:val="00913B63"/>
    <w:rsid w:val="00913B7B"/>
    <w:rsid w:val="00913BD5"/>
    <w:rsid w:val="00913DF9"/>
    <w:rsid w:val="00913EDD"/>
    <w:rsid w:val="00913F0C"/>
    <w:rsid w:val="00913F16"/>
    <w:rsid w:val="00913F33"/>
    <w:rsid w:val="00913FA5"/>
    <w:rsid w:val="009140E4"/>
    <w:rsid w:val="0091410C"/>
    <w:rsid w:val="00914112"/>
    <w:rsid w:val="00914182"/>
    <w:rsid w:val="009141E8"/>
    <w:rsid w:val="0091427C"/>
    <w:rsid w:val="009143A9"/>
    <w:rsid w:val="009144FC"/>
    <w:rsid w:val="009146A9"/>
    <w:rsid w:val="00914838"/>
    <w:rsid w:val="0091486F"/>
    <w:rsid w:val="0091488B"/>
    <w:rsid w:val="00914919"/>
    <w:rsid w:val="00914A26"/>
    <w:rsid w:val="00914C1B"/>
    <w:rsid w:val="00914CEA"/>
    <w:rsid w:val="00914D33"/>
    <w:rsid w:val="00914D3B"/>
    <w:rsid w:val="009154F0"/>
    <w:rsid w:val="0091571D"/>
    <w:rsid w:val="00915C57"/>
    <w:rsid w:val="00915C77"/>
    <w:rsid w:val="00915E77"/>
    <w:rsid w:val="009160B4"/>
    <w:rsid w:val="00916186"/>
    <w:rsid w:val="0091621E"/>
    <w:rsid w:val="00916240"/>
    <w:rsid w:val="00916325"/>
    <w:rsid w:val="009163AF"/>
    <w:rsid w:val="0091646B"/>
    <w:rsid w:val="00916548"/>
    <w:rsid w:val="0091664B"/>
    <w:rsid w:val="00916685"/>
    <w:rsid w:val="009166AE"/>
    <w:rsid w:val="00916735"/>
    <w:rsid w:val="00916830"/>
    <w:rsid w:val="00916965"/>
    <w:rsid w:val="0091698A"/>
    <w:rsid w:val="009169FA"/>
    <w:rsid w:val="00916A4E"/>
    <w:rsid w:val="00916AA5"/>
    <w:rsid w:val="00916AB1"/>
    <w:rsid w:val="00916B38"/>
    <w:rsid w:val="00916B89"/>
    <w:rsid w:val="00916C16"/>
    <w:rsid w:val="00916C47"/>
    <w:rsid w:val="00916CAC"/>
    <w:rsid w:val="00916D7F"/>
    <w:rsid w:val="00916DB1"/>
    <w:rsid w:val="00916E6D"/>
    <w:rsid w:val="00916ECC"/>
    <w:rsid w:val="00916F53"/>
    <w:rsid w:val="00916FC8"/>
    <w:rsid w:val="009170D1"/>
    <w:rsid w:val="00917324"/>
    <w:rsid w:val="009173FD"/>
    <w:rsid w:val="0091746B"/>
    <w:rsid w:val="009177D1"/>
    <w:rsid w:val="00917833"/>
    <w:rsid w:val="00917914"/>
    <w:rsid w:val="0091793E"/>
    <w:rsid w:val="00917C10"/>
    <w:rsid w:val="00917D4F"/>
    <w:rsid w:val="00917D81"/>
    <w:rsid w:val="00917DA6"/>
    <w:rsid w:val="00917E27"/>
    <w:rsid w:val="00917E30"/>
    <w:rsid w:val="00917F45"/>
    <w:rsid w:val="00917FB2"/>
    <w:rsid w:val="0092001B"/>
    <w:rsid w:val="0092009E"/>
    <w:rsid w:val="0092012F"/>
    <w:rsid w:val="00920174"/>
    <w:rsid w:val="009201E5"/>
    <w:rsid w:val="009201F6"/>
    <w:rsid w:val="0092022F"/>
    <w:rsid w:val="00920675"/>
    <w:rsid w:val="0092067D"/>
    <w:rsid w:val="00920832"/>
    <w:rsid w:val="0092085F"/>
    <w:rsid w:val="009208F9"/>
    <w:rsid w:val="0092098F"/>
    <w:rsid w:val="00920C19"/>
    <w:rsid w:val="00920C73"/>
    <w:rsid w:val="00920CA7"/>
    <w:rsid w:val="00920D2F"/>
    <w:rsid w:val="00920D74"/>
    <w:rsid w:val="00920DF8"/>
    <w:rsid w:val="00920E58"/>
    <w:rsid w:val="00920F50"/>
    <w:rsid w:val="00920F5A"/>
    <w:rsid w:val="00921038"/>
    <w:rsid w:val="00921079"/>
    <w:rsid w:val="009210BF"/>
    <w:rsid w:val="0092116A"/>
    <w:rsid w:val="0092121F"/>
    <w:rsid w:val="0092128D"/>
    <w:rsid w:val="009212A0"/>
    <w:rsid w:val="009212F2"/>
    <w:rsid w:val="00921630"/>
    <w:rsid w:val="009218BC"/>
    <w:rsid w:val="00921914"/>
    <w:rsid w:val="00921922"/>
    <w:rsid w:val="00921933"/>
    <w:rsid w:val="00921A74"/>
    <w:rsid w:val="00921A9A"/>
    <w:rsid w:val="00921ABD"/>
    <w:rsid w:val="00921ACA"/>
    <w:rsid w:val="00921B02"/>
    <w:rsid w:val="00921CB7"/>
    <w:rsid w:val="00921F31"/>
    <w:rsid w:val="00921FAA"/>
    <w:rsid w:val="00921FE1"/>
    <w:rsid w:val="0092209B"/>
    <w:rsid w:val="009222ED"/>
    <w:rsid w:val="009222F6"/>
    <w:rsid w:val="0092244E"/>
    <w:rsid w:val="00922467"/>
    <w:rsid w:val="009224C7"/>
    <w:rsid w:val="00922846"/>
    <w:rsid w:val="00922AB5"/>
    <w:rsid w:val="00922AF8"/>
    <w:rsid w:val="00922B1A"/>
    <w:rsid w:val="00922B45"/>
    <w:rsid w:val="00922C96"/>
    <w:rsid w:val="00922CC0"/>
    <w:rsid w:val="00922DA1"/>
    <w:rsid w:val="00922DAE"/>
    <w:rsid w:val="00922F43"/>
    <w:rsid w:val="0092326F"/>
    <w:rsid w:val="009233CA"/>
    <w:rsid w:val="0092351A"/>
    <w:rsid w:val="0092352F"/>
    <w:rsid w:val="00923591"/>
    <w:rsid w:val="00923614"/>
    <w:rsid w:val="0092365C"/>
    <w:rsid w:val="00923756"/>
    <w:rsid w:val="00923892"/>
    <w:rsid w:val="0092393F"/>
    <w:rsid w:val="00923949"/>
    <w:rsid w:val="00923E6D"/>
    <w:rsid w:val="00923F18"/>
    <w:rsid w:val="00923F8D"/>
    <w:rsid w:val="00923FEF"/>
    <w:rsid w:val="009240C5"/>
    <w:rsid w:val="009242BD"/>
    <w:rsid w:val="009244EF"/>
    <w:rsid w:val="00924587"/>
    <w:rsid w:val="009247DE"/>
    <w:rsid w:val="009247E2"/>
    <w:rsid w:val="0092485E"/>
    <w:rsid w:val="009248B3"/>
    <w:rsid w:val="00924984"/>
    <w:rsid w:val="00924D29"/>
    <w:rsid w:val="00924DA8"/>
    <w:rsid w:val="00924E24"/>
    <w:rsid w:val="00924E5B"/>
    <w:rsid w:val="0092512D"/>
    <w:rsid w:val="009251B1"/>
    <w:rsid w:val="00925226"/>
    <w:rsid w:val="009252F2"/>
    <w:rsid w:val="00925378"/>
    <w:rsid w:val="009253B5"/>
    <w:rsid w:val="009253BA"/>
    <w:rsid w:val="009253D6"/>
    <w:rsid w:val="009255A4"/>
    <w:rsid w:val="00925615"/>
    <w:rsid w:val="0092569F"/>
    <w:rsid w:val="0092577D"/>
    <w:rsid w:val="00925829"/>
    <w:rsid w:val="0092586F"/>
    <w:rsid w:val="00925925"/>
    <w:rsid w:val="00925A17"/>
    <w:rsid w:val="00925A77"/>
    <w:rsid w:val="00925AA6"/>
    <w:rsid w:val="00925BBF"/>
    <w:rsid w:val="00925C4D"/>
    <w:rsid w:val="00925DD6"/>
    <w:rsid w:val="00925E70"/>
    <w:rsid w:val="00925EB1"/>
    <w:rsid w:val="0092602A"/>
    <w:rsid w:val="0092605E"/>
    <w:rsid w:val="0092609F"/>
    <w:rsid w:val="00926132"/>
    <w:rsid w:val="009261B7"/>
    <w:rsid w:val="009261DD"/>
    <w:rsid w:val="009262C8"/>
    <w:rsid w:val="00926351"/>
    <w:rsid w:val="0092637E"/>
    <w:rsid w:val="00926427"/>
    <w:rsid w:val="00926429"/>
    <w:rsid w:val="00926485"/>
    <w:rsid w:val="00926644"/>
    <w:rsid w:val="00926885"/>
    <w:rsid w:val="00926893"/>
    <w:rsid w:val="00926ACB"/>
    <w:rsid w:val="00926B3B"/>
    <w:rsid w:val="00926C65"/>
    <w:rsid w:val="00926CDC"/>
    <w:rsid w:val="00926CE0"/>
    <w:rsid w:val="00926CE7"/>
    <w:rsid w:val="00926D6A"/>
    <w:rsid w:val="00926E19"/>
    <w:rsid w:val="00926F5D"/>
    <w:rsid w:val="00927036"/>
    <w:rsid w:val="0092717A"/>
    <w:rsid w:val="009271E4"/>
    <w:rsid w:val="0092727C"/>
    <w:rsid w:val="0092731F"/>
    <w:rsid w:val="00927491"/>
    <w:rsid w:val="009274AE"/>
    <w:rsid w:val="009274C9"/>
    <w:rsid w:val="00927736"/>
    <w:rsid w:val="009278AA"/>
    <w:rsid w:val="00927916"/>
    <w:rsid w:val="009279D9"/>
    <w:rsid w:val="00927A17"/>
    <w:rsid w:val="00927AE1"/>
    <w:rsid w:val="00927D07"/>
    <w:rsid w:val="00927E03"/>
    <w:rsid w:val="009300F5"/>
    <w:rsid w:val="009301C5"/>
    <w:rsid w:val="009302E9"/>
    <w:rsid w:val="00930323"/>
    <w:rsid w:val="009304C7"/>
    <w:rsid w:val="0093056A"/>
    <w:rsid w:val="009305C7"/>
    <w:rsid w:val="00930633"/>
    <w:rsid w:val="009307CC"/>
    <w:rsid w:val="009308E1"/>
    <w:rsid w:val="00930921"/>
    <w:rsid w:val="009309DA"/>
    <w:rsid w:val="00930AF8"/>
    <w:rsid w:val="00930E59"/>
    <w:rsid w:val="00930EF4"/>
    <w:rsid w:val="00930F0A"/>
    <w:rsid w:val="00930F1A"/>
    <w:rsid w:val="00930FE6"/>
    <w:rsid w:val="0093115B"/>
    <w:rsid w:val="00931241"/>
    <w:rsid w:val="00931338"/>
    <w:rsid w:val="00931395"/>
    <w:rsid w:val="00931450"/>
    <w:rsid w:val="009314DD"/>
    <w:rsid w:val="009315B2"/>
    <w:rsid w:val="009315F1"/>
    <w:rsid w:val="00931660"/>
    <w:rsid w:val="009316B4"/>
    <w:rsid w:val="009316BB"/>
    <w:rsid w:val="0093170E"/>
    <w:rsid w:val="009317D3"/>
    <w:rsid w:val="009317F8"/>
    <w:rsid w:val="00931873"/>
    <w:rsid w:val="0093197D"/>
    <w:rsid w:val="00931A2C"/>
    <w:rsid w:val="00931AC8"/>
    <w:rsid w:val="00931B48"/>
    <w:rsid w:val="00931C71"/>
    <w:rsid w:val="00931C8D"/>
    <w:rsid w:val="00931CF5"/>
    <w:rsid w:val="00931E4C"/>
    <w:rsid w:val="00931F4F"/>
    <w:rsid w:val="009321C9"/>
    <w:rsid w:val="009321D3"/>
    <w:rsid w:val="0093224A"/>
    <w:rsid w:val="0093225E"/>
    <w:rsid w:val="009322CB"/>
    <w:rsid w:val="009323B4"/>
    <w:rsid w:val="00932482"/>
    <w:rsid w:val="0093254F"/>
    <w:rsid w:val="00932652"/>
    <w:rsid w:val="009326E9"/>
    <w:rsid w:val="00932787"/>
    <w:rsid w:val="00932808"/>
    <w:rsid w:val="009329D2"/>
    <w:rsid w:val="00932B01"/>
    <w:rsid w:val="00932B21"/>
    <w:rsid w:val="00932C4D"/>
    <w:rsid w:val="00932D3A"/>
    <w:rsid w:val="00933059"/>
    <w:rsid w:val="0093307C"/>
    <w:rsid w:val="00933172"/>
    <w:rsid w:val="00933396"/>
    <w:rsid w:val="009335A4"/>
    <w:rsid w:val="009335BC"/>
    <w:rsid w:val="00933659"/>
    <w:rsid w:val="009336C1"/>
    <w:rsid w:val="009336E9"/>
    <w:rsid w:val="00933778"/>
    <w:rsid w:val="009337F0"/>
    <w:rsid w:val="009338EE"/>
    <w:rsid w:val="00933A4C"/>
    <w:rsid w:val="00933BD0"/>
    <w:rsid w:val="00933C7C"/>
    <w:rsid w:val="00933C94"/>
    <w:rsid w:val="00933D38"/>
    <w:rsid w:val="00933F34"/>
    <w:rsid w:val="00933FA5"/>
    <w:rsid w:val="009340D6"/>
    <w:rsid w:val="0093410C"/>
    <w:rsid w:val="00934214"/>
    <w:rsid w:val="009345AE"/>
    <w:rsid w:val="009345B0"/>
    <w:rsid w:val="009347DA"/>
    <w:rsid w:val="00934AED"/>
    <w:rsid w:val="00934C2E"/>
    <w:rsid w:val="00934C35"/>
    <w:rsid w:val="00934C64"/>
    <w:rsid w:val="00934CCF"/>
    <w:rsid w:val="00934D28"/>
    <w:rsid w:val="00934FC3"/>
    <w:rsid w:val="00935253"/>
    <w:rsid w:val="00935278"/>
    <w:rsid w:val="0093528D"/>
    <w:rsid w:val="009352BC"/>
    <w:rsid w:val="009352F0"/>
    <w:rsid w:val="00935590"/>
    <w:rsid w:val="009356A2"/>
    <w:rsid w:val="00935704"/>
    <w:rsid w:val="0093585A"/>
    <w:rsid w:val="009359ED"/>
    <w:rsid w:val="00935A92"/>
    <w:rsid w:val="00935E5D"/>
    <w:rsid w:val="00936060"/>
    <w:rsid w:val="0093611A"/>
    <w:rsid w:val="00936153"/>
    <w:rsid w:val="00936205"/>
    <w:rsid w:val="00936311"/>
    <w:rsid w:val="009363D9"/>
    <w:rsid w:val="0093648B"/>
    <w:rsid w:val="009364B3"/>
    <w:rsid w:val="009366D4"/>
    <w:rsid w:val="0093678C"/>
    <w:rsid w:val="00936790"/>
    <w:rsid w:val="0093680A"/>
    <w:rsid w:val="00936931"/>
    <w:rsid w:val="00936A73"/>
    <w:rsid w:val="00936AD3"/>
    <w:rsid w:val="00936D04"/>
    <w:rsid w:val="00936EC1"/>
    <w:rsid w:val="009370DB"/>
    <w:rsid w:val="00937181"/>
    <w:rsid w:val="009371BC"/>
    <w:rsid w:val="0093737D"/>
    <w:rsid w:val="009374F4"/>
    <w:rsid w:val="00937551"/>
    <w:rsid w:val="0093767D"/>
    <w:rsid w:val="0093773C"/>
    <w:rsid w:val="00937803"/>
    <w:rsid w:val="00937851"/>
    <w:rsid w:val="009378B6"/>
    <w:rsid w:val="00937920"/>
    <w:rsid w:val="009379B3"/>
    <w:rsid w:val="00937A43"/>
    <w:rsid w:val="00937BEA"/>
    <w:rsid w:val="00937D6E"/>
    <w:rsid w:val="00937FE2"/>
    <w:rsid w:val="0094008D"/>
    <w:rsid w:val="00940189"/>
    <w:rsid w:val="00940268"/>
    <w:rsid w:val="0094027A"/>
    <w:rsid w:val="00940301"/>
    <w:rsid w:val="009403C4"/>
    <w:rsid w:val="009404C5"/>
    <w:rsid w:val="00940514"/>
    <w:rsid w:val="00940A32"/>
    <w:rsid w:val="00940CF9"/>
    <w:rsid w:val="00940D14"/>
    <w:rsid w:val="00940EB1"/>
    <w:rsid w:val="00940EE4"/>
    <w:rsid w:val="00940F50"/>
    <w:rsid w:val="0094107A"/>
    <w:rsid w:val="009410A7"/>
    <w:rsid w:val="009412A0"/>
    <w:rsid w:val="009412DA"/>
    <w:rsid w:val="00941408"/>
    <w:rsid w:val="00941437"/>
    <w:rsid w:val="00941541"/>
    <w:rsid w:val="009415F5"/>
    <w:rsid w:val="00941613"/>
    <w:rsid w:val="00941638"/>
    <w:rsid w:val="00941651"/>
    <w:rsid w:val="00941683"/>
    <w:rsid w:val="00941979"/>
    <w:rsid w:val="00941B05"/>
    <w:rsid w:val="00941BA4"/>
    <w:rsid w:val="00941C73"/>
    <w:rsid w:val="00941D6E"/>
    <w:rsid w:val="00941DAE"/>
    <w:rsid w:val="00941E83"/>
    <w:rsid w:val="00941F62"/>
    <w:rsid w:val="00942092"/>
    <w:rsid w:val="009420B2"/>
    <w:rsid w:val="00942142"/>
    <w:rsid w:val="00942178"/>
    <w:rsid w:val="009421B1"/>
    <w:rsid w:val="00942223"/>
    <w:rsid w:val="00942237"/>
    <w:rsid w:val="00942295"/>
    <w:rsid w:val="009422BD"/>
    <w:rsid w:val="0094237A"/>
    <w:rsid w:val="0094272F"/>
    <w:rsid w:val="0094293D"/>
    <w:rsid w:val="00942979"/>
    <w:rsid w:val="00942ACF"/>
    <w:rsid w:val="00942B7A"/>
    <w:rsid w:val="00942C79"/>
    <w:rsid w:val="00942D2C"/>
    <w:rsid w:val="00942D7E"/>
    <w:rsid w:val="00942FC4"/>
    <w:rsid w:val="0094333F"/>
    <w:rsid w:val="00943586"/>
    <w:rsid w:val="009435DD"/>
    <w:rsid w:val="00943667"/>
    <w:rsid w:val="0094368A"/>
    <w:rsid w:val="009436B8"/>
    <w:rsid w:val="00943765"/>
    <w:rsid w:val="0094377D"/>
    <w:rsid w:val="009437A0"/>
    <w:rsid w:val="00943926"/>
    <w:rsid w:val="009439A9"/>
    <w:rsid w:val="00943AA1"/>
    <w:rsid w:val="00943B90"/>
    <w:rsid w:val="00943CAE"/>
    <w:rsid w:val="00943CEA"/>
    <w:rsid w:val="00943E73"/>
    <w:rsid w:val="0094402B"/>
    <w:rsid w:val="00944164"/>
    <w:rsid w:val="00944192"/>
    <w:rsid w:val="0094422B"/>
    <w:rsid w:val="0094433D"/>
    <w:rsid w:val="0094433E"/>
    <w:rsid w:val="00944464"/>
    <w:rsid w:val="00944470"/>
    <w:rsid w:val="009444B5"/>
    <w:rsid w:val="009444BF"/>
    <w:rsid w:val="00944570"/>
    <w:rsid w:val="0094463B"/>
    <w:rsid w:val="00944708"/>
    <w:rsid w:val="00944742"/>
    <w:rsid w:val="009447CB"/>
    <w:rsid w:val="009449A7"/>
    <w:rsid w:val="009449BA"/>
    <w:rsid w:val="009449CC"/>
    <w:rsid w:val="00944B13"/>
    <w:rsid w:val="00944C39"/>
    <w:rsid w:val="00944E41"/>
    <w:rsid w:val="00944EA0"/>
    <w:rsid w:val="00944FD4"/>
    <w:rsid w:val="009450FB"/>
    <w:rsid w:val="00945211"/>
    <w:rsid w:val="00945269"/>
    <w:rsid w:val="009452C1"/>
    <w:rsid w:val="00945399"/>
    <w:rsid w:val="009454DC"/>
    <w:rsid w:val="0094553A"/>
    <w:rsid w:val="009455E0"/>
    <w:rsid w:val="0094568B"/>
    <w:rsid w:val="009456CE"/>
    <w:rsid w:val="0094581D"/>
    <w:rsid w:val="00945961"/>
    <w:rsid w:val="00945A43"/>
    <w:rsid w:val="00945AC7"/>
    <w:rsid w:val="00945DD7"/>
    <w:rsid w:val="00945FB9"/>
    <w:rsid w:val="0094632E"/>
    <w:rsid w:val="00946409"/>
    <w:rsid w:val="009464CF"/>
    <w:rsid w:val="009464E3"/>
    <w:rsid w:val="009467E5"/>
    <w:rsid w:val="00946A98"/>
    <w:rsid w:val="00946B8A"/>
    <w:rsid w:val="00946BF4"/>
    <w:rsid w:val="00946CB0"/>
    <w:rsid w:val="00946E31"/>
    <w:rsid w:val="00946EAF"/>
    <w:rsid w:val="00946EB9"/>
    <w:rsid w:val="00946FE9"/>
    <w:rsid w:val="0094706D"/>
    <w:rsid w:val="00947116"/>
    <w:rsid w:val="00947168"/>
    <w:rsid w:val="009471FF"/>
    <w:rsid w:val="0094737B"/>
    <w:rsid w:val="009474B2"/>
    <w:rsid w:val="00947525"/>
    <w:rsid w:val="009475AE"/>
    <w:rsid w:val="009476EF"/>
    <w:rsid w:val="00947768"/>
    <w:rsid w:val="00947A0B"/>
    <w:rsid w:val="00947A7D"/>
    <w:rsid w:val="00947AA9"/>
    <w:rsid w:val="00947ADB"/>
    <w:rsid w:val="00947B7B"/>
    <w:rsid w:val="00947B87"/>
    <w:rsid w:val="00947C89"/>
    <w:rsid w:val="00947D3A"/>
    <w:rsid w:val="00947D7A"/>
    <w:rsid w:val="00947F19"/>
    <w:rsid w:val="00947F97"/>
    <w:rsid w:val="00947FB3"/>
    <w:rsid w:val="0095009B"/>
    <w:rsid w:val="00950256"/>
    <w:rsid w:val="00950261"/>
    <w:rsid w:val="00950287"/>
    <w:rsid w:val="009503D4"/>
    <w:rsid w:val="009505A7"/>
    <w:rsid w:val="00950691"/>
    <w:rsid w:val="00950701"/>
    <w:rsid w:val="009507B7"/>
    <w:rsid w:val="0095083D"/>
    <w:rsid w:val="00950976"/>
    <w:rsid w:val="009509DE"/>
    <w:rsid w:val="00950A4A"/>
    <w:rsid w:val="00950A4E"/>
    <w:rsid w:val="00950AB7"/>
    <w:rsid w:val="00950B90"/>
    <w:rsid w:val="00950C5E"/>
    <w:rsid w:val="00950DB3"/>
    <w:rsid w:val="00950DD9"/>
    <w:rsid w:val="00950E2C"/>
    <w:rsid w:val="00950E93"/>
    <w:rsid w:val="00950F3E"/>
    <w:rsid w:val="009510C1"/>
    <w:rsid w:val="00951107"/>
    <w:rsid w:val="0095112D"/>
    <w:rsid w:val="0095118A"/>
    <w:rsid w:val="00951339"/>
    <w:rsid w:val="00951677"/>
    <w:rsid w:val="0095178E"/>
    <w:rsid w:val="00951904"/>
    <w:rsid w:val="00951A66"/>
    <w:rsid w:val="00951ACD"/>
    <w:rsid w:val="00951C81"/>
    <w:rsid w:val="00951DBF"/>
    <w:rsid w:val="00951E37"/>
    <w:rsid w:val="00951EF5"/>
    <w:rsid w:val="00951F0E"/>
    <w:rsid w:val="00951F40"/>
    <w:rsid w:val="00951FB7"/>
    <w:rsid w:val="0095216E"/>
    <w:rsid w:val="009521C9"/>
    <w:rsid w:val="00952228"/>
    <w:rsid w:val="00952347"/>
    <w:rsid w:val="009525BC"/>
    <w:rsid w:val="009526E3"/>
    <w:rsid w:val="009527FD"/>
    <w:rsid w:val="00952930"/>
    <w:rsid w:val="00952AB3"/>
    <w:rsid w:val="00952C17"/>
    <w:rsid w:val="00952C2E"/>
    <w:rsid w:val="00952C3D"/>
    <w:rsid w:val="00952C62"/>
    <w:rsid w:val="00952D9B"/>
    <w:rsid w:val="00952DB6"/>
    <w:rsid w:val="00952DD5"/>
    <w:rsid w:val="00952DFD"/>
    <w:rsid w:val="00952E04"/>
    <w:rsid w:val="00952E64"/>
    <w:rsid w:val="00952E65"/>
    <w:rsid w:val="00952F2E"/>
    <w:rsid w:val="0095330E"/>
    <w:rsid w:val="009534F9"/>
    <w:rsid w:val="00953622"/>
    <w:rsid w:val="00953783"/>
    <w:rsid w:val="00953794"/>
    <w:rsid w:val="009538BA"/>
    <w:rsid w:val="00953A73"/>
    <w:rsid w:val="00953AD1"/>
    <w:rsid w:val="00953AE4"/>
    <w:rsid w:val="00953B3A"/>
    <w:rsid w:val="00953BD6"/>
    <w:rsid w:val="00953BEC"/>
    <w:rsid w:val="00953DA3"/>
    <w:rsid w:val="00953DDE"/>
    <w:rsid w:val="00953E36"/>
    <w:rsid w:val="00953F50"/>
    <w:rsid w:val="00953FEA"/>
    <w:rsid w:val="00954052"/>
    <w:rsid w:val="00954133"/>
    <w:rsid w:val="00954239"/>
    <w:rsid w:val="0095433A"/>
    <w:rsid w:val="00954480"/>
    <w:rsid w:val="0095455C"/>
    <w:rsid w:val="00954582"/>
    <w:rsid w:val="00954620"/>
    <w:rsid w:val="009546D6"/>
    <w:rsid w:val="009547EF"/>
    <w:rsid w:val="009547F6"/>
    <w:rsid w:val="00954835"/>
    <w:rsid w:val="00954A09"/>
    <w:rsid w:val="00954AAE"/>
    <w:rsid w:val="00954BBB"/>
    <w:rsid w:val="00954BE3"/>
    <w:rsid w:val="00954BE5"/>
    <w:rsid w:val="00954CBE"/>
    <w:rsid w:val="00954D1F"/>
    <w:rsid w:val="00954D34"/>
    <w:rsid w:val="00954DEB"/>
    <w:rsid w:val="00954EDD"/>
    <w:rsid w:val="00954FA2"/>
    <w:rsid w:val="00954FC6"/>
    <w:rsid w:val="00954FFF"/>
    <w:rsid w:val="009554C3"/>
    <w:rsid w:val="0095555D"/>
    <w:rsid w:val="00955571"/>
    <w:rsid w:val="009556F0"/>
    <w:rsid w:val="009557F3"/>
    <w:rsid w:val="0095583C"/>
    <w:rsid w:val="00955881"/>
    <w:rsid w:val="009558A8"/>
    <w:rsid w:val="00955923"/>
    <w:rsid w:val="00955A0A"/>
    <w:rsid w:val="00955C5C"/>
    <w:rsid w:val="00955CC9"/>
    <w:rsid w:val="00955D17"/>
    <w:rsid w:val="00955E42"/>
    <w:rsid w:val="00955EEF"/>
    <w:rsid w:val="00955F1F"/>
    <w:rsid w:val="00955FFC"/>
    <w:rsid w:val="0095621A"/>
    <w:rsid w:val="009564DF"/>
    <w:rsid w:val="009564FD"/>
    <w:rsid w:val="009565C2"/>
    <w:rsid w:val="00956797"/>
    <w:rsid w:val="009567B3"/>
    <w:rsid w:val="009568BF"/>
    <w:rsid w:val="009568D7"/>
    <w:rsid w:val="009568FD"/>
    <w:rsid w:val="00956AC5"/>
    <w:rsid w:val="00956B90"/>
    <w:rsid w:val="00956BA4"/>
    <w:rsid w:val="00956BD8"/>
    <w:rsid w:val="00956F8B"/>
    <w:rsid w:val="0095704E"/>
    <w:rsid w:val="009570B8"/>
    <w:rsid w:val="00957145"/>
    <w:rsid w:val="00957157"/>
    <w:rsid w:val="0095722F"/>
    <w:rsid w:val="0095732F"/>
    <w:rsid w:val="00957403"/>
    <w:rsid w:val="00957458"/>
    <w:rsid w:val="00957572"/>
    <w:rsid w:val="00957646"/>
    <w:rsid w:val="009577C4"/>
    <w:rsid w:val="0095788B"/>
    <w:rsid w:val="00957965"/>
    <w:rsid w:val="00957A17"/>
    <w:rsid w:val="00957BAA"/>
    <w:rsid w:val="00957BD0"/>
    <w:rsid w:val="00957BF3"/>
    <w:rsid w:val="00957C29"/>
    <w:rsid w:val="00957D5C"/>
    <w:rsid w:val="00957E3B"/>
    <w:rsid w:val="00957E4E"/>
    <w:rsid w:val="00957E65"/>
    <w:rsid w:val="00957ED9"/>
    <w:rsid w:val="00960022"/>
    <w:rsid w:val="00960077"/>
    <w:rsid w:val="0096033D"/>
    <w:rsid w:val="00960387"/>
    <w:rsid w:val="0096050A"/>
    <w:rsid w:val="00960520"/>
    <w:rsid w:val="0096055B"/>
    <w:rsid w:val="009605E8"/>
    <w:rsid w:val="009607FD"/>
    <w:rsid w:val="009608BA"/>
    <w:rsid w:val="009608BF"/>
    <w:rsid w:val="00960926"/>
    <w:rsid w:val="00960953"/>
    <w:rsid w:val="00960A04"/>
    <w:rsid w:val="00960A07"/>
    <w:rsid w:val="00960D44"/>
    <w:rsid w:val="00960D73"/>
    <w:rsid w:val="00960DF7"/>
    <w:rsid w:val="00960EA0"/>
    <w:rsid w:val="00961145"/>
    <w:rsid w:val="00961220"/>
    <w:rsid w:val="0096132E"/>
    <w:rsid w:val="00961680"/>
    <w:rsid w:val="00961741"/>
    <w:rsid w:val="0096174E"/>
    <w:rsid w:val="0096186B"/>
    <w:rsid w:val="009618E1"/>
    <w:rsid w:val="009618FA"/>
    <w:rsid w:val="00961B80"/>
    <w:rsid w:val="00961BCD"/>
    <w:rsid w:val="00961BDF"/>
    <w:rsid w:val="00961D93"/>
    <w:rsid w:val="00961DE6"/>
    <w:rsid w:val="00961E10"/>
    <w:rsid w:val="00961EBB"/>
    <w:rsid w:val="00961F10"/>
    <w:rsid w:val="009622D5"/>
    <w:rsid w:val="00962503"/>
    <w:rsid w:val="00962537"/>
    <w:rsid w:val="009625F0"/>
    <w:rsid w:val="00962BE4"/>
    <w:rsid w:val="00962C2C"/>
    <w:rsid w:val="00962C37"/>
    <w:rsid w:val="00962C4F"/>
    <w:rsid w:val="00962C81"/>
    <w:rsid w:val="00962D37"/>
    <w:rsid w:val="00962E4E"/>
    <w:rsid w:val="0096302D"/>
    <w:rsid w:val="009631BF"/>
    <w:rsid w:val="00963265"/>
    <w:rsid w:val="00963309"/>
    <w:rsid w:val="009633FF"/>
    <w:rsid w:val="00963436"/>
    <w:rsid w:val="009634A1"/>
    <w:rsid w:val="0096367E"/>
    <w:rsid w:val="009637A8"/>
    <w:rsid w:val="009638A8"/>
    <w:rsid w:val="009638D7"/>
    <w:rsid w:val="00963954"/>
    <w:rsid w:val="0096396D"/>
    <w:rsid w:val="00963AE7"/>
    <w:rsid w:val="00963B4E"/>
    <w:rsid w:val="00963B72"/>
    <w:rsid w:val="00963BCE"/>
    <w:rsid w:val="00963DC5"/>
    <w:rsid w:val="00963EDB"/>
    <w:rsid w:val="00964169"/>
    <w:rsid w:val="009641E2"/>
    <w:rsid w:val="0096420A"/>
    <w:rsid w:val="009642C9"/>
    <w:rsid w:val="00964300"/>
    <w:rsid w:val="009643DC"/>
    <w:rsid w:val="00964468"/>
    <w:rsid w:val="009644AE"/>
    <w:rsid w:val="009646EA"/>
    <w:rsid w:val="0096471A"/>
    <w:rsid w:val="009647C4"/>
    <w:rsid w:val="00964807"/>
    <w:rsid w:val="009648CC"/>
    <w:rsid w:val="00964927"/>
    <w:rsid w:val="0096492A"/>
    <w:rsid w:val="00964B4F"/>
    <w:rsid w:val="00964B50"/>
    <w:rsid w:val="00964CD3"/>
    <w:rsid w:val="00964D13"/>
    <w:rsid w:val="00964D5D"/>
    <w:rsid w:val="00964D70"/>
    <w:rsid w:val="00964FBA"/>
    <w:rsid w:val="00964FE7"/>
    <w:rsid w:val="009651B2"/>
    <w:rsid w:val="0096539C"/>
    <w:rsid w:val="009653D3"/>
    <w:rsid w:val="0096544C"/>
    <w:rsid w:val="009656E6"/>
    <w:rsid w:val="00965720"/>
    <w:rsid w:val="0096572C"/>
    <w:rsid w:val="00965774"/>
    <w:rsid w:val="009658A6"/>
    <w:rsid w:val="00965932"/>
    <w:rsid w:val="00965B69"/>
    <w:rsid w:val="00965BDA"/>
    <w:rsid w:val="00965C97"/>
    <w:rsid w:val="00965D3D"/>
    <w:rsid w:val="00965E22"/>
    <w:rsid w:val="00965EFE"/>
    <w:rsid w:val="00965F72"/>
    <w:rsid w:val="009662AF"/>
    <w:rsid w:val="0096638F"/>
    <w:rsid w:val="00966442"/>
    <w:rsid w:val="00966660"/>
    <w:rsid w:val="00966752"/>
    <w:rsid w:val="0096677B"/>
    <w:rsid w:val="0096686C"/>
    <w:rsid w:val="00966875"/>
    <w:rsid w:val="009668C3"/>
    <w:rsid w:val="0096692B"/>
    <w:rsid w:val="00966B99"/>
    <w:rsid w:val="00966CA8"/>
    <w:rsid w:val="00966E39"/>
    <w:rsid w:val="00966E41"/>
    <w:rsid w:val="00966F11"/>
    <w:rsid w:val="00966F54"/>
    <w:rsid w:val="00967114"/>
    <w:rsid w:val="00967185"/>
    <w:rsid w:val="009671D4"/>
    <w:rsid w:val="00967295"/>
    <w:rsid w:val="009672E8"/>
    <w:rsid w:val="0096731D"/>
    <w:rsid w:val="00967367"/>
    <w:rsid w:val="009674F2"/>
    <w:rsid w:val="0096767A"/>
    <w:rsid w:val="009678C6"/>
    <w:rsid w:val="009679F2"/>
    <w:rsid w:val="00967A09"/>
    <w:rsid w:val="00967A2F"/>
    <w:rsid w:val="00967A58"/>
    <w:rsid w:val="00967AED"/>
    <w:rsid w:val="00967E4C"/>
    <w:rsid w:val="00967F41"/>
    <w:rsid w:val="009701E2"/>
    <w:rsid w:val="00970416"/>
    <w:rsid w:val="009705EE"/>
    <w:rsid w:val="009705FB"/>
    <w:rsid w:val="009707A7"/>
    <w:rsid w:val="00970AB8"/>
    <w:rsid w:val="00970BAF"/>
    <w:rsid w:val="00970DEE"/>
    <w:rsid w:val="00970E22"/>
    <w:rsid w:val="00970E25"/>
    <w:rsid w:val="00970E5E"/>
    <w:rsid w:val="00970E62"/>
    <w:rsid w:val="00970FFA"/>
    <w:rsid w:val="0097114F"/>
    <w:rsid w:val="0097123F"/>
    <w:rsid w:val="00971281"/>
    <w:rsid w:val="00971300"/>
    <w:rsid w:val="00971382"/>
    <w:rsid w:val="009714EE"/>
    <w:rsid w:val="009715F6"/>
    <w:rsid w:val="00971795"/>
    <w:rsid w:val="009717E7"/>
    <w:rsid w:val="00971925"/>
    <w:rsid w:val="009719F3"/>
    <w:rsid w:val="00971B35"/>
    <w:rsid w:val="00971C0E"/>
    <w:rsid w:val="00971D33"/>
    <w:rsid w:val="00971F2A"/>
    <w:rsid w:val="00971FE6"/>
    <w:rsid w:val="009720C8"/>
    <w:rsid w:val="00972246"/>
    <w:rsid w:val="00972250"/>
    <w:rsid w:val="009723E5"/>
    <w:rsid w:val="009723EF"/>
    <w:rsid w:val="0097245E"/>
    <w:rsid w:val="00972496"/>
    <w:rsid w:val="009724E0"/>
    <w:rsid w:val="0097274A"/>
    <w:rsid w:val="00972769"/>
    <w:rsid w:val="009727F7"/>
    <w:rsid w:val="009727F8"/>
    <w:rsid w:val="00972804"/>
    <w:rsid w:val="00972887"/>
    <w:rsid w:val="009728DB"/>
    <w:rsid w:val="009728FC"/>
    <w:rsid w:val="00972B14"/>
    <w:rsid w:val="00972B85"/>
    <w:rsid w:val="00972BAD"/>
    <w:rsid w:val="00972D17"/>
    <w:rsid w:val="00972D7A"/>
    <w:rsid w:val="00972F40"/>
    <w:rsid w:val="009732B6"/>
    <w:rsid w:val="0097359A"/>
    <w:rsid w:val="009735B8"/>
    <w:rsid w:val="009735BE"/>
    <w:rsid w:val="0097368F"/>
    <w:rsid w:val="00973784"/>
    <w:rsid w:val="0097380A"/>
    <w:rsid w:val="009738EC"/>
    <w:rsid w:val="0097391A"/>
    <w:rsid w:val="00973943"/>
    <w:rsid w:val="009739F7"/>
    <w:rsid w:val="00973A61"/>
    <w:rsid w:val="00973B00"/>
    <w:rsid w:val="00973BF0"/>
    <w:rsid w:val="00973C9E"/>
    <w:rsid w:val="00973D4C"/>
    <w:rsid w:val="00973D55"/>
    <w:rsid w:val="00973DFD"/>
    <w:rsid w:val="00974043"/>
    <w:rsid w:val="0097409D"/>
    <w:rsid w:val="00974182"/>
    <w:rsid w:val="00974228"/>
    <w:rsid w:val="009742D9"/>
    <w:rsid w:val="009742F8"/>
    <w:rsid w:val="00974404"/>
    <w:rsid w:val="00974483"/>
    <w:rsid w:val="00974498"/>
    <w:rsid w:val="00974505"/>
    <w:rsid w:val="009745ED"/>
    <w:rsid w:val="0097467E"/>
    <w:rsid w:val="00974705"/>
    <w:rsid w:val="009747DF"/>
    <w:rsid w:val="009749FC"/>
    <w:rsid w:val="00974ABD"/>
    <w:rsid w:val="00974B3A"/>
    <w:rsid w:val="00974BBF"/>
    <w:rsid w:val="00974D44"/>
    <w:rsid w:val="00974E22"/>
    <w:rsid w:val="00974FD1"/>
    <w:rsid w:val="009750EC"/>
    <w:rsid w:val="009751B2"/>
    <w:rsid w:val="009752E8"/>
    <w:rsid w:val="009758DC"/>
    <w:rsid w:val="00975B1B"/>
    <w:rsid w:val="00975CB9"/>
    <w:rsid w:val="00975EAE"/>
    <w:rsid w:val="00975F6D"/>
    <w:rsid w:val="00976023"/>
    <w:rsid w:val="009760DB"/>
    <w:rsid w:val="00976141"/>
    <w:rsid w:val="00976359"/>
    <w:rsid w:val="0097659F"/>
    <w:rsid w:val="009765BE"/>
    <w:rsid w:val="009768C9"/>
    <w:rsid w:val="0097690F"/>
    <w:rsid w:val="00976E25"/>
    <w:rsid w:val="00976ECB"/>
    <w:rsid w:val="00976FC5"/>
    <w:rsid w:val="00976FC9"/>
    <w:rsid w:val="00976FD1"/>
    <w:rsid w:val="00977007"/>
    <w:rsid w:val="0097707B"/>
    <w:rsid w:val="009770F2"/>
    <w:rsid w:val="0097717D"/>
    <w:rsid w:val="009772E0"/>
    <w:rsid w:val="00977475"/>
    <w:rsid w:val="00977567"/>
    <w:rsid w:val="00977578"/>
    <w:rsid w:val="00977633"/>
    <w:rsid w:val="009776B0"/>
    <w:rsid w:val="009777AD"/>
    <w:rsid w:val="0097784F"/>
    <w:rsid w:val="00977871"/>
    <w:rsid w:val="00977914"/>
    <w:rsid w:val="00977955"/>
    <w:rsid w:val="009779DB"/>
    <w:rsid w:val="009779F3"/>
    <w:rsid w:val="00977B28"/>
    <w:rsid w:val="00977B37"/>
    <w:rsid w:val="00977CEF"/>
    <w:rsid w:val="0098003D"/>
    <w:rsid w:val="00980043"/>
    <w:rsid w:val="00980243"/>
    <w:rsid w:val="00980281"/>
    <w:rsid w:val="00980386"/>
    <w:rsid w:val="00980398"/>
    <w:rsid w:val="00980486"/>
    <w:rsid w:val="00980515"/>
    <w:rsid w:val="0098067B"/>
    <w:rsid w:val="0098071E"/>
    <w:rsid w:val="00980727"/>
    <w:rsid w:val="0098074E"/>
    <w:rsid w:val="00980847"/>
    <w:rsid w:val="0098084B"/>
    <w:rsid w:val="0098086A"/>
    <w:rsid w:val="00980910"/>
    <w:rsid w:val="00980938"/>
    <w:rsid w:val="00980976"/>
    <w:rsid w:val="00980A7A"/>
    <w:rsid w:val="00980B56"/>
    <w:rsid w:val="00980D35"/>
    <w:rsid w:val="00980D97"/>
    <w:rsid w:val="00980E9F"/>
    <w:rsid w:val="009811BE"/>
    <w:rsid w:val="009811EE"/>
    <w:rsid w:val="00981202"/>
    <w:rsid w:val="00981259"/>
    <w:rsid w:val="00981265"/>
    <w:rsid w:val="00981276"/>
    <w:rsid w:val="009812CF"/>
    <w:rsid w:val="0098135A"/>
    <w:rsid w:val="0098147D"/>
    <w:rsid w:val="0098165C"/>
    <w:rsid w:val="00981782"/>
    <w:rsid w:val="0098180A"/>
    <w:rsid w:val="00981AB4"/>
    <w:rsid w:val="00981D05"/>
    <w:rsid w:val="00981E00"/>
    <w:rsid w:val="00981F80"/>
    <w:rsid w:val="00981F8E"/>
    <w:rsid w:val="009825A9"/>
    <w:rsid w:val="00982603"/>
    <w:rsid w:val="009826B3"/>
    <w:rsid w:val="0098276E"/>
    <w:rsid w:val="009827DA"/>
    <w:rsid w:val="00982883"/>
    <w:rsid w:val="00982992"/>
    <w:rsid w:val="00982B38"/>
    <w:rsid w:val="00982B45"/>
    <w:rsid w:val="00982BDD"/>
    <w:rsid w:val="00982CBC"/>
    <w:rsid w:val="00982EAA"/>
    <w:rsid w:val="00982FCC"/>
    <w:rsid w:val="009830FD"/>
    <w:rsid w:val="009831E6"/>
    <w:rsid w:val="00983224"/>
    <w:rsid w:val="0098324C"/>
    <w:rsid w:val="009837C5"/>
    <w:rsid w:val="0098397B"/>
    <w:rsid w:val="00983AD5"/>
    <w:rsid w:val="00983C5B"/>
    <w:rsid w:val="00983C6B"/>
    <w:rsid w:val="00983C7E"/>
    <w:rsid w:val="00983CF5"/>
    <w:rsid w:val="00983E2C"/>
    <w:rsid w:val="00983F6C"/>
    <w:rsid w:val="00984221"/>
    <w:rsid w:val="00984229"/>
    <w:rsid w:val="00984243"/>
    <w:rsid w:val="009842A7"/>
    <w:rsid w:val="00984336"/>
    <w:rsid w:val="00984451"/>
    <w:rsid w:val="009844E8"/>
    <w:rsid w:val="00984667"/>
    <w:rsid w:val="009846B9"/>
    <w:rsid w:val="009846C8"/>
    <w:rsid w:val="009846E2"/>
    <w:rsid w:val="00984AF5"/>
    <w:rsid w:val="00984B00"/>
    <w:rsid w:val="00984CCC"/>
    <w:rsid w:val="00984CF1"/>
    <w:rsid w:val="00984D0B"/>
    <w:rsid w:val="00984E18"/>
    <w:rsid w:val="00984F45"/>
    <w:rsid w:val="00984FD8"/>
    <w:rsid w:val="0098503A"/>
    <w:rsid w:val="009850FD"/>
    <w:rsid w:val="009851CA"/>
    <w:rsid w:val="009854C6"/>
    <w:rsid w:val="009854D1"/>
    <w:rsid w:val="00985997"/>
    <w:rsid w:val="0098599F"/>
    <w:rsid w:val="009859D1"/>
    <w:rsid w:val="00985A73"/>
    <w:rsid w:val="00985F30"/>
    <w:rsid w:val="00986034"/>
    <w:rsid w:val="009860F0"/>
    <w:rsid w:val="009861C1"/>
    <w:rsid w:val="00986215"/>
    <w:rsid w:val="009862C5"/>
    <w:rsid w:val="009863A7"/>
    <w:rsid w:val="00986427"/>
    <w:rsid w:val="00986508"/>
    <w:rsid w:val="0098652A"/>
    <w:rsid w:val="009866D9"/>
    <w:rsid w:val="00986740"/>
    <w:rsid w:val="00986774"/>
    <w:rsid w:val="0098682D"/>
    <w:rsid w:val="009868F2"/>
    <w:rsid w:val="00986B17"/>
    <w:rsid w:val="00986DA1"/>
    <w:rsid w:val="00986F31"/>
    <w:rsid w:val="00986F4F"/>
    <w:rsid w:val="0098710D"/>
    <w:rsid w:val="0098737F"/>
    <w:rsid w:val="0098742B"/>
    <w:rsid w:val="00987444"/>
    <w:rsid w:val="009874DB"/>
    <w:rsid w:val="009876B1"/>
    <w:rsid w:val="00987737"/>
    <w:rsid w:val="0098797E"/>
    <w:rsid w:val="00987AA1"/>
    <w:rsid w:val="00987B1A"/>
    <w:rsid w:val="00987B35"/>
    <w:rsid w:val="00987B98"/>
    <w:rsid w:val="00987BEC"/>
    <w:rsid w:val="00987C33"/>
    <w:rsid w:val="00987CDB"/>
    <w:rsid w:val="00987CEC"/>
    <w:rsid w:val="00987D27"/>
    <w:rsid w:val="00987D3E"/>
    <w:rsid w:val="00987EFA"/>
    <w:rsid w:val="00987F9E"/>
    <w:rsid w:val="00990054"/>
    <w:rsid w:val="009900E1"/>
    <w:rsid w:val="00990129"/>
    <w:rsid w:val="00990180"/>
    <w:rsid w:val="009901CF"/>
    <w:rsid w:val="009903C0"/>
    <w:rsid w:val="009903C3"/>
    <w:rsid w:val="009903ED"/>
    <w:rsid w:val="00990566"/>
    <w:rsid w:val="0099063F"/>
    <w:rsid w:val="00990785"/>
    <w:rsid w:val="0099081B"/>
    <w:rsid w:val="00990B12"/>
    <w:rsid w:val="00990C48"/>
    <w:rsid w:val="00990C5D"/>
    <w:rsid w:val="00990C96"/>
    <w:rsid w:val="00990CE5"/>
    <w:rsid w:val="00990DC1"/>
    <w:rsid w:val="00990E90"/>
    <w:rsid w:val="00990EC3"/>
    <w:rsid w:val="0099104E"/>
    <w:rsid w:val="00991061"/>
    <w:rsid w:val="0099113F"/>
    <w:rsid w:val="00991232"/>
    <w:rsid w:val="00991328"/>
    <w:rsid w:val="00991475"/>
    <w:rsid w:val="00991559"/>
    <w:rsid w:val="009915E7"/>
    <w:rsid w:val="0099164A"/>
    <w:rsid w:val="00991662"/>
    <w:rsid w:val="0099189C"/>
    <w:rsid w:val="009918A7"/>
    <w:rsid w:val="00991BF0"/>
    <w:rsid w:val="00991CED"/>
    <w:rsid w:val="00991D24"/>
    <w:rsid w:val="00991EFF"/>
    <w:rsid w:val="00991F11"/>
    <w:rsid w:val="00991F21"/>
    <w:rsid w:val="00992110"/>
    <w:rsid w:val="00992190"/>
    <w:rsid w:val="00992248"/>
    <w:rsid w:val="00992272"/>
    <w:rsid w:val="0099231B"/>
    <w:rsid w:val="009923A0"/>
    <w:rsid w:val="009924FD"/>
    <w:rsid w:val="00992628"/>
    <w:rsid w:val="009926CC"/>
    <w:rsid w:val="00992796"/>
    <w:rsid w:val="0099298B"/>
    <w:rsid w:val="00992A37"/>
    <w:rsid w:val="00992C87"/>
    <w:rsid w:val="00992D17"/>
    <w:rsid w:val="00992DA0"/>
    <w:rsid w:val="00992E36"/>
    <w:rsid w:val="00993086"/>
    <w:rsid w:val="009930B6"/>
    <w:rsid w:val="00993179"/>
    <w:rsid w:val="009931D9"/>
    <w:rsid w:val="00993280"/>
    <w:rsid w:val="009935F2"/>
    <w:rsid w:val="0099370B"/>
    <w:rsid w:val="00993837"/>
    <w:rsid w:val="009938F7"/>
    <w:rsid w:val="00993911"/>
    <w:rsid w:val="0099391E"/>
    <w:rsid w:val="00993A4F"/>
    <w:rsid w:val="00993A93"/>
    <w:rsid w:val="00993AA1"/>
    <w:rsid w:val="00993B25"/>
    <w:rsid w:val="00993BF2"/>
    <w:rsid w:val="00993C85"/>
    <w:rsid w:val="00993D5D"/>
    <w:rsid w:val="00993DB9"/>
    <w:rsid w:val="00993DE3"/>
    <w:rsid w:val="00993E4D"/>
    <w:rsid w:val="00993F60"/>
    <w:rsid w:val="009941EB"/>
    <w:rsid w:val="009942B5"/>
    <w:rsid w:val="00994384"/>
    <w:rsid w:val="00994446"/>
    <w:rsid w:val="0099449F"/>
    <w:rsid w:val="009949FE"/>
    <w:rsid w:val="00994AE5"/>
    <w:rsid w:val="00994B0B"/>
    <w:rsid w:val="00994B5E"/>
    <w:rsid w:val="00994B86"/>
    <w:rsid w:val="00994C98"/>
    <w:rsid w:val="00994CFF"/>
    <w:rsid w:val="00994E11"/>
    <w:rsid w:val="009950D4"/>
    <w:rsid w:val="00995139"/>
    <w:rsid w:val="00995177"/>
    <w:rsid w:val="0099522B"/>
    <w:rsid w:val="0099524F"/>
    <w:rsid w:val="009952C7"/>
    <w:rsid w:val="009954E3"/>
    <w:rsid w:val="0099562B"/>
    <w:rsid w:val="00995646"/>
    <w:rsid w:val="009956C2"/>
    <w:rsid w:val="0099578E"/>
    <w:rsid w:val="00995795"/>
    <w:rsid w:val="00995936"/>
    <w:rsid w:val="009959F9"/>
    <w:rsid w:val="00995A7D"/>
    <w:rsid w:val="00995C5C"/>
    <w:rsid w:val="00995C5F"/>
    <w:rsid w:val="00995E4C"/>
    <w:rsid w:val="00995EF0"/>
    <w:rsid w:val="00996021"/>
    <w:rsid w:val="009960D8"/>
    <w:rsid w:val="0099621F"/>
    <w:rsid w:val="0099637C"/>
    <w:rsid w:val="009964C8"/>
    <w:rsid w:val="009964E9"/>
    <w:rsid w:val="009965B2"/>
    <w:rsid w:val="009965CA"/>
    <w:rsid w:val="00996667"/>
    <w:rsid w:val="009966D4"/>
    <w:rsid w:val="009969BE"/>
    <w:rsid w:val="00996AFF"/>
    <w:rsid w:val="00996B2C"/>
    <w:rsid w:val="00996B42"/>
    <w:rsid w:val="00996C8C"/>
    <w:rsid w:val="00996D09"/>
    <w:rsid w:val="00996DED"/>
    <w:rsid w:val="00996E40"/>
    <w:rsid w:val="00996F0E"/>
    <w:rsid w:val="00996F36"/>
    <w:rsid w:val="00996F59"/>
    <w:rsid w:val="00997081"/>
    <w:rsid w:val="00997265"/>
    <w:rsid w:val="00997348"/>
    <w:rsid w:val="00997437"/>
    <w:rsid w:val="00997646"/>
    <w:rsid w:val="0099768F"/>
    <w:rsid w:val="0099776A"/>
    <w:rsid w:val="009979D4"/>
    <w:rsid w:val="009979F7"/>
    <w:rsid w:val="00997AE7"/>
    <w:rsid w:val="00997DE9"/>
    <w:rsid w:val="00997F80"/>
    <w:rsid w:val="009A0207"/>
    <w:rsid w:val="009A02D6"/>
    <w:rsid w:val="009A0323"/>
    <w:rsid w:val="009A03E9"/>
    <w:rsid w:val="009A049B"/>
    <w:rsid w:val="009A04C6"/>
    <w:rsid w:val="009A05C1"/>
    <w:rsid w:val="009A0729"/>
    <w:rsid w:val="009A07F6"/>
    <w:rsid w:val="009A07F9"/>
    <w:rsid w:val="009A0891"/>
    <w:rsid w:val="009A0948"/>
    <w:rsid w:val="009A0ADB"/>
    <w:rsid w:val="009A0C42"/>
    <w:rsid w:val="009A0CA6"/>
    <w:rsid w:val="009A0DB0"/>
    <w:rsid w:val="009A0E13"/>
    <w:rsid w:val="009A0E20"/>
    <w:rsid w:val="009A0F02"/>
    <w:rsid w:val="009A0F11"/>
    <w:rsid w:val="009A1263"/>
    <w:rsid w:val="009A129A"/>
    <w:rsid w:val="009A132C"/>
    <w:rsid w:val="009A134A"/>
    <w:rsid w:val="009A1693"/>
    <w:rsid w:val="009A179C"/>
    <w:rsid w:val="009A193F"/>
    <w:rsid w:val="009A1A44"/>
    <w:rsid w:val="009A1C4D"/>
    <w:rsid w:val="009A1CBC"/>
    <w:rsid w:val="009A1D82"/>
    <w:rsid w:val="009A1E14"/>
    <w:rsid w:val="009A2013"/>
    <w:rsid w:val="009A2169"/>
    <w:rsid w:val="009A2271"/>
    <w:rsid w:val="009A22F4"/>
    <w:rsid w:val="009A24CE"/>
    <w:rsid w:val="009A258F"/>
    <w:rsid w:val="009A26C0"/>
    <w:rsid w:val="009A2829"/>
    <w:rsid w:val="009A2848"/>
    <w:rsid w:val="009A284C"/>
    <w:rsid w:val="009A29E4"/>
    <w:rsid w:val="009A2B57"/>
    <w:rsid w:val="009A2BFA"/>
    <w:rsid w:val="009A2C52"/>
    <w:rsid w:val="009A2EE3"/>
    <w:rsid w:val="009A2F49"/>
    <w:rsid w:val="009A3257"/>
    <w:rsid w:val="009A33FD"/>
    <w:rsid w:val="009A3463"/>
    <w:rsid w:val="009A3621"/>
    <w:rsid w:val="009A3794"/>
    <w:rsid w:val="009A3808"/>
    <w:rsid w:val="009A3949"/>
    <w:rsid w:val="009A394C"/>
    <w:rsid w:val="009A3BAB"/>
    <w:rsid w:val="009A3D40"/>
    <w:rsid w:val="009A3DBC"/>
    <w:rsid w:val="009A3DD4"/>
    <w:rsid w:val="009A3E57"/>
    <w:rsid w:val="009A3ECE"/>
    <w:rsid w:val="009A4018"/>
    <w:rsid w:val="009A403C"/>
    <w:rsid w:val="009A410F"/>
    <w:rsid w:val="009A4121"/>
    <w:rsid w:val="009A41B4"/>
    <w:rsid w:val="009A41EC"/>
    <w:rsid w:val="009A424C"/>
    <w:rsid w:val="009A4325"/>
    <w:rsid w:val="009A43CD"/>
    <w:rsid w:val="009A44AE"/>
    <w:rsid w:val="009A44C8"/>
    <w:rsid w:val="009A45F8"/>
    <w:rsid w:val="009A46D8"/>
    <w:rsid w:val="009A482E"/>
    <w:rsid w:val="009A49FD"/>
    <w:rsid w:val="009A4B9D"/>
    <w:rsid w:val="009A4C1C"/>
    <w:rsid w:val="009A4C46"/>
    <w:rsid w:val="009A4C61"/>
    <w:rsid w:val="009A4CF9"/>
    <w:rsid w:val="009A4D78"/>
    <w:rsid w:val="009A4E3C"/>
    <w:rsid w:val="009A4E61"/>
    <w:rsid w:val="009A4ECB"/>
    <w:rsid w:val="009A4F0D"/>
    <w:rsid w:val="009A5187"/>
    <w:rsid w:val="009A5241"/>
    <w:rsid w:val="009A52C0"/>
    <w:rsid w:val="009A53CC"/>
    <w:rsid w:val="009A5491"/>
    <w:rsid w:val="009A55C0"/>
    <w:rsid w:val="009A5751"/>
    <w:rsid w:val="009A5753"/>
    <w:rsid w:val="009A5959"/>
    <w:rsid w:val="009A5AF9"/>
    <w:rsid w:val="009A5B02"/>
    <w:rsid w:val="009A5C8B"/>
    <w:rsid w:val="009A5D9D"/>
    <w:rsid w:val="009A5F37"/>
    <w:rsid w:val="009A5F3E"/>
    <w:rsid w:val="009A5F40"/>
    <w:rsid w:val="009A5F79"/>
    <w:rsid w:val="009A606E"/>
    <w:rsid w:val="009A60AC"/>
    <w:rsid w:val="009A6128"/>
    <w:rsid w:val="009A61C2"/>
    <w:rsid w:val="009A631F"/>
    <w:rsid w:val="009A63B1"/>
    <w:rsid w:val="009A6491"/>
    <w:rsid w:val="009A64AB"/>
    <w:rsid w:val="009A65C0"/>
    <w:rsid w:val="009A65E5"/>
    <w:rsid w:val="009A662E"/>
    <w:rsid w:val="009A6717"/>
    <w:rsid w:val="009A6720"/>
    <w:rsid w:val="009A6797"/>
    <w:rsid w:val="009A6B9E"/>
    <w:rsid w:val="009A6D39"/>
    <w:rsid w:val="009A6D62"/>
    <w:rsid w:val="009A6F7E"/>
    <w:rsid w:val="009A6F85"/>
    <w:rsid w:val="009A70AC"/>
    <w:rsid w:val="009A7160"/>
    <w:rsid w:val="009A7395"/>
    <w:rsid w:val="009A741B"/>
    <w:rsid w:val="009A769D"/>
    <w:rsid w:val="009A77C2"/>
    <w:rsid w:val="009A7A5A"/>
    <w:rsid w:val="009A7B19"/>
    <w:rsid w:val="009A7D18"/>
    <w:rsid w:val="009A7DBE"/>
    <w:rsid w:val="009B0056"/>
    <w:rsid w:val="009B0092"/>
    <w:rsid w:val="009B0111"/>
    <w:rsid w:val="009B01CF"/>
    <w:rsid w:val="009B01EA"/>
    <w:rsid w:val="009B029F"/>
    <w:rsid w:val="009B03A1"/>
    <w:rsid w:val="009B04A3"/>
    <w:rsid w:val="009B055F"/>
    <w:rsid w:val="009B08C0"/>
    <w:rsid w:val="009B0A19"/>
    <w:rsid w:val="009B0A72"/>
    <w:rsid w:val="009B0AD7"/>
    <w:rsid w:val="009B0D52"/>
    <w:rsid w:val="009B0D56"/>
    <w:rsid w:val="009B0E17"/>
    <w:rsid w:val="009B0EA2"/>
    <w:rsid w:val="009B0FC0"/>
    <w:rsid w:val="009B1267"/>
    <w:rsid w:val="009B14E7"/>
    <w:rsid w:val="009B1560"/>
    <w:rsid w:val="009B16EE"/>
    <w:rsid w:val="009B1703"/>
    <w:rsid w:val="009B17AF"/>
    <w:rsid w:val="009B17CE"/>
    <w:rsid w:val="009B19A5"/>
    <w:rsid w:val="009B19C1"/>
    <w:rsid w:val="009B19C8"/>
    <w:rsid w:val="009B1A81"/>
    <w:rsid w:val="009B1B5A"/>
    <w:rsid w:val="009B1B71"/>
    <w:rsid w:val="009B1BF1"/>
    <w:rsid w:val="009B1C5B"/>
    <w:rsid w:val="009B1EA8"/>
    <w:rsid w:val="009B1EAA"/>
    <w:rsid w:val="009B1FF6"/>
    <w:rsid w:val="009B2390"/>
    <w:rsid w:val="009B2427"/>
    <w:rsid w:val="009B27D5"/>
    <w:rsid w:val="009B283A"/>
    <w:rsid w:val="009B288F"/>
    <w:rsid w:val="009B28C4"/>
    <w:rsid w:val="009B296A"/>
    <w:rsid w:val="009B2A3F"/>
    <w:rsid w:val="009B2E2A"/>
    <w:rsid w:val="009B2E33"/>
    <w:rsid w:val="009B2F25"/>
    <w:rsid w:val="009B2F2A"/>
    <w:rsid w:val="009B3065"/>
    <w:rsid w:val="009B3235"/>
    <w:rsid w:val="009B3321"/>
    <w:rsid w:val="009B33A1"/>
    <w:rsid w:val="009B3468"/>
    <w:rsid w:val="009B3600"/>
    <w:rsid w:val="009B3635"/>
    <w:rsid w:val="009B3694"/>
    <w:rsid w:val="009B379E"/>
    <w:rsid w:val="009B385C"/>
    <w:rsid w:val="009B38B9"/>
    <w:rsid w:val="009B3D03"/>
    <w:rsid w:val="009B3E86"/>
    <w:rsid w:val="009B3ED2"/>
    <w:rsid w:val="009B400F"/>
    <w:rsid w:val="009B4073"/>
    <w:rsid w:val="009B4101"/>
    <w:rsid w:val="009B410B"/>
    <w:rsid w:val="009B4295"/>
    <w:rsid w:val="009B42DE"/>
    <w:rsid w:val="009B4508"/>
    <w:rsid w:val="009B45A3"/>
    <w:rsid w:val="009B4611"/>
    <w:rsid w:val="009B47B9"/>
    <w:rsid w:val="009B47CB"/>
    <w:rsid w:val="009B4838"/>
    <w:rsid w:val="009B4947"/>
    <w:rsid w:val="009B4948"/>
    <w:rsid w:val="009B4955"/>
    <w:rsid w:val="009B49ED"/>
    <w:rsid w:val="009B4A29"/>
    <w:rsid w:val="009B4CE2"/>
    <w:rsid w:val="009B4E27"/>
    <w:rsid w:val="009B4E5A"/>
    <w:rsid w:val="009B4E67"/>
    <w:rsid w:val="009B4EE1"/>
    <w:rsid w:val="009B4FA3"/>
    <w:rsid w:val="009B4FD8"/>
    <w:rsid w:val="009B4FE0"/>
    <w:rsid w:val="009B508B"/>
    <w:rsid w:val="009B5200"/>
    <w:rsid w:val="009B5276"/>
    <w:rsid w:val="009B5365"/>
    <w:rsid w:val="009B559D"/>
    <w:rsid w:val="009B55F0"/>
    <w:rsid w:val="009B55F3"/>
    <w:rsid w:val="009B578B"/>
    <w:rsid w:val="009B582B"/>
    <w:rsid w:val="009B5875"/>
    <w:rsid w:val="009B5AC2"/>
    <w:rsid w:val="009B5B13"/>
    <w:rsid w:val="009B5B4F"/>
    <w:rsid w:val="009B5B8A"/>
    <w:rsid w:val="009B5C5D"/>
    <w:rsid w:val="009B5E34"/>
    <w:rsid w:val="009B5EE1"/>
    <w:rsid w:val="009B61AA"/>
    <w:rsid w:val="009B61DD"/>
    <w:rsid w:val="009B6474"/>
    <w:rsid w:val="009B647D"/>
    <w:rsid w:val="009B648C"/>
    <w:rsid w:val="009B6610"/>
    <w:rsid w:val="009B6921"/>
    <w:rsid w:val="009B6A8B"/>
    <w:rsid w:val="009B6A91"/>
    <w:rsid w:val="009B6B6D"/>
    <w:rsid w:val="009B6EAD"/>
    <w:rsid w:val="009B6F26"/>
    <w:rsid w:val="009B6F5B"/>
    <w:rsid w:val="009B6FE1"/>
    <w:rsid w:val="009B70D3"/>
    <w:rsid w:val="009B7183"/>
    <w:rsid w:val="009B7447"/>
    <w:rsid w:val="009B7484"/>
    <w:rsid w:val="009B75EC"/>
    <w:rsid w:val="009B764C"/>
    <w:rsid w:val="009B76FF"/>
    <w:rsid w:val="009B7880"/>
    <w:rsid w:val="009B791D"/>
    <w:rsid w:val="009B796A"/>
    <w:rsid w:val="009B7981"/>
    <w:rsid w:val="009B79CD"/>
    <w:rsid w:val="009B7ABE"/>
    <w:rsid w:val="009B7C12"/>
    <w:rsid w:val="009B7C60"/>
    <w:rsid w:val="009B7CDA"/>
    <w:rsid w:val="009B7D2B"/>
    <w:rsid w:val="009B7D50"/>
    <w:rsid w:val="009B7DC0"/>
    <w:rsid w:val="009B7DDE"/>
    <w:rsid w:val="009B7E86"/>
    <w:rsid w:val="009B7FFA"/>
    <w:rsid w:val="009C00DF"/>
    <w:rsid w:val="009C0486"/>
    <w:rsid w:val="009C0502"/>
    <w:rsid w:val="009C0527"/>
    <w:rsid w:val="009C0581"/>
    <w:rsid w:val="009C067C"/>
    <w:rsid w:val="009C0687"/>
    <w:rsid w:val="009C09A4"/>
    <w:rsid w:val="009C09B7"/>
    <w:rsid w:val="009C0AB2"/>
    <w:rsid w:val="009C0AE7"/>
    <w:rsid w:val="009C0B02"/>
    <w:rsid w:val="009C0CC9"/>
    <w:rsid w:val="009C0CEB"/>
    <w:rsid w:val="009C0D95"/>
    <w:rsid w:val="009C10A5"/>
    <w:rsid w:val="009C1162"/>
    <w:rsid w:val="009C11D6"/>
    <w:rsid w:val="009C122A"/>
    <w:rsid w:val="009C126E"/>
    <w:rsid w:val="009C151F"/>
    <w:rsid w:val="009C15F6"/>
    <w:rsid w:val="009C16EC"/>
    <w:rsid w:val="009C18FD"/>
    <w:rsid w:val="009C1B1C"/>
    <w:rsid w:val="009C1C83"/>
    <w:rsid w:val="009C1CDA"/>
    <w:rsid w:val="009C1D3E"/>
    <w:rsid w:val="009C1EF8"/>
    <w:rsid w:val="009C1F4E"/>
    <w:rsid w:val="009C202E"/>
    <w:rsid w:val="009C2037"/>
    <w:rsid w:val="009C20C4"/>
    <w:rsid w:val="009C21BF"/>
    <w:rsid w:val="009C21C8"/>
    <w:rsid w:val="009C22F7"/>
    <w:rsid w:val="009C2369"/>
    <w:rsid w:val="009C241E"/>
    <w:rsid w:val="009C268F"/>
    <w:rsid w:val="009C2897"/>
    <w:rsid w:val="009C29F5"/>
    <w:rsid w:val="009C2BC7"/>
    <w:rsid w:val="009C2C72"/>
    <w:rsid w:val="009C2C95"/>
    <w:rsid w:val="009C2E4E"/>
    <w:rsid w:val="009C3222"/>
    <w:rsid w:val="009C3261"/>
    <w:rsid w:val="009C3295"/>
    <w:rsid w:val="009C3308"/>
    <w:rsid w:val="009C344F"/>
    <w:rsid w:val="009C3460"/>
    <w:rsid w:val="009C359D"/>
    <w:rsid w:val="009C3958"/>
    <w:rsid w:val="009C39DD"/>
    <w:rsid w:val="009C3ADD"/>
    <w:rsid w:val="009C3EDB"/>
    <w:rsid w:val="009C3EF3"/>
    <w:rsid w:val="009C3F72"/>
    <w:rsid w:val="009C401F"/>
    <w:rsid w:val="009C418C"/>
    <w:rsid w:val="009C41C6"/>
    <w:rsid w:val="009C4222"/>
    <w:rsid w:val="009C4407"/>
    <w:rsid w:val="009C44A6"/>
    <w:rsid w:val="009C4781"/>
    <w:rsid w:val="009C4808"/>
    <w:rsid w:val="009C4B4D"/>
    <w:rsid w:val="009C4C79"/>
    <w:rsid w:val="009C4DB9"/>
    <w:rsid w:val="009C4E1C"/>
    <w:rsid w:val="009C50A5"/>
    <w:rsid w:val="009C50F1"/>
    <w:rsid w:val="009C5235"/>
    <w:rsid w:val="009C5251"/>
    <w:rsid w:val="009C53E4"/>
    <w:rsid w:val="009C53E7"/>
    <w:rsid w:val="009C54B6"/>
    <w:rsid w:val="009C5544"/>
    <w:rsid w:val="009C55FA"/>
    <w:rsid w:val="009C5662"/>
    <w:rsid w:val="009C56AC"/>
    <w:rsid w:val="009C5815"/>
    <w:rsid w:val="009C59B0"/>
    <w:rsid w:val="009C5BD6"/>
    <w:rsid w:val="009C5C7A"/>
    <w:rsid w:val="009C5CD9"/>
    <w:rsid w:val="009C5CDB"/>
    <w:rsid w:val="009C5D49"/>
    <w:rsid w:val="009C5EF1"/>
    <w:rsid w:val="009C5FAD"/>
    <w:rsid w:val="009C5FB7"/>
    <w:rsid w:val="009C60A7"/>
    <w:rsid w:val="009C60D8"/>
    <w:rsid w:val="009C611A"/>
    <w:rsid w:val="009C612C"/>
    <w:rsid w:val="009C6297"/>
    <w:rsid w:val="009C6474"/>
    <w:rsid w:val="009C6511"/>
    <w:rsid w:val="009C660E"/>
    <w:rsid w:val="009C664E"/>
    <w:rsid w:val="009C674A"/>
    <w:rsid w:val="009C67A9"/>
    <w:rsid w:val="009C67B5"/>
    <w:rsid w:val="009C67D2"/>
    <w:rsid w:val="009C6821"/>
    <w:rsid w:val="009C690F"/>
    <w:rsid w:val="009C6922"/>
    <w:rsid w:val="009C6A00"/>
    <w:rsid w:val="009C6CE3"/>
    <w:rsid w:val="009C6D83"/>
    <w:rsid w:val="009C7019"/>
    <w:rsid w:val="009C7233"/>
    <w:rsid w:val="009C729D"/>
    <w:rsid w:val="009C730C"/>
    <w:rsid w:val="009C7662"/>
    <w:rsid w:val="009C7785"/>
    <w:rsid w:val="009C77E8"/>
    <w:rsid w:val="009C7C8A"/>
    <w:rsid w:val="009C7E16"/>
    <w:rsid w:val="009C7E19"/>
    <w:rsid w:val="009D0022"/>
    <w:rsid w:val="009D0047"/>
    <w:rsid w:val="009D01DE"/>
    <w:rsid w:val="009D022E"/>
    <w:rsid w:val="009D026C"/>
    <w:rsid w:val="009D046D"/>
    <w:rsid w:val="009D048B"/>
    <w:rsid w:val="009D0547"/>
    <w:rsid w:val="009D0578"/>
    <w:rsid w:val="009D057C"/>
    <w:rsid w:val="009D06DE"/>
    <w:rsid w:val="009D0786"/>
    <w:rsid w:val="009D07A1"/>
    <w:rsid w:val="009D07E0"/>
    <w:rsid w:val="009D0878"/>
    <w:rsid w:val="009D0908"/>
    <w:rsid w:val="009D0A6B"/>
    <w:rsid w:val="009D0A96"/>
    <w:rsid w:val="009D0B9B"/>
    <w:rsid w:val="009D0B9D"/>
    <w:rsid w:val="009D0C3F"/>
    <w:rsid w:val="009D0D81"/>
    <w:rsid w:val="009D0E3C"/>
    <w:rsid w:val="009D0E3F"/>
    <w:rsid w:val="009D0FA0"/>
    <w:rsid w:val="009D1023"/>
    <w:rsid w:val="009D103C"/>
    <w:rsid w:val="009D1122"/>
    <w:rsid w:val="009D1165"/>
    <w:rsid w:val="009D11D2"/>
    <w:rsid w:val="009D1318"/>
    <w:rsid w:val="009D131D"/>
    <w:rsid w:val="009D14F6"/>
    <w:rsid w:val="009D1621"/>
    <w:rsid w:val="009D16A7"/>
    <w:rsid w:val="009D191C"/>
    <w:rsid w:val="009D19CF"/>
    <w:rsid w:val="009D19E5"/>
    <w:rsid w:val="009D1A5C"/>
    <w:rsid w:val="009D1A92"/>
    <w:rsid w:val="009D1A9D"/>
    <w:rsid w:val="009D1BB7"/>
    <w:rsid w:val="009D1BD2"/>
    <w:rsid w:val="009D1DE6"/>
    <w:rsid w:val="009D1E44"/>
    <w:rsid w:val="009D1F88"/>
    <w:rsid w:val="009D2087"/>
    <w:rsid w:val="009D20C5"/>
    <w:rsid w:val="009D210B"/>
    <w:rsid w:val="009D240C"/>
    <w:rsid w:val="009D2507"/>
    <w:rsid w:val="009D2533"/>
    <w:rsid w:val="009D2537"/>
    <w:rsid w:val="009D2662"/>
    <w:rsid w:val="009D2834"/>
    <w:rsid w:val="009D28BE"/>
    <w:rsid w:val="009D2A7D"/>
    <w:rsid w:val="009D2AC5"/>
    <w:rsid w:val="009D2B41"/>
    <w:rsid w:val="009D2B6F"/>
    <w:rsid w:val="009D2CA5"/>
    <w:rsid w:val="009D2D03"/>
    <w:rsid w:val="009D2E6F"/>
    <w:rsid w:val="009D3083"/>
    <w:rsid w:val="009D313F"/>
    <w:rsid w:val="009D34B2"/>
    <w:rsid w:val="009D3508"/>
    <w:rsid w:val="009D3539"/>
    <w:rsid w:val="009D3565"/>
    <w:rsid w:val="009D375B"/>
    <w:rsid w:val="009D37FF"/>
    <w:rsid w:val="009D382D"/>
    <w:rsid w:val="009D387E"/>
    <w:rsid w:val="009D3927"/>
    <w:rsid w:val="009D393B"/>
    <w:rsid w:val="009D39CB"/>
    <w:rsid w:val="009D3A17"/>
    <w:rsid w:val="009D3D8D"/>
    <w:rsid w:val="009D3DA5"/>
    <w:rsid w:val="009D3F56"/>
    <w:rsid w:val="009D3F70"/>
    <w:rsid w:val="009D3FF7"/>
    <w:rsid w:val="009D407C"/>
    <w:rsid w:val="009D41B9"/>
    <w:rsid w:val="009D41F2"/>
    <w:rsid w:val="009D42F9"/>
    <w:rsid w:val="009D4436"/>
    <w:rsid w:val="009D4467"/>
    <w:rsid w:val="009D44BF"/>
    <w:rsid w:val="009D44D8"/>
    <w:rsid w:val="009D44FF"/>
    <w:rsid w:val="009D4536"/>
    <w:rsid w:val="009D4544"/>
    <w:rsid w:val="009D45E2"/>
    <w:rsid w:val="009D473D"/>
    <w:rsid w:val="009D474A"/>
    <w:rsid w:val="009D4917"/>
    <w:rsid w:val="009D4934"/>
    <w:rsid w:val="009D49D8"/>
    <w:rsid w:val="009D4A05"/>
    <w:rsid w:val="009D4B0C"/>
    <w:rsid w:val="009D4B37"/>
    <w:rsid w:val="009D4CA9"/>
    <w:rsid w:val="009D4DDC"/>
    <w:rsid w:val="009D4F67"/>
    <w:rsid w:val="009D5032"/>
    <w:rsid w:val="009D5128"/>
    <w:rsid w:val="009D51C1"/>
    <w:rsid w:val="009D53A4"/>
    <w:rsid w:val="009D5481"/>
    <w:rsid w:val="009D5566"/>
    <w:rsid w:val="009D5619"/>
    <w:rsid w:val="009D56D8"/>
    <w:rsid w:val="009D585B"/>
    <w:rsid w:val="009D5882"/>
    <w:rsid w:val="009D59C5"/>
    <w:rsid w:val="009D59E0"/>
    <w:rsid w:val="009D59EF"/>
    <w:rsid w:val="009D5A46"/>
    <w:rsid w:val="009D5A66"/>
    <w:rsid w:val="009D5C1A"/>
    <w:rsid w:val="009D5D19"/>
    <w:rsid w:val="009D5E5D"/>
    <w:rsid w:val="009D5E9B"/>
    <w:rsid w:val="009D5F08"/>
    <w:rsid w:val="009D5FB8"/>
    <w:rsid w:val="009D5FFD"/>
    <w:rsid w:val="009D6195"/>
    <w:rsid w:val="009D645B"/>
    <w:rsid w:val="009D648C"/>
    <w:rsid w:val="009D6635"/>
    <w:rsid w:val="009D6820"/>
    <w:rsid w:val="009D6860"/>
    <w:rsid w:val="009D6929"/>
    <w:rsid w:val="009D6A70"/>
    <w:rsid w:val="009D6B7E"/>
    <w:rsid w:val="009D6BD2"/>
    <w:rsid w:val="009D6D4B"/>
    <w:rsid w:val="009D6E02"/>
    <w:rsid w:val="009D6E40"/>
    <w:rsid w:val="009D7177"/>
    <w:rsid w:val="009D7231"/>
    <w:rsid w:val="009D7409"/>
    <w:rsid w:val="009D7427"/>
    <w:rsid w:val="009D74DF"/>
    <w:rsid w:val="009D74E7"/>
    <w:rsid w:val="009D7520"/>
    <w:rsid w:val="009D771A"/>
    <w:rsid w:val="009D7731"/>
    <w:rsid w:val="009D774F"/>
    <w:rsid w:val="009D7A4A"/>
    <w:rsid w:val="009D7E15"/>
    <w:rsid w:val="009D7F80"/>
    <w:rsid w:val="009D7F85"/>
    <w:rsid w:val="009D7F97"/>
    <w:rsid w:val="009E0421"/>
    <w:rsid w:val="009E048C"/>
    <w:rsid w:val="009E0566"/>
    <w:rsid w:val="009E06E4"/>
    <w:rsid w:val="009E0896"/>
    <w:rsid w:val="009E0BC2"/>
    <w:rsid w:val="009E0BE7"/>
    <w:rsid w:val="009E0DF1"/>
    <w:rsid w:val="009E0F88"/>
    <w:rsid w:val="009E0FC1"/>
    <w:rsid w:val="009E1051"/>
    <w:rsid w:val="009E1144"/>
    <w:rsid w:val="009E1192"/>
    <w:rsid w:val="009E11BE"/>
    <w:rsid w:val="009E11D2"/>
    <w:rsid w:val="009E128D"/>
    <w:rsid w:val="009E14AC"/>
    <w:rsid w:val="009E165C"/>
    <w:rsid w:val="009E169B"/>
    <w:rsid w:val="009E1773"/>
    <w:rsid w:val="009E1791"/>
    <w:rsid w:val="009E188D"/>
    <w:rsid w:val="009E18E2"/>
    <w:rsid w:val="009E1A08"/>
    <w:rsid w:val="009E1B52"/>
    <w:rsid w:val="009E1C15"/>
    <w:rsid w:val="009E1C20"/>
    <w:rsid w:val="009E1C35"/>
    <w:rsid w:val="009E1C9F"/>
    <w:rsid w:val="009E1D4B"/>
    <w:rsid w:val="009E1DE2"/>
    <w:rsid w:val="009E1F10"/>
    <w:rsid w:val="009E2259"/>
    <w:rsid w:val="009E22D0"/>
    <w:rsid w:val="009E241F"/>
    <w:rsid w:val="009E2514"/>
    <w:rsid w:val="009E2648"/>
    <w:rsid w:val="009E27B7"/>
    <w:rsid w:val="009E2800"/>
    <w:rsid w:val="009E280D"/>
    <w:rsid w:val="009E2832"/>
    <w:rsid w:val="009E28B4"/>
    <w:rsid w:val="009E298A"/>
    <w:rsid w:val="009E2994"/>
    <w:rsid w:val="009E2AF8"/>
    <w:rsid w:val="009E2BFE"/>
    <w:rsid w:val="009E2CE5"/>
    <w:rsid w:val="009E2F23"/>
    <w:rsid w:val="009E2FE7"/>
    <w:rsid w:val="009E302F"/>
    <w:rsid w:val="009E30A1"/>
    <w:rsid w:val="009E30BB"/>
    <w:rsid w:val="009E3219"/>
    <w:rsid w:val="009E32CF"/>
    <w:rsid w:val="009E3359"/>
    <w:rsid w:val="009E337E"/>
    <w:rsid w:val="009E33EA"/>
    <w:rsid w:val="009E349B"/>
    <w:rsid w:val="009E3785"/>
    <w:rsid w:val="009E382A"/>
    <w:rsid w:val="009E38BE"/>
    <w:rsid w:val="009E38C5"/>
    <w:rsid w:val="009E3AC2"/>
    <w:rsid w:val="009E3CE4"/>
    <w:rsid w:val="009E3CF3"/>
    <w:rsid w:val="009E3D25"/>
    <w:rsid w:val="009E3DA7"/>
    <w:rsid w:val="009E3E58"/>
    <w:rsid w:val="009E3F1B"/>
    <w:rsid w:val="009E3F1E"/>
    <w:rsid w:val="009E3FDF"/>
    <w:rsid w:val="009E4013"/>
    <w:rsid w:val="009E4047"/>
    <w:rsid w:val="009E41E6"/>
    <w:rsid w:val="009E4232"/>
    <w:rsid w:val="009E4313"/>
    <w:rsid w:val="009E438C"/>
    <w:rsid w:val="009E4400"/>
    <w:rsid w:val="009E4440"/>
    <w:rsid w:val="009E444F"/>
    <w:rsid w:val="009E47DC"/>
    <w:rsid w:val="009E485A"/>
    <w:rsid w:val="009E4AC4"/>
    <w:rsid w:val="009E4D46"/>
    <w:rsid w:val="009E4D67"/>
    <w:rsid w:val="009E4F28"/>
    <w:rsid w:val="009E4F56"/>
    <w:rsid w:val="009E50D5"/>
    <w:rsid w:val="009E5187"/>
    <w:rsid w:val="009E53EF"/>
    <w:rsid w:val="009E53FF"/>
    <w:rsid w:val="009E5428"/>
    <w:rsid w:val="009E5485"/>
    <w:rsid w:val="009E54A8"/>
    <w:rsid w:val="009E5500"/>
    <w:rsid w:val="009E551E"/>
    <w:rsid w:val="009E555A"/>
    <w:rsid w:val="009E5570"/>
    <w:rsid w:val="009E5969"/>
    <w:rsid w:val="009E59CE"/>
    <w:rsid w:val="009E5D70"/>
    <w:rsid w:val="009E5EE2"/>
    <w:rsid w:val="009E5F6B"/>
    <w:rsid w:val="009E60F6"/>
    <w:rsid w:val="009E6103"/>
    <w:rsid w:val="009E61DB"/>
    <w:rsid w:val="009E642A"/>
    <w:rsid w:val="009E6573"/>
    <w:rsid w:val="009E6623"/>
    <w:rsid w:val="009E6712"/>
    <w:rsid w:val="009E6733"/>
    <w:rsid w:val="009E68AC"/>
    <w:rsid w:val="009E6900"/>
    <w:rsid w:val="009E690B"/>
    <w:rsid w:val="009E6B02"/>
    <w:rsid w:val="009E6B37"/>
    <w:rsid w:val="009E6C14"/>
    <w:rsid w:val="009E6D2D"/>
    <w:rsid w:val="009E6FF8"/>
    <w:rsid w:val="009E7018"/>
    <w:rsid w:val="009E71B8"/>
    <w:rsid w:val="009E736A"/>
    <w:rsid w:val="009E75B4"/>
    <w:rsid w:val="009E75D3"/>
    <w:rsid w:val="009E75D8"/>
    <w:rsid w:val="009E764C"/>
    <w:rsid w:val="009E78DD"/>
    <w:rsid w:val="009E7A17"/>
    <w:rsid w:val="009E7A1F"/>
    <w:rsid w:val="009E7AD1"/>
    <w:rsid w:val="009E7B6D"/>
    <w:rsid w:val="009E7BBA"/>
    <w:rsid w:val="009E7BF3"/>
    <w:rsid w:val="009E7CB3"/>
    <w:rsid w:val="009E7D04"/>
    <w:rsid w:val="009F02E7"/>
    <w:rsid w:val="009F0390"/>
    <w:rsid w:val="009F04AB"/>
    <w:rsid w:val="009F05C7"/>
    <w:rsid w:val="009F0619"/>
    <w:rsid w:val="009F06BC"/>
    <w:rsid w:val="009F06E6"/>
    <w:rsid w:val="009F073F"/>
    <w:rsid w:val="009F07B1"/>
    <w:rsid w:val="009F0814"/>
    <w:rsid w:val="009F0866"/>
    <w:rsid w:val="009F0979"/>
    <w:rsid w:val="009F09AA"/>
    <w:rsid w:val="009F0BCB"/>
    <w:rsid w:val="009F0BD8"/>
    <w:rsid w:val="009F0C50"/>
    <w:rsid w:val="009F0CEC"/>
    <w:rsid w:val="009F0E04"/>
    <w:rsid w:val="009F1154"/>
    <w:rsid w:val="009F12BA"/>
    <w:rsid w:val="009F1327"/>
    <w:rsid w:val="009F138E"/>
    <w:rsid w:val="009F13E1"/>
    <w:rsid w:val="009F13E7"/>
    <w:rsid w:val="009F1449"/>
    <w:rsid w:val="009F147B"/>
    <w:rsid w:val="009F157F"/>
    <w:rsid w:val="009F17C6"/>
    <w:rsid w:val="009F17F4"/>
    <w:rsid w:val="009F1818"/>
    <w:rsid w:val="009F184C"/>
    <w:rsid w:val="009F1993"/>
    <w:rsid w:val="009F1A3D"/>
    <w:rsid w:val="009F1A92"/>
    <w:rsid w:val="009F1D22"/>
    <w:rsid w:val="009F1D41"/>
    <w:rsid w:val="009F1DB4"/>
    <w:rsid w:val="009F1E3E"/>
    <w:rsid w:val="009F1E87"/>
    <w:rsid w:val="009F1EDA"/>
    <w:rsid w:val="009F1F17"/>
    <w:rsid w:val="009F1F49"/>
    <w:rsid w:val="009F1F60"/>
    <w:rsid w:val="009F20E7"/>
    <w:rsid w:val="009F22AA"/>
    <w:rsid w:val="009F22E2"/>
    <w:rsid w:val="009F2323"/>
    <w:rsid w:val="009F2372"/>
    <w:rsid w:val="009F2449"/>
    <w:rsid w:val="009F2616"/>
    <w:rsid w:val="009F27BD"/>
    <w:rsid w:val="009F2858"/>
    <w:rsid w:val="009F2898"/>
    <w:rsid w:val="009F2B1B"/>
    <w:rsid w:val="009F2B88"/>
    <w:rsid w:val="009F2BA9"/>
    <w:rsid w:val="009F2C55"/>
    <w:rsid w:val="009F2C86"/>
    <w:rsid w:val="009F2E52"/>
    <w:rsid w:val="009F3021"/>
    <w:rsid w:val="009F30AF"/>
    <w:rsid w:val="009F30BB"/>
    <w:rsid w:val="009F30C8"/>
    <w:rsid w:val="009F31C8"/>
    <w:rsid w:val="009F3200"/>
    <w:rsid w:val="009F3359"/>
    <w:rsid w:val="009F34E7"/>
    <w:rsid w:val="009F354D"/>
    <w:rsid w:val="009F35EB"/>
    <w:rsid w:val="009F367D"/>
    <w:rsid w:val="009F3683"/>
    <w:rsid w:val="009F38A1"/>
    <w:rsid w:val="009F3B26"/>
    <w:rsid w:val="009F3BC7"/>
    <w:rsid w:val="009F3CC7"/>
    <w:rsid w:val="009F3CF6"/>
    <w:rsid w:val="009F3D8F"/>
    <w:rsid w:val="009F41A2"/>
    <w:rsid w:val="009F424F"/>
    <w:rsid w:val="009F43DF"/>
    <w:rsid w:val="009F44FD"/>
    <w:rsid w:val="009F4556"/>
    <w:rsid w:val="009F4648"/>
    <w:rsid w:val="009F46E9"/>
    <w:rsid w:val="009F481F"/>
    <w:rsid w:val="009F48A9"/>
    <w:rsid w:val="009F48EC"/>
    <w:rsid w:val="009F4962"/>
    <w:rsid w:val="009F4D8F"/>
    <w:rsid w:val="009F4D9E"/>
    <w:rsid w:val="009F4DA2"/>
    <w:rsid w:val="009F4E1C"/>
    <w:rsid w:val="009F4EE6"/>
    <w:rsid w:val="009F4FDF"/>
    <w:rsid w:val="009F5010"/>
    <w:rsid w:val="009F5186"/>
    <w:rsid w:val="009F52E5"/>
    <w:rsid w:val="009F5550"/>
    <w:rsid w:val="009F5572"/>
    <w:rsid w:val="009F56C3"/>
    <w:rsid w:val="009F5B3B"/>
    <w:rsid w:val="009F5B48"/>
    <w:rsid w:val="009F5BA7"/>
    <w:rsid w:val="009F5C5B"/>
    <w:rsid w:val="009F5D21"/>
    <w:rsid w:val="009F5D65"/>
    <w:rsid w:val="009F5F35"/>
    <w:rsid w:val="009F5FED"/>
    <w:rsid w:val="009F5FF8"/>
    <w:rsid w:val="009F606F"/>
    <w:rsid w:val="009F609D"/>
    <w:rsid w:val="009F60AE"/>
    <w:rsid w:val="009F635A"/>
    <w:rsid w:val="009F636A"/>
    <w:rsid w:val="009F6407"/>
    <w:rsid w:val="009F6428"/>
    <w:rsid w:val="009F6614"/>
    <w:rsid w:val="009F6696"/>
    <w:rsid w:val="009F680E"/>
    <w:rsid w:val="009F6862"/>
    <w:rsid w:val="009F698F"/>
    <w:rsid w:val="009F6EDD"/>
    <w:rsid w:val="009F704B"/>
    <w:rsid w:val="009F7056"/>
    <w:rsid w:val="009F7081"/>
    <w:rsid w:val="009F70CA"/>
    <w:rsid w:val="009F7128"/>
    <w:rsid w:val="009F7288"/>
    <w:rsid w:val="009F72A8"/>
    <w:rsid w:val="009F7398"/>
    <w:rsid w:val="009F74DE"/>
    <w:rsid w:val="009F7514"/>
    <w:rsid w:val="009F752A"/>
    <w:rsid w:val="009F75C7"/>
    <w:rsid w:val="009F7637"/>
    <w:rsid w:val="009F769D"/>
    <w:rsid w:val="009F77F5"/>
    <w:rsid w:val="009F7869"/>
    <w:rsid w:val="009F7A11"/>
    <w:rsid w:val="009F7A37"/>
    <w:rsid w:val="009F7B5B"/>
    <w:rsid w:val="009F7C0A"/>
    <w:rsid w:val="009F7CFE"/>
    <w:rsid w:val="009F7DB7"/>
    <w:rsid w:val="009F7E60"/>
    <w:rsid w:val="009F7F63"/>
    <w:rsid w:val="00A00009"/>
    <w:rsid w:val="00A000AB"/>
    <w:rsid w:val="00A00116"/>
    <w:rsid w:val="00A001BB"/>
    <w:rsid w:val="00A00459"/>
    <w:rsid w:val="00A00685"/>
    <w:rsid w:val="00A00706"/>
    <w:rsid w:val="00A0085C"/>
    <w:rsid w:val="00A00905"/>
    <w:rsid w:val="00A00AAE"/>
    <w:rsid w:val="00A00B0D"/>
    <w:rsid w:val="00A00B6E"/>
    <w:rsid w:val="00A00BC5"/>
    <w:rsid w:val="00A00C4C"/>
    <w:rsid w:val="00A00C5A"/>
    <w:rsid w:val="00A00D4D"/>
    <w:rsid w:val="00A00D5E"/>
    <w:rsid w:val="00A00EDE"/>
    <w:rsid w:val="00A01126"/>
    <w:rsid w:val="00A0112C"/>
    <w:rsid w:val="00A011C6"/>
    <w:rsid w:val="00A01380"/>
    <w:rsid w:val="00A01420"/>
    <w:rsid w:val="00A01517"/>
    <w:rsid w:val="00A01781"/>
    <w:rsid w:val="00A017A9"/>
    <w:rsid w:val="00A017FA"/>
    <w:rsid w:val="00A01976"/>
    <w:rsid w:val="00A01A8D"/>
    <w:rsid w:val="00A01C4A"/>
    <w:rsid w:val="00A01E95"/>
    <w:rsid w:val="00A01F39"/>
    <w:rsid w:val="00A0203E"/>
    <w:rsid w:val="00A020BC"/>
    <w:rsid w:val="00A020D7"/>
    <w:rsid w:val="00A020EC"/>
    <w:rsid w:val="00A02170"/>
    <w:rsid w:val="00A02178"/>
    <w:rsid w:val="00A021A1"/>
    <w:rsid w:val="00A0224F"/>
    <w:rsid w:val="00A02361"/>
    <w:rsid w:val="00A02387"/>
    <w:rsid w:val="00A023C1"/>
    <w:rsid w:val="00A023DC"/>
    <w:rsid w:val="00A0241A"/>
    <w:rsid w:val="00A027CB"/>
    <w:rsid w:val="00A02912"/>
    <w:rsid w:val="00A02A41"/>
    <w:rsid w:val="00A02A68"/>
    <w:rsid w:val="00A02AA7"/>
    <w:rsid w:val="00A02BCF"/>
    <w:rsid w:val="00A02CDB"/>
    <w:rsid w:val="00A02DCA"/>
    <w:rsid w:val="00A02EBF"/>
    <w:rsid w:val="00A02F7D"/>
    <w:rsid w:val="00A02FA3"/>
    <w:rsid w:val="00A03021"/>
    <w:rsid w:val="00A03078"/>
    <w:rsid w:val="00A030CB"/>
    <w:rsid w:val="00A030F4"/>
    <w:rsid w:val="00A03191"/>
    <w:rsid w:val="00A03227"/>
    <w:rsid w:val="00A032DF"/>
    <w:rsid w:val="00A032FB"/>
    <w:rsid w:val="00A03374"/>
    <w:rsid w:val="00A036D9"/>
    <w:rsid w:val="00A03720"/>
    <w:rsid w:val="00A03766"/>
    <w:rsid w:val="00A037E9"/>
    <w:rsid w:val="00A03852"/>
    <w:rsid w:val="00A039EE"/>
    <w:rsid w:val="00A03A09"/>
    <w:rsid w:val="00A03C19"/>
    <w:rsid w:val="00A03C8C"/>
    <w:rsid w:val="00A03CED"/>
    <w:rsid w:val="00A03D69"/>
    <w:rsid w:val="00A03D6E"/>
    <w:rsid w:val="00A03DA1"/>
    <w:rsid w:val="00A03E6A"/>
    <w:rsid w:val="00A04190"/>
    <w:rsid w:val="00A041B1"/>
    <w:rsid w:val="00A041B5"/>
    <w:rsid w:val="00A04286"/>
    <w:rsid w:val="00A042BD"/>
    <w:rsid w:val="00A04477"/>
    <w:rsid w:val="00A045C0"/>
    <w:rsid w:val="00A04911"/>
    <w:rsid w:val="00A04A56"/>
    <w:rsid w:val="00A04B54"/>
    <w:rsid w:val="00A04B6B"/>
    <w:rsid w:val="00A04B7E"/>
    <w:rsid w:val="00A04BA5"/>
    <w:rsid w:val="00A04BE6"/>
    <w:rsid w:val="00A04C72"/>
    <w:rsid w:val="00A04F0C"/>
    <w:rsid w:val="00A05135"/>
    <w:rsid w:val="00A05142"/>
    <w:rsid w:val="00A05178"/>
    <w:rsid w:val="00A05577"/>
    <w:rsid w:val="00A0574B"/>
    <w:rsid w:val="00A058D7"/>
    <w:rsid w:val="00A05B3F"/>
    <w:rsid w:val="00A05CF4"/>
    <w:rsid w:val="00A05D22"/>
    <w:rsid w:val="00A05D5B"/>
    <w:rsid w:val="00A05E00"/>
    <w:rsid w:val="00A05E46"/>
    <w:rsid w:val="00A060D0"/>
    <w:rsid w:val="00A062A6"/>
    <w:rsid w:val="00A06331"/>
    <w:rsid w:val="00A0647A"/>
    <w:rsid w:val="00A06562"/>
    <w:rsid w:val="00A06616"/>
    <w:rsid w:val="00A06665"/>
    <w:rsid w:val="00A066AE"/>
    <w:rsid w:val="00A06748"/>
    <w:rsid w:val="00A06758"/>
    <w:rsid w:val="00A06881"/>
    <w:rsid w:val="00A0692C"/>
    <w:rsid w:val="00A069EB"/>
    <w:rsid w:val="00A06A4F"/>
    <w:rsid w:val="00A06BD3"/>
    <w:rsid w:val="00A06C06"/>
    <w:rsid w:val="00A06C60"/>
    <w:rsid w:val="00A06C8B"/>
    <w:rsid w:val="00A06CC1"/>
    <w:rsid w:val="00A06D01"/>
    <w:rsid w:val="00A06D90"/>
    <w:rsid w:val="00A06DAB"/>
    <w:rsid w:val="00A06E12"/>
    <w:rsid w:val="00A06F28"/>
    <w:rsid w:val="00A06FF9"/>
    <w:rsid w:val="00A0707D"/>
    <w:rsid w:val="00A071A0"/>
    <w:rsid w:val="00A07246"/>
    <w:rsid w:val="00A072FF"/>
    <w:rsid w:val="00A0739D"/>
    <w:rsid w:val="00A07576"/>
    <w:rsid w:val="00A075ED"/>
    <w:rsid w:val="00A077C3"/>
    <w:rsid w:val="00A077CB"/>
    <w:rsid w:val="00A07810"/>
    <w:rsid w:val="00A078BA"/>
    <w:rsid w:val="00A0790C"/>
    <w:rsid w:val="00A07966"/>
    <w:rsid w:val="00A07A77"/>
    <w:rsid w:val="00A07BFB"/>
    <w:rsid w:val="00A07E4B"/>
    <w:rsid w:val="00A100E4"/>
    <w:rsid w:val="00A10163"/>
    <w:rsid w:val="00A10169"/>
    <w:rsid w:val="00A1019C"/>
    <w:rsid w:val="00A102E3"/>
    <w:rsid w:val="00A10318"/>
    <w:rsid w:val="00A1031C"/>
    <w:rsid w:val="00A103B7"/>
    <w:rsid w:val="00A10485"/>
    <w:rsid w:val="00A10518"/>
    <w:rsid w:val="00A1089A"/>
    <w:rsid w:val="00A10A00"/>
    <w:rsid w:val="00A10AEB"/>
    <w:rsid w:val="00A10B00"/>
    <w:rsid w:val="00A10DC8"/>
    <w:rsid w:val="00A10E83"/>
    <w:rsid w:val="00A11002"/>
    <w:rsid w:val="00A11464"/>
    <w:rsid w:val="00A114CB"/>
    <w:rsid w:val="00A114DF"/>
    <w:rsid w:val="00A11561"/>
    <w:rsid w:val="00A11583"/>
    <w:rsid w:val="00A1162C"/>
    <w:rsid w:val="00A11649"/>
    <w:rsid w:val="00A11737"/>
    <w:rsid w:val="00A11738"/>
    <w:rsid w:val="00A11809"/>
    <w:rsid w:val="00A1194B"/>
    <w:rsid w:val="00A11A4F"/>
    <w:rsid w:val="00A11A87"/>
    <w:rsid w:val="00A11C10"/>
    <w:rsid w:val="00A11C63"/>
    <w:rsid w:val="00A11D1A"/>
    <w:rsid w:val="00A11E3A"/>
    <w:rsid w:val="00A11E5C"/>
    <w:rsid w:val="00A11F86"/>
    <w:rsid w:val="00A1207C"/>
    <w:rsid w:val="00A12118"/>
    <w:rsid w:val="00A122D5"/>
    <w:rsid w:val="00A12314"/>
    <w:rsid w:val="00A124DE"/>
    <w:rsid w:val="00A1256A"/>
    <w:rsid w:val="00A12619"/>
    <w:rsid w:val="00A127C3"/>
    <w:rsid w:val="00A12850"/>
    <w:rsid w:val="00A12926"/>
    <w:rsid w:val="00A12945"/>
    <w:rsid w:val="00A129E2"/>
    <w:rsid w:val="00A12A51"/>
    <w:rsid w:val="00A12ACE"/>
    <w:rsid w:val="00A12BCA"/>
    <w:rsid w:val="00A12C5B"/>
    <w:rsid w:val="00A12C7B"/>
    <w:rsid w:val="00A12E06"/>
    <w:rsid w:val="00A1300E"/>
    <w:rsid w:val="00A13073"/>
    <w:rsid w:val="00A130D2"/>
    <w:rsid w:val="00A13263"/>
    <w:rsid w:val="00A1329D"/>
    <w:rsid w:val="00A13342"/>
    <w:rsid w:val="00A13419"/>
    <w:rsid w:val="00A13491"/>
    <w:rsid w:val="00A134AB"/>
    <w:rsid w:val="00A13590"/>
    <w:rsid w:val="00A13605"/>
    <w:rsid w:val="00A136E6"/>
    <w:rsid w:val="00A1377F"/>
    <w:rsid w:val="00A137E3"/>
    <w:rsid w:val="00A138FD"/>
    <w:rsid w:val="00A13963"/>
    <w:rsid w:val="00A1397F"/>
    <w:rsid w:val="00A139B1"/>
    <w:rsid w:val="00A13A6C"/>
    <w:rsid w:val="00A13C1E"/>
    <w:rsid w:val="00A13D3F"/>
    <w:rsid w:val="00A13F35"/>
    <w:rsid w:val="00A1402E"/>
    <w:rsid w:val="00A1405D"/>
    <w:rsid w:val="00A14281"/>
    <w:rsid w:val="00A142E7"/>
    <w:rsid w:val="00A14451"/>
    <w:rsid w:val="00A1448A"/>
    <w:rsid w:val="00A14549"/>
    <w:rsid w:val="00A145A1"/>
    <w:rsid w:val="00A1465E"/>
    <w:rsid w:val="00A14686"/>
    <w:rsid w:val="00A146FF"/>
    <w:rsid w:val="00A149B7"/>
    <w:rsid w:val="00A149F1"/>
    <w:rsid w:val="00A14A8B"/>
    <w:rsid w:val="00A14B7B"/>
    <w:rsid w:val="00A14B9C"/>
    <w:rsid w:val="00A14D25"/>
    <w:rsid w:val="00A14E15"/>
    <w:rsid w:val="00A14EF9"/>
    <w:rsid w:val="00A14F49"/>
    <w:rsid w:val="00A14F58"/>
    <w:rsid w:val="00A15035"/>
    <w:rsid w:val="00A15069"/>
    <w:rsid w:val="00A15106"/>
    <w:rsid w:val="00A1534F"/>
    <w:rsid w:val="00A15390"/>
    <w:rsid w:val="00A1541A"/>
    <w:rsid w:val="00A1553C"/>
    <w:rsid w:val="00A1566F"/>
    <w:rsid w:val="00A1573D"/>
    <w:rsid w:val="00A15802"/>
    <w:rsid w:val="00A158FB"/>
    <w:rsid w:val="00A15A27"/>
    <w:rsid w:val="00A15A9A"/>
    <w:rsid w:val="00A15B7C"/>
    <w:rsid w:val="00A15D1B"/>
    <w:rsid w:val="00A15DC1"/>
    <w:rsid w:val="00A15DE3"/>
    <w:rsid w:val="00A15F5E"/>
    <w:rsid w:val="00A1608B"/>
    <w:rsid w:val="00A160FD"/>
    <w:rsid w:val="00A162BB"/>
    <w:rsid w:val="00A163BF"/>
    <w:rsid w:val="00A16405"/>
    <w:rsid w:val="00A1650E"/>
    <w:rsid w:val="00A167B5"/>
    <w:rsid w:val="00A16805"/>
    <w:rsid w:val="00A16814"/>
    <w:rsid w:val="00A1682A"/>
    <w:rsid w:val="00A1684B"/>
    <w:rsid w:val="00A16A1A"/>
    <w:rsid w:val="00A16AE8"/>
    <w:rsid w:val="00A16AEE"/>
    <w:rsid w:val="00A16DDB"/>
    <w:rsid w:val="00A16E34"/>
    <w:rsid w:val="00A16EEB"/>
    <w:rsid w:val="00A16F1E"/>
    <w:rsid w:val="00A16FA0"/>
    <w:rsid w:val="00A16FAF"/>
    <w:rsid w:val="00A17194"/>
    <w:rsid w:val="00A173B2"/>
    <w:rsid w:val="00A1749E"/>
    <w:rsid w:val="00A174C8"/>
    <w:rsid w:val="00A174EE"/>
    <w:rsid w:val="00A175A7"/>
    <w:rsid w:val="00A17621"/>
    <w:rsid w:val="00A17625"/>
    <w:rsid w:val="00A17643"/>
    <w:rsid w:val="00A176EF"/>
    <w:rsid w:val="00A177BA"/>
    <w:rsid w:val="00A177D2"/>
    <w:rsid w:val="00A179D7"/>
    <w:rsid w:val="00A17C54"/>
    <w:rsid w:val="00A17C60"/>
    <w:rsid w:val="00A17E9C"/>
    <w:rsid w:val="00A17F0B"/>
    <w:rsid w:val="00A200BD"/>
    <w:rsid w:val="00A200F0"/>
    <w:rsid w:val="00A20256"/>
    <w:rsid w:val="00A20378"/>
    <w:rsid w:val="00A2037A"/>
    <w:rsid w:val="00A204D5"/>
    <w:rsid w:val="00A20630"/>
    <w:rsid w:val="00A20642"/>
    <w:rsid w:val="00A20702"/>
    <w:rsid w:val="00A20780"/>
    <w:rsid w:val="00A207E7"/>
    <w:rsid w:val="00A2099E"/>
    <w:rsid w:val="00A20C07"/>
    <w:rsid w:val="00A20F00"/>
    <w:rsid w:val="00A20F47"/>
    <w:rsid w:val="00A2101E"/>
    <w:rsid w:val="00A2123D"/>
    <w:rsid w:val="00A212EA"/>
    <w:rsid w:val="00A21335"/>
    <w:rsid w:val="00A2139F"/>
    <w:rsid w:val="00A21456"/>
    <w:rsid w:val="00A21487"/>
    <w:rsid w:val="00A214F1"/>
    <w:rsid w:val="00A2176C"/>
    <w:rsid w:val="00A21875"/>
    <w:rsid w:val="00A218B6"/>
    <w:rsid w:val="00A21933"/>
    <w:rsid w:val="00A2197B"/>
    <w:rsid w:val="00A219D7"/>
    <w:rsid w:val="00A21B04"/>
    <w:rsid w:val="00A21BB2"/>
    <w:rsid w:val="00A21BB6"/>
    <w:rsid w:val="00A21C3C"/>
    <w:rsid w:val="00A21C96"/>
    <w:rsid w:val="00A21D09"/>
    <w:rsid w:val="00A21D2E"/>
    <w:rsid w:val="00A21DA6"/>
    <w:rsid w:val="00A21DE6"/>
    <w:rsid w:val="00A21EDA"/>
    <w:rsid w:val="00A21EF2"/>
    <w:rsid w:val="00A21FF1"/>
    <w:rsid w:val="00A220B4"/>
    <w:rsid w:val="00A22279"/>
    <w:rsid w:val="00A22335"/>
    <w:rsid w:val="00A2238A"/>
    <w:rsid w:val="00A22409"/>
    <w:rsid w:val="00A2243B"/>
    <w:rsid w:val="00A224DF"/>
    <w:rsid w:val="00A225FC"/>
    <w:rsid w:val="00A2262A"/>
    <w:rsid w:val="00A226AF"/>
    <w:rsid w:val="00A2275F"/>
    <w:rsid w:val="00A227FD"/>
    <w:rsid w:val="00A2296E"/>
    <w:rsid w:val="00A22AFE"/>
    <w:rsid w:val="00A22B10"/>
    <w:rsid w:val="00A22BD3"/>
    <w:rsid w:val="00A22D0D"/>
    <w:rsid w:val="00A22DD5"/>
    <w:rsid w:val="00A22DEE"/>
    <w:rsid w:val="00A22E9B"/>
    <w:rsid w:val="00A22FE9"/>
    <w:rsid w:val="00A2308F"/>
    <w:rsid w:val="00A23205"/>
    <w:rsid w:val="00A23228"/>
    <w:rsid w:val="00A2329A"/>
    <w:rsid w:val="00A2330B"/>
    <w:rsid w:val="00A23377"/>
    <w:rsid w:val="00A2338C"/>
    <w:rsid w:val="00A23434"/>
    <w:rsid w:val="00A23446"/>
    <w:rsid w:val="00A23462"/>
    <w:rsid w:val="00A2354A"/>
    <w:rsid w:val="00A236F8"/>
    <w:rsid w:val="00A238F8"/>
    <w:rsid w:val="00A238FB"/>
    <w:rsid w:val="00A23990"/>
    <w:rsid w:val="00A239C2"/>
    <w:rsid w:val="00A23B1B"/>
    <w:rsid w:val="00A23CB3"/>
    <w:rsid w:val="00A23CE9"/>
    <w:rsid w:val="00A23D59"/>
    <w:rsid w:val="00A23D94"/>
    <w:rsid w:val="00A23E49"/>
    <w:rsid w:val="00A23E9C"/>
    <w:rsid w:val="00A23EFC"/>
    <w:rsid w:val="00A23F04"/>
    <w:rsid w:val="00A23F77"/>
    <w:rsid w:val="00A23F8A"/>
    <w:rsid w:val="00A24071"/>
    <w:rsid w:val="00A24158"/>
    <w:rsid w:val="00A24226"/>
    <w:rsid w:val="00A242CD"/>
    <w:rsid w:val="00A243E3"/>
    <w:rsid w:val="00A24446"/>
    <w:rsid w:val="00A24660"/>
    <w:rsid w:val="00A2468A"/>
    <w:rsid w:val="00A246F9"/>
    <w:rsid w:val="00A2471C"/>
    <w:rsid w:val="00A24836"/>
    <w:rsid w:val="00A24851"/>
    <w:rsid w:val="00A2497A"/>
    <w:rsid w:val="00A249B8"/>
    <w:rsid w:val="00A24AB3"/>
    <w:rsid w:val="00A24C23"/>
    <w:rsid w:val="00A24C74"/>
    <w:rsid w:val="00A24C76"/>
    <w:rsid w:val="00A24CE5"/>
    <w:rsid w:val="00A24D45"/>
    <w:rsid w:val="00A24D56"/>
    <w:rsid w:val="00A24D89"/>
    <w:rsid w:val="00A24E72"/>
    <w:rsid w:val="00A24EB2"/>
    <w:rsid w:val="00A24ECA"/>
    <w:rsid w:val="00A25102"/>
    <w:rsid w:val="00A251D9"/>
    <w:rsid w:val="00A2526F"/>
    <w:rsid w:val="00A252E1"/>
    <w:rsid w:val="00A252EE"/>
    <w:rsid w:val="00A2532E"/>
    <w:rsid w:val="00A25336"/>
    <w:rsid w:val="00A25497"/>
    <w:rsid w:val="00A254C2"/>
    <w:rsid w:val="00A25568"/>
    <w:rsid w:val="00A255DA"/>
    <w:rsid w:val="00A2563A"/>
    <w:rsid w:val="00A2565E"/>
    <w:rsid w:val="00A25777"/>
    <w:rsid w:val="00A2579C"/>
    <w:rsid w:val="00A257C0"/>
    <w:rsid w:val="00A2580E"/>
    <w:rsid w:val="00A25904"/>
    <w:rsid w:val="00A2594D"/>
    <w:rsid w:val="00A25AD7"/>
    <w:rsid w:val="00A25C03"/>
    <w:rsid w:val="00A25C44"/>
    <w:rsid w:val="00A25C67"/>
    <w:rsid w:val="00A25DC0"/>
    <w:rsid w:val="00A25DE5"/>
    <w:rsid w:val="00A25E3D"/>
    <w:rsid w:val="00A25F87"/>
    <w:rsid w:val="00A2601E"/>
    <w:rsid w:val="00A26082"/>
    <w:rsid w:val="00A260DB"/>
    <w:rsid w:val="00A261AD"/>
    <w:rsid w:val="00A263F3"/>
    <w:rsid w:val="00A268EA"/>
    <w:rsid w:val="00A26A6D"/>
    <w:rsid w:val="00A26BF7"/>
    <w:rsid w:val="00A26C13"/>
    <w:rsid w:val="00A26D5A"/>
    <w:rsid w:val="00A26DCD"/>
    <w:rsid w:val="00A26DFC"/>
    <w:rsid w:val="00A26E1B"/>
    <w:rsid w:val="00A26EF0"/>
    <w:rsid w:val="00A2705A"/>
    <w:rsid w:val="00A271FE"/>
    <w:rsid w:val="00A27272"/>
    <w:rsid w:val="00A27606"/>
    <w:rsid w:val="00A2767A"/>
    <w:rsid w:val="00A27701"/>
    <w:rsid w:val="00A277BF"/>
    <w:rsid w:val="00A278E0"/>
    <w:rsid w:val="00A27941"/>
    <w:rsid w:val="00A27954"/>
    <w:rsid w:val="00A27960"/>
    <w:rsid w:val="00A27962"/>
    <w:rsid w:val="00A2798E"/>
    <w:rsid w:val="00A27A40"/>
    <w:rsid w:val="00A27B9C"/>
    <w:rsid w:val="00A27BBE"/>
    <w:rsid w:val="00A27CA5"/>
    <w:rsid w:val="00A27D42"/>
    <w:rsid w:val="00A27D79"/>
    <w:rsid w:val="00A27FA7"/>
    <w:rsid w:val="00A302AB"/>
    <w:rsid w:val="00A30520"/>
    <w:rsid w:val="00A3056D"/>
    <w:rsid w:val="00A306AB"/>
    <w:rsid w:val="00A30730"/>
    <w:rsid w:val="00A3089A"/>
    <w:rsid w:val="00A309D1"/>
    <w:rsid w:val="00A309F2"/>
    <w:rsid w:val="00A30B8A"/>
    <w:rsid w:val="00A30D6B"/>
    <w:rsid w:val="00A3107F"/>
    <w:rsid w:val="00A310B0"/>
    <w:rsid w:val="00A31189"/>
    <w:rsid w:val="00A312C8"/>
    <w:rsid w:val="00A3130E"/>
    <w:rsid w:val="00A31324"/>
    <w:rsid w:val="00A31350"/>
    <w:rsid w:val="00A31353"/>
    <w:rsid w:val="00A3149C"/>
    <w:rsid w:val="00A314E9"/>
    <w:rsid w:val="00A315A5"/>
    <w:rsid w:val="00A31634"/>
    <w:rsid w:val="00A3165D"/>
    <w:rsid w:val="00A31778"/>
    <w:rsid w:val="00A31A2D"/>
    <w:rsid w:val="00A31B71"/>
    <w:rsid w:val="00A31B7C"/>
    <w:rsid w:val="00A31C28"/>
    <w:rsid w:val="00A31D03"/>
    <w:rsid w:val="00A31E9B"/>
    <w:rsid w:val="00A31F5D"/>
    <w:rsid w:val="00A32073"/>
    <w:rsid w:val="00A32188"/>
    <w:rsid w:val="00A3219E"/>
    <w:rsid w:val="00A321EB"/>
    <w:rsid w:val="00A32283"/>
    <w:rsid w:val="00A324F1"/>
    <w:rsid w:val="00A3265E"/>
    <w:rsid w:val="00A326C8"/>
    <w:rsid w:val="00A32799"/>
    <w:rsid w:val="00A32816"/>
    <w:rsid w:val="00A3287D"/>
    <w:rsid w:val="00A328FC"/>
    <w:rsid w:val="00A32A40"/>
    <w:rsid w:val="00A32A97"/>
    <w:rsid w:val="00A32B0F"/>
    <w:rsid w:val="00A32B79"/>
    <w:rsid w:val="00A32CD7"/>
    <w:rsid w:val="00A32D2C"/>
    <w:rsid w:val="00A32D81"/>
    <w:rsid w:val="00A32E1F"/>
    <w:rsid w:val="00A32E5C"/>
    <w:rsid w:val="00A32E91"/>
    <w:rsid w:val="00A32F9E"/>
    <w:rsid w:val="00A3303B"/>
    <w:rsid w:val="00A3303F"/>
    <w:rsid w:val="00A330B3"/>
    <w:rsid w:val="00A33135"/>
    <w:rsid w:val="00A332D6"/>
    <w:rsid w:val="00A33306"/>
    <w:rsid w:val="00A3330D"/>
    <w:rsid w:val="00A334B0"/>
    <w:rsid w:val="00A334ED"/>
    <w:rsid w:val="00A337CD"/>
    <w:rsid w:val="00A33AA4"/>
    <w:rsid w:val="00A33AB8"/>
    <w:rsid w:val="00A33C75"/>
    <w:rsid w:val="00A33D6F"/>
    <w:rsid w:val="00A33D75"/>
    <w:rsid w:val="00A33EDB"/>
    <w:rsid w:val="00A33FB1"/>
    <w:rsid w:val="00A340CE"/>
    <w:rsid w:val="00A3412D"/>
    <w:rsid w:val="00A34155"/>
    <w:rsid w:val="00A34486"/>
    <w:rsid w:val="00A34489"/>
    <w:rsid w:val="00A34525"/>
    <w:rsid w:val="00A34727"/>
    <w:rsid w:val="00A3472E"/>
    <w:rsid w:val="00A34751"/>
    <w:rsid w:val="00A348C4"/>
    <w:rsid w:val="00A34AAB"/>
    <w:rsid w:val="00A34C2D"/>
    <w:rsid w:val="00A34C31"/>
    <w:rsid w:val="00A34CE8"/>
    <w:rsid w:val="00A34D36"/>
    <w:rsid w:val="00A34FAA"/>
    <w:rsid w:val="00A34FCD"/>
    <w:rsid w:val="00A3503C"/>
    <w:rsid w:val="00A3508B"/>
    <w:rsid w:val="00A3518A"/>
    <w:rsid w:val="00A35219"/>
    <w:rsid w:val="00A35229"/>
    <w:rsid w:val="00A352B9"/>
    <w:rsid w:val="00A35568"/>
    <w:rsid w:val="00A35782"/>
    <w:rsid w:val="00A357A3"/>
    <w:rsid w:val="00A3580B"/>
    <w:rsid w:val="00A35D28"/>
    <w:rsid w:val="00A35DDE"/>
    <w:rsid w:val="00A35EF2"/>
    <w:rsid w:val="00A35FCF"/>
    <w:rsid w:val="00A35FE9"/>
    <w:rsid w:val="00A361E1"/>
    <w:rsid w:val="00A36282"/>
    <w:rsid w:val="00A36360"/>
    <w:rsid w:val="00A3637D"/>
    <w:rsid w:val="00A36476"/>
    <w:rsid w:val="00A364D2"/>
    <w:rsid w:val="00A3661C"/>
    <w:rsid w:val="00A3662F"/>
    <w:rsid w:val="00A36667"/>
    <w:rsid w:val="00A366F4"/>
    <w:rsid w:val="00A367EC"/>
    <w:rsid w:val="00A3683A"/>
    <w:rsid w:val="00A3687B"/>
    <w:rsid w:val="00A3688B"/>
    <w:rsid w:val="00A368AA"/>
    <w:rsid w:val="00A36958"/>
    <w:rsid w:val="00A36A40"/>
    <w:rsid w:val="00A36A6B"/>
    <w:rsid w:val="00A36A87"/>
    <w:rsid w:val="00A370DF"/>
    <w:rsid w:val="00A370E1"/>
    <w:rsid w:val="00A3748C"/>
    <w:rsid w:val="00A374E8"/>
    <w:rsid w:val="00A37513"/>
    <w:rsid w:val="00A376CC"/>
    <w:rsid w:val="00A37780"/>
    <w:rsid w:val="00A377C3"/>
    <w:rsid w:val="00A37858"/>
    <w:rsid w:val="00A37959"/>
    <w:rsid w:val="00A37980"/>
    <w:rsid w:val="00A37AE9"/>
    <w:rsid w:val="00A37B54"/>
    <w:rsid w:val="00A37BB3"/>
    <w:rsid w:val="00A37CBC"/>
    <w:rsid w:val="00A37DEA"/>
    <w:rsid w:val="00A37F21"/>
    <w:rsid w:val="00A40080"/>
    <w:rsid w:val="00A400A4"/>
    <w:rsid w:val="00A40171"/>
    <w:rsid w:val="00A40363"/>
    <w:rsid w:val="00A403FE"/>
    <w:rsid w:val="00A404FD"/>
    <w:rsid w:val="00A40503"/>
    <w:rsid w:val="00A4051F"/>
    <w:rsid w:val="00A4077E"/>
    <w:rsid w:val="00A407E1"/>
    <w:rsid w:val="00A4085A"/>
    <w:rsid w:val="00A409DD"/>
    <w:rsid w:val="00A40A4F"/>
    <w:rsid w:val="00A40BC3"/>
    <w:rsid w:val="00A40CB2"/>
    <w:rsid w:val="00A40D18"/>
    <w:rsid w:val="00A40D2D"/>
    <w:rsid w:val="00A4107B"/>
    <w:rsid w:val="00A4117F"/>
    <w:rsid w:val="00A411A1"/>
    <w:rsid w:val="00A41247"/>
    <w:rsid w:val="00A41267"/>
    <w:rsid w:val="00A414BE"/>
    <w:rsid w:val="00A415E9"/>
    <w:rsid w:val="00A4166B"/>
    <w:rsid w:val="00A41769"/>
    <w:rsid w:val="00A41788"/>
    <w:rsid w:val="00A417DB"/>
    <w:rsid w:val="00A418C2"/>
    <w:rsid w:val="00A418CC"/>
    <w:rsid w:val="00A418D9"/>
    <w:rsid w:val="00A419CE"/>
    <w:rsid w:val="00A41AF0"/>
    <w:rsid w:val="00A41B11"/>
    <w:rsid w:val="00A41C1E"/>
    <w:rsid w:val="00A41CF9"/>
    <w:rsid w:val="00A41E11"/>
    <w:rsid w:val="00A4204B"/>
    <w:rsid w:val="00A4226F"/>
    <w:rsid w:val="00A42305"/>
    <w:rsid w:val="00A42610"/>
    <w:rsid w:val="00A428DA"/>
    <w:rsid w:val="00A428E1"/>
    <w:rsid w:val="00A42B85"/>
    <w:rsid w:val="00A42C47"/>
    <w:rsid w:val="00A42C97"/>
    <w:rsid w:val="00A42CDF"/>
    <w:rsid w:val="00A42CFF"/>
    <w:rsid w:val="00A42E31"/>
    <w:rsid w:val="00A42F1B"/>
    <w:rsid w:val="00A42F74"/>
    <w:rsid w:val="00A42F88"/>
    <w:rsid w:val="00A42FC3"/>
    <w:rsid w:val="00A430F0"/>
    <w:rsid w:val="00A4334C"/>
    <w:rsid w:val="00A4335C"/>
    <w:rsid w:val="00A433C5"/>
    <w:rsid w:val="00A434A8"/>
    <w:rsid w:val="00A434D7"/>
    <w:rsid w:val="00A4352E"/>
    <w:rsid w:val="00A4360C"/>
    <w:rsid w:val="00A43624"/>
    <w:rsid w:val="00A43673"/>
    <w:rsid w:val="00A43789"/>
    <w:rsid w:val="00A4388F"/>
    <w:rsid w:val="00A438C6"/>
    <w:rsid w:val="00A43964"/>
    <w:rsid w:val="00A439CF"/>
    <w:rsid w:val="00A43C23"/>
    <w:rsid w:val="00A43FA1"/>
    <w:rsid w:val="00A4410C"/>
    <w:rsid w:val="00A4425D"/>
    <w:rsid w:val="00A44279"/>
    <w:rsid w:val="00A44329"/>
    <w:rsid w:val="00A4437B"/>
    <w:rsid w:val="00A44414"/>
    <w:rsid w:val="00A44460"/>
    <w:rsid w:val="00A4452D"/>
    <w:rsid w:val="00A445D9"/>
    <w:rsid w:val="00A44676"/>
    <w:rsid w:val="00A44740"/>
    <w:rsid w:val="00A447C1"/>
    <w:rsid w:val="00A4484E"/>
    <w:rsid w:val="00A44AB1"/>
    <w:rsid w:val="00A44AD8"/>
    <w:rsid w:val="00A44B8F"/>
    <w:rsid w:val="00A44E2D"/>
    <w:rsid w:val="00A44F0B"/>
    <w:rsid w:val="00A44F46"/>
    <w:rsid w:val="00A44F60"/>
    <w:rsid w:val="00A455A0"/>
    <w:rsid w:val="00A456BB"/>
    <w:rsid w:val="00A45881"/>
    <w:rsid w:val="00A458C3"/>
    <w:rsid w:val="00A45975"/>
    <w:rsid w:val="00A45988"/>
    <w:rsid w:val="00A45A27"/>
    <w:rsid w:val="00A45A43"/>
    <w:rsid w:val="00A45A58"/>
    <w:rsid w:val="00A45AC4"/>
    <w:rsid w:val="00A45BFD"/>
    <w:rsid w:val="00A45F66"/>
    <w:rsid w:val="00A45FF8"/>
    <w:rsid w:val="00A4604D"/>
    <w:rsid w:val="00A46066"/>
    <w:rsid w:val="00A4613D"/>
    <w:rsid w:val="00A462FB"/>
    <w:rsid w:val="00A463B6"/>
    <w:rsid w:val="00A4641C"/>
    <w:rsid w:val="00A46542"/>
    <w:rsid w:val="00A466B3"/>
    <w:rsid w:val="00A4686F"/>
    <w:rsid w:val="00A4692B"/>
    <w:rsid w:val="00A46B19"/>
    <w:rsid w:val="00A470DB"/>
    <w:rsid w:val="00A47605"/>
    <w:rsid w:val="00A4765C"/>
    <w:rsid w:val="00A4767F"/>
    <w:rsid w:val="00A4769B"/>
    <w:rsid w:val="00A476C4"/>
    <w:rsid w:val="00A477B7"/>
    <w:rsid w:val="00A479EB"/>
    <w:rsid w:val="00A479FD"/>
    <w:rsid w:val="00A47ACA"/>
    <w:rsid w:val="00A47CCA"/>
    <w:rsid w:val="00A50010"/>
    <w:rsid w:val="00A50058"/>
    <w:rsid w:val="00A500B8"/>
    <w:rsid w:val="00A500C8"/>
    <w:rsid w:val="00A500F8"/>
    <w:rsid w:val="00A501E7"/>
    <w:rsid w:val="00A5023E"/>
    <w:rsid w:val="00A50393"/>
    <w:rsid w:val="00A50439"/>
    <w:rsid w:val="00A504AA"/>
    <w:rsid w:val="00A50621"/>
    <w:rsid w:val="00A506FB"/>
    <w:rsid w:val="00A50733"/>
    <w:rsid w:val="00A5079E"/>
    <w:rsid w:val="00A507F3"/>
    <w:rsid w:val="00A50802"/>
    <w:rsid w:val="00A50807"/>
    <w:rsid w:val="00A50822"/>
    <w:rsid w:val="00A508EF"/>
    <w:rsid w:val="00A5093C"/>
    <w:rsid w:val="00A50965"/>
    <w:rsid w:val="00A50B8F"/>
    <w:rsid w:val="00A50BAE"/>
    <w:rsid w:val="00A50E13"/>
    <w:rsid w:val="00A50E7B"/>
    <w:rsid w:val="00A50F05"/>
    <w:rsid w:val="00A50F4C"/>
    <w:rsid w:val="00A50F52"/>
    <w:rsid w:val="00A51058"/>
    <w:rsid w:val="00A5110C"/>
    <w:rsid w:val="00A511A5"/>
    <w:rsid w:val="00A51234"/>
    <w:rsid w:val="00A5123C"/>
    <w:rsid w:val="00A5127B"/>
    <w:rsid w:val="00A51303"/>
    <w:rsid w:val="00A51462"/>
    <w:rsid w:val="00A515A6"/>
    <w:rsid w:val="00A515B5"/>
    <w:rsid w:val="00A517AE"/>
    <w:rsid w:val="00A5182B"/>
    <w:rsid w:val="00A518C0"/>
    <w:rsid w:val="00A51943"/>
    <w:rsid w:val="00A5197A"/>
    <w:rsid w:val="00A51A2F"/>
    <w:rsid w:val="00A51AC3"/>
    <w:rsid w:val="00A51D7D"/>
    <w:rsid w:val="00A52089"/>
    <w:rsid w:val="00A52285"/>
    <w:rsid w:val="00A526C9"/>
    <w:rsid w:val="00A52713"/>
    <w:rsid w:val="00A5273C"/>
    <w:rsid w:val="00A527B2"/>
    <w:rsid w:val="00A527C0"/>
    <w:rsid w:val="00A527CF"/>
    <w:rsid w:val="00A528AE"/>
    <w:rsid w:val="00A528B8"/>
    <w:rsid w:val="00A528F3"/>
    <w:rsid w:val="00A52922"/>
    <w:rsid w:val="00A52974"/>
    <w:rsid w:val="00A529B4"/>
    <w:rsid w:val="00A52A1E"/>
    <w:rsid w:val="00A52A6D"/>
    <w:rsid w:val="00A52BB8"/>
    <w:rsid w:val="00A52D9E"/>
    <w:rsid w:val="00A52DC0"/>
    <w:rsid w:val="00A52DFF"/>
    <w:rsid w:val="00A53004"/>
    <w:rsid w:val="00A530D5"/>
    <w:rsid w:val="00A53152"/>
    <w:rsid w:val="00A5332A"/>
    <w:rsid w:val="00A5335F"/>
    <w:rsid w:val="00A535FC"/>
    <w:rsid w:val="00A536A0"/>
    <w:rsid w:val="00A537BE"/>
    <w:rsid w:val="00A538E8"/>
    <w:rsid w:val="00A538EB"/>
    <w:rsid w:val="00A53B2A"/>
    <w:rsid w:val="00A53B76"/>
    <w:rsid w:val="00A53D1E"/>
    <w:rsid w:val="00A53D68"/>
    <w:rsid w:val="00A53ED9"/>
    <w:rsid w:val="00A53FAB"/>
    <w:rsid w:val="00A5406F"/>
    <w:rsid w:val="00A5413C"/>
    <w:rsid w:val="00A54467"/>
    <w:rsid w:val="00A54475"/>
    <w:rsid w:val="00A544E6"/>
    <w:rsid w:val="00A54516"/>
    <w:rsid w:val="00A54633"/>
    <w:rsid w:val="00A54654"/>
    <w:rsid w:val="00A5465D"/>
    <w:rsid w:val="00A54710"/>
    <w:rsid w:val="00A54800"/>
    <w:rsid w:val="00A54897"/>
    <w:rsid w:val="00A548B3"/>
    <w:rsid w:val="00A54A13"/>
    <w:rsid w:val="00A54B6C"/>
    <w:rsid w:val="00A54C22"/>
    <w:rsid w:val="00A54F25"/>
    <w:rsid w:val="00A54F52"/>
    <w:rsid w:val="00A55036"/>
    <w:rsid w:val="00A55296"/>
    <w:rsid w:val="00A552FE"/>
    <w:rsid w:val="00A553BE"/>
    <w:rsid w:val="00A55691"/>
    <w:rsid w:val="00A556D9"/>
    <w:rsid w:val="00A55824"/>
    <w:rsid w:val="00A5585C"/>
    <w:rsid w:val="00A55BB8"/>
    <w:rsid w:val="00A55C58"/>
    <w:rsid w:val="00A55F4D"/>
    <w:rsid w:val="00A55FBF"/>
    <w:rsid w:val="00A561CA"/>
    <w:rsid w:val="00A5621C"/>
    <w:rsid w:val="00A56376"/>
    <w:rsid w:val="00A56403"/>
    <w:rsid w:val="00A56465"/>
    <w:rsid w:val="00A56645"/>
    <w:rsid w:val="00A56818"/>
    <w:rsid w:val="00A5691B"/>
    <w:rsid w:val="00A56935"/>
    <w:rsid w:val="00A56A30"/>
    <w:rsid w:val="00A56A87"/>
    <w:rsid w:val="00A56CD6"/>
    <w:rsid w:val="00A56CD9"/>
    <w:rsid w:val="00A56EB1"/>
    <w:rsid w:val="00A56F9A"/>
    <w:rsid w:val="00A57236"/>
    <w:rsid w:val="00A57237"/>
    <w:rsid w:val="00A5723D"/>
    <w:rsid w:val="00A5725F"/>
    <w:rsid w:val="00A572C3"/>
    <w:rsid w:val="00A57358"/>
    <w:rsid w:val="00A57419"/>
    <w:rsid w:val="00A575E0"/>
    <w:rsid w:val="00A577DC"/>
    <w:rsid w:val="00A578B4"/>
    <w:rsid w:val="00A579CF"/>
    <w:rsid w:val="00A57B54"/>
    <w:rsid w:val="00A57B66"/>
    <w:rsid w:val="00A57EB0"/>
    <w:rsid w:val="00A57F2D"/>
    <w:rsid w:val="00A59967"/>
    <w:rsid w:val="00A60086"/>
    <w:rsid w:val="00A600AC"/>
    <w:rsid w:val="00A600AF"/>
    <w:rsid w:val="00A600D8"/>
    <w:rsid w:val="00A6015B"/>
    <w:rsid w:val="00A6026E"/>
    <w:rsid w:val="00A603A2"/>
    <w:rsid w:val="00A6044B"/>
    <w:rsid w:val="00A60673"/>
    <w:rsid w:val="00A6081C"/>
    <w:rsid w:val="00A609BE"/>
    <w:rsid w:val="00A60A1F"/>
    <w:rsid w:val="00A60A6B"/>
    <w:rsid w:val="00A60AA6"/>
    <w:rsid w:val="00A60AC0"/>
    <w:rsid w:val="00A60B0B"/>
    <w:rsid w:val="00A60B3D"/>
    <w:rsid w:val="00A60D58"/>
    <w:rsid w:val="00A60DD7"/>
    <w:rsid w:val="00A60DED"/>
    <w:rsid w:val="00A60F58"/>
    <w:rsid w:val="00A61119"/>
    <w:rsid w:val="00A611AD"/>
    <w:rsid w:val="00A611C7"/>
    <w:rsid w:val="00A611E7"/>
    <w:rsid w:val="00A6169F"/>
    <w:rsid w:val="00A61774"/>
    <w:rsid w:val="00A617E0"/>
    <w:rsid w:val="00A61880"/>
    <w:rsid w:val="00A619F8"/>
    <w:rsid w:val="00A61A74"/>
    <w:rsid w:val="00A61AAF"/>
    <w:rsid w:val="00A61AE8"/>
    <w:rsid w:val="00A61E06"/>
    <w:rsid w:val="00A61E28"/>
    <w:rsid w:val="00A61F85"/>
    <w:rsid w:val="00A61FCF"/>
    <w:rsid w:val="00A62183"/>
    <w:rsid w:val="00A62283"/>
    <w:rsid w:val="00A62317"/>
    <w:rsid w:val="00A6231B"/>
    <w:rsid w:val="00A62395"/>
    <w:rsid w:val="00A62439"/>
    <w:rsid w:val="00A627E3"/>
    <w:rsid w:val="00A62901"/>
    <w:rsid w:val="00A629A6"/>
    <w:rsid w:val="00A629CD"/>
    <w:rsid w:val="00A62ED9"/>
    <w:rsid w:val="00A62F00"/>
    <w:rsid w:val="00A62F8D"/>
    <w:rsid w:val="00A630B7"/>
    <w:rsid w:val="00A630EA"/>
    <w:rsid w:val="00A632D6"/>
    <w:rsid w:val="00A632F7"/>
    <w:rsid w:val="00A6331F"/>
    <w:rsid w:val="00A633B9"/>
    <w:rsid w:val="00A633ED"/>
    <w:rsid w:val="00A633FD"/>
    <w:rsid w:val="00A63409"/>
    <w:rsid w:val="00A63547"/>
    <w:rsid w:val="00A6354A"/>
    <w:rsid w:val="00A636F6"/>
    <w:rsid w:val="00A6374A"/>
    <w:rsid w:val="00A638A5"/>
    <w:rsid w:val="00A638CC"/>
    <w:rsid w:val="00A6394C"/>
    <w:rsid w:val="00A6397A"/>
    <w:rsid w:val="00A63B4D"/>
    <w:rsid w:val="00A63CA0"/>
    <w:rsid w:val="00A63E00"/>
    <w:rsid w:val="00A63EFA"/>
    <w:rsid w:val="00A63F0B"/>
    <w:rsid w:val="00A63F3F"/>
    <w:rsid w:val="00A64145"/>
    <w:rsid w:val="00A64148"/>
    <w:rsid w:val="00A6416A"/>
    <w:rsid w:val="00A64204"/>
    <w:rsid w:val="00A644F3"/>
    <w:rsid w:val="00A646C2"/>
    <w:rsid w:val="00A646E9"/>
    <w:rsid w:val="00A647CA"/>
    <w:rsid w:val="00A64806"/>
    <w:rsid w:val="00A648B7"/>
    <w:rsid w:val="00A648F4"/>
    <w:rsid w:val="00A64BA0"/>
    <w:rsid w:val="00A64C44"/>
    <w:rsid w:val="00A64C91"/>
    <w:rsid w:val="00A64E4B"/>
    <w:rsid w:val="00A64F00"/>
    <w:rsid w:val="00A64F42"/>
    <w:rsid w:val="00A64F51"/>
    <w:rsid w:val="00A65016"/>
    <w:rsid w:val="00A65175"/>
    <w:rsid w:val="00A652AB"/>
    <w:rsid w:val="00A65486"/>
    <w:rsid w:val="00A654FB"/>
    <w:rsid w:val="00A655A1"/>
    <w:rsid w:val="00A6569F"/>
    <w:rsid w:val="00A6571E"/>
    <w:rsid w:val="00A6575D"/>
    <w:rsid w:val="00A6575E"/>
    <w:rsid w:val="00A6585F"/>
    <w:rsid w:val="00A65A58"/>
    <w:rsid w:val="00A65AB9"/>
    <w:rsid w:val="00A65CB5"/>
    <w:rsid w:val="00A65CD2"/>
    <w:rsid w:val="00A65DB5"/>
    <w:rsid w:val="00A65E7D"/>
    <w:rsid w:val="00A65F60"/>
    <w:rsid w:val="00A65FF6"/>
    <w:rsid w:val="00A66278"/>
    <w:rsid w:val="00A663ED"/>
    <w:rsid w:val="00A663F5"/>
    <w:rsid w:val="00A664A6"/>
    <w:rsid w:val="00A666B6"/>
    <w:rsid w:val="00A66726"/>
    <w:rsid w:val="00A6699D"/>
    <w:rsid w:val="00A66AF0"/>
    <w:rsid w:val="00A66B29"/>
    <w:rsid w:val="00A66B8B"/>
    <w:rsid w:val="00A66C86"/>
    <w:rsid w:val="00A66E8D"/>
    <w:rsid w:val="00A66EA8"/>
    <w:rsid w:val="00A66F93"/>
    <w:rsid w:val="00A66FD1"/>
    <w:rsid w:val="00A67074"/>
    <w:rsid w:val="00A67149"/>
    <w:rsid w:val="00A6733F"/>
    <w:rsid w:val="00A67353"/>
    <w:rsid w:val="00A67455"/>
    <w:rsid w:val="00A67470"/>
    <w:rsid w:val="00A6756D"/>
    <w:rsid w:val="00A6766D"/>
    <w:rsid w:val="00A6771E"/>
    <w:rsid w:val="00A677A8"/>
    <w:rsid w:val="00A6787D"/>
    <w:rsid w:val="00A67951"/>
    <w:rsid w:val="00A679BE"/>
    <w:rsid w:val="00A679DF"/>
    <w:rsid w:val="00A67A79"/>
    <w:rsid w:val="00A67C3E"/>
    <w:rsid w:val="00A67ED0"/>
    <w:rsid w:val="00A67FBB"/>
    <w:rsid w:val="00A67FFB"/>
    <w:rsid w:val="00A700F3"/>
    <w:rsid w:val="00A701CC"/>
    <w:rsid w:val="00A701FD"/>
    <w:rsid w:val="00A70372"/>
    <w:rsid w:val="00A7039A"/>
    <w:rsid w:val="00A703BE"/>
    <w:rsid w:val="00A7040D"/>
    <w:rsid w:val="00A705D3"/>
    <w:rsid w:val="00A7063E"/>
    <w:rsid w:val="00A706FA"/>
    <w:rsid w:val="00A7084B"/>
    <w:rsid w:val="00A70901"/>
    <w:rsid w:val="00A709A5"/>
    <w:rsid w:val="00A709BE"/>
    <w:rsid w:val="00A70A50"/>
    <w:rsid w:val="00A70A96"/>
    <w:rsid w:val="00A70A99"/>
    <w:rsid w:val="00A70AE7"/>
    <w:rsid w:val="00A70C04"/>
    <w:rsid w:val="00A70C86"/>
    <w:rsid w:val="00A70CDB"/>
    <w:rsid w:val="00A70D13"/>
    <w:rsid w:val="00A70ED5"/>
    <w:rsid w:val="00A70F12"/>
    <w:rsid w:val="00A70F19"/>
    <w:rsid w:val="00A70F23"/>
    <w:rsid w:val="00A711B7"/>
    <w:rsid w:val="00A711DF"/>
    <w:rsid w:val="00A7122F"/>
    <w:rsid w:val="00A71291"/>
    <w:rsid w:val="00A712FE"/>
    <w:rsid w:val="00A71444"/>
    <w:rsid w:val="00A7156E"/>
    <w:rsid w:val="00A71689"/>
    <w:rsid w:val="00A7175A"/>
    <w:rsid w:val="00A7185C"/>
    <w:rsid w:val="00A71972"/>
    <w:rsid w:val="00A71A21"/>
    <w:rsid w:val="00A71A80"/>
    <w:rsid w:val="00A71B2A"/>
    <w:rsid w:val="00A72102"/>
    <w:rsid w:val="00A72278"/>
    <w:rsid w:val="00A72305"/>
    <w:rsid w:val="00A723E8"/>
    <w:rsid w:val="00A7241C"/>
    <w:rsid w:val="00A72594"/>
    <w:rsid w:val="00A72649"/>
    <w:rsid w:val="00A727D9"/>
    <w:rsid w:val="00A72A0C"/>
    <w:rsid w:val="00A72BC2"/>
    <w:rsid w:val="00A72C6F"/>
    <w:rsid w:val="00A72C70"/>
    <w:rsid w:val="00A72C7D"/>
    <w:rsid w:val="00A72D1C"/>
    <w:rsid w:val="00A72E1C"/>
    <w:rsid w:val="00A72EE2"/>
    <w:rsid w:val="00A72FCD"/>
    <w:rsid w:val="00A730BB"/>
    <w:rsid w:val="00A7320E"/>
    <w:rsid w:val="00A73356"/>
    <w:rsid w:val="00A73391"/>
    <w:rsid w:val="00A733F4"/>
    <w:rsid w:val="00A73425"/>
    <w:rsid w:val="00A735B2"/>
    <w:rsid w:val="00A73720"/>
    <w:rsid w:val="00A7376E"/>
    <w:rsid w:val="00A737ED"/>
    <w:rsid w:val="00A73930"/>
    <w:rsid w:val="00A73990"/>
    <w:rsid w:val="00A73CD1"/>
    <w:rsid w:val="00A73CEC"/>
    <w:rsid w:val="00A73E34"/>
    <w:rsid w:val="00A73EC0"/>
    <w:rsid w:val="00A73EFE"/>
    <w:rsid w:val="00A74000"/>
    <w:rsid w:val="00A74147"/>
    <w:rsid w:val="00A7420E"/>
    <w:rsid w:val="00A742AE"/>
    <w:rsid w:val="00A74302"/>
    <w:rsid w:val="00A7436B"/>
    <w:rsid w:val="00A74560"/>
    <w:rsid w:val="00A74667"/>
    <w:rsid w:val="00A747ED"/>
    <w:rsid w:val="00A748F3"/>
    <w:rsid w:val="00A749C5"/>
    <w:rsid w:val="00A749EB"/>
    <w:rsid w:val="00A74C91"/>
    <w:rsid w:val="00A74CD1"/>
    <w:rsid w:val="00A74EA2"/>
    <w:rsid w:val="00A75027"/>
    <w:rsid w:val="00A75174"/>
    <w:rsid w:val="00A75258"/>
    <w:rsid w:val="00A75286"/>
    <w:rsid w:val="00A75381"/>
    <w:rsid w:val="00A75473"/>
    <w:rsid w:val="00A75484"/>
    <w:rsid w:val="00A7558F"/>
    <w:rsid w:val="00A75677"/>
    <w:rsid w:val="00A756AA"/>
    <w:rsid w:val="00A758A5"/>
    <w:rsid w:val="00A758EE"/>
    <w:rsid w:val="00A75974"/>
    <w:rsid w:val="00A759E8"/>
    <w:rsid w:val="00A75B36"/>
    <w:rsid w:val="00A75B58"/>
    <w:rsid w:val="00A75C66"/>
    <w:rsid w:val="00A75C6A"/>
    <w:rsid w:val="00A75C72"/>
    <w:rsid w:val="00A75CBA"/>
    <w:rsid w:val="00A75D3B"/>
    <w:rsid w:val="00A75E28"/>
    <w:rsid w:val="00A75EF5"/>
    <w:rsid w:val="00A75F9C"/>
    <w:rsid w:val="00A7604D"/>
    <w:rsid w:val="00A7614D"/>
    <w:rsid w:val="00A761EC"/>
    <w:rsid w:val="00A76384"/>
    <w:rsid w:val="00A76566"/>
    <w:rsid w:val="00A76570"/>
    <w:rsid w:val="00A76577"/>
    <w:rsid w:val="00A767F0"/>
    <w:rsid w:val="00A76815"/>
    <w:rsid w:val="00A768EF"/>
    <w:rsid w:val="00A7694F"/>
    <w:rsid w:val="00A76AB7"/>
    <w:rsid w:val="00A76AFA"/>
    <w:rsid w:val="00A76B68"/>
    <w:rsid w:val="00A76FEA"/>
    <w:rsid w:val="00A77038"/>
    <w:rsid w:val="00A77092"/>
    <w:rsid w:val="00A77098"/>
    <w:rsid w:val="00A771B6"/>
    <w:rsid w:val="00A771F0"/>
    <w:rsid w:val="00A773A1"/>
    <w:rsid w:val="00A77439"/>
    <w:rsid w:val="00A7745F"/>
    <w:rsid w:val="00A774E8"/>
    <w:rsid w:val="00A77528"/>
    <w:rsid w:val="00A77530"/>
    <w:rsid w:val="00A77541"/>
    <w:rsid w:val="00A7758C"/>
    <w:rsid w:val="00A776FD"/>
    <w:rsid w:val="00A77955"/>
    <w:rsid w:val="00A779C6"/>
    <w:rsid w:val="00A77AE2"/>
    <w:rsid w:val="00A77BED"/>
    <w:rsid w:val="00A77CC8"/>
    <w:rsid w:val="00A8000E"/>
    <w:rsid w:val="00A8003A"/>
    <w:rsid w:val="00A80259"/>
    <w:rsid w:val="00A80467"/>
    <w:rsid w:val="00A80597"/>
    <w:rsid w:val="00A805ED"/>
    <w:rsid w:val="00A8088C"/>
    <w:rsid w:val="00A8095C"/>
    <w:rsid w:val="00A809ED"/>
    <w:rsid w:val="00A80B55"/>
    <w:rsid w:val="00A80B56"/>
    <w:rsid w:val="00A80CEF"/>
    <w:rsid w:val="00A80DBE"/>
    <w:rsid w:val="00A80EC4"/>
    <w:rsid w:val="00A80ED7"/>
    <w:rsid w:val="00A80EDA"/>
    <w:rsid w:val="00A80F12"/>
    <w:rsid w:val="00A80FA7"/>
    <w:rsid w:val="00A81027"/>
    <w:rsid w:val="00A8114E"/>
    <w:rsid w:val="00A8121C"/>
    <w:rsid w:val="00A81387"/>
    <w:rsid w:val="00A813BD"/>
    <w:rsid w:val="00A813E4"/>
    <w:rsid w:val="00A814B5"/>
    <w:rsid w:val="00A815AC"/>
    <w:rsid w:val="00A815E5"/>
    <w:rsid w:val="00A816C1"/>
    <w:rsid w:val="00A8180D"/>
    <w:rsid w:val="00A81985"/>
    <w:rsid w:val="00A81ADB"/>
    <w:rsid w:val="00A81EC5"/>
    <w:rsid w:val="00A81EF1"/>
    <w:rsid w:val="00A81F1D"/>
    <w:rsid w:val="00A81F38"/>
    <w:rsid w:val="00A81F39"/>
    <w:rsid w:val="00A81FDD"/>
    <w:rsid w:val="00A81FE5"/>
    <w:rsid w:val="00A8205F"/>
    <w:rsid w:val="00A82192"/>
    <w:rsid w:val="00A82206"/>
    <w:rsid w:val="00A8225A"/>
    <w:rsid w:val="00A8234F"/>
    <w:rsid w:val="00A82434"/>
    <w:rsid w:val="00A824F6"/>
    <w:rsid w:val="00A82674"/>
    <w:rsid w:val="00A82695"/>
    <w:rsid w:val="00A8272F"/>
    <w:rsid w:val="00A82765"/>
    <w:rsid w:val="00A82ADF"/>
    <w:rsid w:val="00A82C0F"/>
    <w:rsid w:val="00A82C7E"/>
    <w:rsid w:val="00A82F9C"/>
    <w:rsid w:val="00A830B3"/>
    <w:rsid w:val="00A83376"/>
    <w:rsid w:val="00A83461"/>
    <w:rsid w:val="00A8349A"/>
    <w:rsid w:val="00A8363D"/>
    <w:rsid w:val="00A83735"/>
    <w:rsid w:val="00A83747"/>
    <w:rsid w:val="00A8375E"/>
    <w:rsid w:val="00A837D8"/>
    <w:rsid w:val="00A83959"/>
    <w:rsid w:val="00A83A8B"/>
    <w:rsid w:val="00A83B30"/>
    <w:rsid w:val="00A83C13"/>
    <w:rsid w:val="00A83C6C"/>
    <w:rsid w:val="00A83F1A"/>
    <w:rsid w:val="00A8402D"/>
    <w:rsid w:val="00A8410F"/>
    <w:rsid w:val="00A84208"/>
    <w:rsid w:val="00A8435A"/>
    <w:rsid w:val="00A84525"/>
    <w:rsid w:val="00A84622"/>
    <w:rsid w:val="00A846F0"/>
    <w:rsid w:val="00A8478C"/>
    <w:rsid w:val="00A847D8"/>
    <w:rsid w:val="00A84823"/>
    <w:rsid w:val="00A84867"/>
    <w:rsid w:val="00A8491D"/>
    <w:rsid w:val="00A849CC"/>
    <w:rsid w:val="00A84AF4"/>
    <w:rsid w:val="00A84B7A"/>
    <w:rsid w:val="00A84C87"/>
    <w:rsid w:val="00A84C8D"/>
    <w:rsid w:val="00A84DD6"/>
    <w:rsid w:val="00A84E1D"/>
    <w:rsid w:val="00A84E74"/>
    <w:rsid w:val="00A84EB1"/>
    <w:rsid w:val="00A84F8F"/>
    <w:rsid w:val="00A84FEF"/>
    <w:rsid w:val="00A85029"/>
    <w:rsid w:val="00A85065"/>
    <w:rsid w:val="00A850B5"/>
    <w:rsid w:val="00A85136"/>
    <w:rsid w:val="00A851C5"/>
    <w:rsid w:val="00A8531C"/>
    <w:rsid w:val="00A8533E"/>
    <w:rsid w:val="00A85420"/>
    <w:rsid w:val="00A8563C"/>
    <w:rsid w:val="00A856BB"/>
    <w:rsid w:val="00A856F6"/>
    <w:rsid w:val="00A8577B"/>
    <w:rsid w:val="00A85A65"/>
    <w:rsid w:val="00A85A67"/>
    <w:rsid w:val="00A85B73"/>
    <w:rsid w:val="00A85C34"/>
    <w:rsid w:val="00A85D3B"/>
    <w:rsid w:val="00A85DB1"/>
    <w:rsid w:val="00A85EF6"/>
    <w:rsid w:val="00A85F23"/>
    <w:rsid w:val="00A8600C"/>
    <w:rsid w:val="00A8609F"/>
    <w:rsid w:val="00A860E5"/>
    <w:rsid w:val="00A86314"/>
    <w:rsid w:val="00A864B4"/>
    <w:rsid w:val="00A86522"/>
    <w:rsid w:val="00A86660"/>
    <w:rsid w:val="00A868A5"/>
    <w:rsid w:val="00A86945"/>
    <w:rsid w:val="00A86BBA"/>
    <w:rsid w:val="00A86D0E"/>
    <w:rsid w:val="00A86D1B"/>
    <w:rsid w:val="00A86D73"/>
    <w:rsid w:val="00A86E84"/>
    <w:rsid w:val="00A86F30"/>
    <w:rsid w:val="00A86FF2"/>
    <w:rsid w:val="00A871DC"/>
    <w:rsid w:val="00A87285"/>
    <w:rsid w:val="00A87339"/>
    <w:rsid w:val="00A8733C"/>
    <w:rsid w:val="00A8741C"/>
    <w:rsid w:val="00A87450"/>
    <w:rsid w:val="00A87587"/>
    <w:rsid w:val="00A87631"/>
    <w:rsid w:val="00A8790D"/>
    <w:rsid w:val="00A87951"/>
    <w:rsid w:val="00A87A1D"/>
    <w:rsid w:val="00A87ABF"/>
    <w:rsid w:val="00A87B06"/>
    <w:rsid w:val="00A87BF6"/>
    <w:rsid w:val="00A87DB3"/>
    <w:rsid w:val="00A87EA3"/>
    <w:rsid w:val="00A87FF7"/>
    <w:rsid w:val="00A901F2"/>
    <w:rsid w:val="00A9029B"/>
    <w:rsid w:val="00A90410"/>
    <w:rsid w:val="00A90414"/>
    <w:rsid w:val="00A9067B"/>
    <w:rsid w:val="00A90919"/>
    <w:rsid w:val="00A90974"/>
    <w:rsid w:val="00A909C1"/>
    <w:rsid w:val="00A909C2"/>
    <w:rsid w:val="00A90A6B"/>
    <w:rsid w:val="00A90B13"/>
    <w:rsid w:val="00A90C1D"/>
    <w:rsid w:val="00A90D3B"/>
    <w:rsid w:val="00A90F72"/>
    <w:rsid w:val="00A911A5"/>
    <w:rsid w:val="00A91464"/>
    <w:rsid w:val="00A91564"/>
    <w:rsid w:val="00A91606"/>
    <w:rsid w:val="00A9164B"/>
    <w:rsid w:val="00A91794"/>
    <w:rsid w:val="00A918F2"/>
    <w:rsid w:val="00A9194E"/>
    <w:rsid w:val="00A91987"/>
    <w:rsid w:val="00A919F6"/>
    <w:rsid w:val="00A91A72"/>
    <w:rsid w:val="00A91C3C"/>
    <w:rsid w:val="00A91C4E"/>
    <w:rsid w:val="00A91CCC"/>
    <w:rsid w:val="00A91E03"/>
    <w:rsid w:val="00A91E8E"/>
    <w:rsid w:val="00A91ED4"/>
    <w:rsid w:val="00A91FDC"/>
    <w:rsid w:val="00A920AD"/>
    <w:rsid w:val="00A920C3"/>
    <w:rsid w:val="00A9252A"/>
    <w:rsid w:val="00A9256B"/>
    <w:rsid w:val="00A92948"/>
    <w:rsid w:val="00A92A23"/>
    <w:rsid w:val="00A92B09"/>
    <w:rsid w:val="00A92B91"/>
    <w:rsid w:val="00A92BC2"/>
    <w:rsid w:val="00A92D6C"/>
    <w:rsid w:val="00A92E0E"/>
    <w:rsid w:val="00A92F88"/>
    <w:rsid w:val="00A92FD0"/>
    <w:rsid w:val="00A93113"/>
    <w:rsid w:val="00A93157"/>
    <w:rsid w:val="00A932D9"/>
    <w:rsid w:val="00A9339D"/>
    <w:rsid w:val="00A935F5"/>
    <w:rsid w:val="00A93735"/>
    <w:rsid w:val="00A937D6"/>
    <w:rsid w:val="00A93910"/>
    <w:rsid w:val="00A939A7"/>
    <w:rsid w:val="00A93A55"/>
    <w:rsid w:val="00A93A5F"/>
    <w:rsid w:val="00A93ABF"/>
    <w:rsid w:val="00A93B0B"/>
    <w:rsid w:val="00A93B74"/>
    <w:rsid w:val="00A93C45"/>
    <w:rsid w:val="00A93C56"/>
    <w:rsid w:val="00A93EBF"/>
    <w:rsid w:val="00A93F4E"/>
    <w:rsid w:val="00A93FD8"/>
    <w:rsid w:val="00A94245"/>
    <w:rsid w:val="00A94336"/>
    <w:rsid w:val="00A943F4"/>
    <w:rsid w:val="00A94559"/>
    <w:rsid w:val="00A946B0"/>
    <w:rsid w:val="00A94793"/>
    <w:rsid w:val="00A94AE4"/>
    <w:rsid w:val="00A94CD9"/>
    <w:rsid w:val="00A94ECD"/>
    <w:rsid w:val="00A94FF3"/>
    <w:rsid w:val="00A95057"/>
    <w:rsid w:val="00A95089"/>
    <w:rsid w:val="00A95102"/>
    <w:rsid w:val="00A95124"/>
    <w:rsid w:val="00A9574B"/>
    <w:rsid w:val="00A95795"/>
    <w:rsid w:val="00A957A0"/>
    <w:rsid w:val="00A959C7"/>
    <w:rsid w:val="00A95AE1"/>
    <w:rsid w:val="00A95B0F"/>
    <w:rsid w:val="00A95B5E"/>
    <w:rsid w:val="00A95B91"/>
    <w:rsid w:val="00A95BA3"/>
    <w:rsid w:val="00A95BDE"/>
    <w:rsid w:val="00A95C69"/>
    <w:rsid w:val="00A95CDD"/>
    <w:rsid w:val="00A95D15"/>
    <w:rsid w:val="00A95E41"/>
    <w:rsid w:val="00A95EFA"/>
    <w:rsid w:val="00A95FA1"/>
    <w:rsid w:val="00A961B9"/>
    <w:rsid w:val="00A9620B"/>
    <w:rsid w:val="00A9631D"/>
    <w:rsid w:val="00A965D8"/>
    <w:rsid w:val="00A965DC"/>
    <w:rsid w:val="00A966B8"/>
    <w:rsid w:val="00A96958"/>
    <w:rsid w:val="00A969F0"/>
    <w:rsid w:val="00A96A59"/>
    <w:rsid w:val="00A96B01"/>
    <w:rsid w:val="00A96B20"/>
    <w:rsid w:val="00A96C14"/>
    <w:rsid w:val="00A96C2A"/>
    <w:rsid w:val="00A96C50"/>
    <w:rsid w:val="00A96DC9"/>
    <w:rsid w:val="00A96E6C"/>
    <w:rsid w:val="00A96F3D"/>
    <w:rsid w:val="00A96FBB"/>
    <w:rsid w:val="00A97084"/>
    <w:rsid w:val="00A97198"/>
    <w:rsid w:val="00A97205"/>
    <w:rsid w:val="00A973F2"/>
    <w:rsid w:val="00A975A0"/>
    <w:rsid w:val="00A975B0"/>
    <w:rsid w:val="00A975EC"/>
    <w:rsid w:val="00A9761E"/>
    <w:rsid w:val="00A97648"/>
    <w:rsid w:val="00A977E6"/>
    <w:rsid w:val="00A9785B"/>
    <w:rsid w:val="00A978C3"/>
    <w:rsid w:val="00A978D2"/>
    <w:rsid w:val="00A978DB"/>
    <w:rsid w:val="00A97984"/>
    <w:rsid w:val="00A97A64"/>
    <w:rsid w:val="00A97B3E"/>
    <w:rsid w:val="00A97C09"/>
    <w:rsid w:val="00A97D22"/>
    <w:rsid w:val="00A97E3A"/>
    <w:rsid w:val="00A97E5A"/>
    <w:rsid w:val="00A97E96"/>
    <w:rsid w:val="00AA0097"/>
    <w:rsid w:val="00AA03F7"/>
    <w:rsid w:val="00AA05B1"/>
    <w:rsid w:val="00AA0658"/>
    <w:rsid w:val="00AA0705"/>
    <w:rsid w:val="00AA0A80"/>
    <w:rsid w:val="00AA0D19"/>
    <w:rsid w:val="00AA0D74"/>
    <w:rsid w:val="00AA0DA3"/>
    <w:rsid w:val="00AA0DDB"/>
    <w:rsid w:val="00AA0F99"/>
    <w:rsid w:val="00AA1440"/>
    <w:rsid w:val="00AA144B"/>
    <w:rsid w:val="00AA1599"/>
    <w:rsid w:val="00AA15DD"/>
    <w:rsid w:val="00AA164D"/>
    <w:rsid w:val="00AA168D"/>
    <w:rsid w:val="00AA16B6"/>
    <w:rsid w:val="00AA16E5"/>
    <w:rsid w:val="00AA1789"/>
    <w:rsid w:val="00AA187F"/>
    <w:rsid w:val="00AA18F9"/>
    <w:rsid w:val="00AA1C6E"/>
    <w:rsid w:val="00AA1CF3"/>
    <w:rsid w:val="00AA1FE5"/>
    <w:rsid w:val="00AA2023"/>
    <w:rsid w:val="00AA2084"/>
    <w:rsid w:val="00AA2191"/>
    <w:rsid w:val="00AA2212"/>
    <w:rsid w:val="00AA2213"/>
    <w:rsid w:val="00AA2381"/>
    <w:rsid w:val="00AA23D5"/>
    <w:rsid w:val="00AA240C"/>
    <w:rsid w:val="00AA2548"/>
    <w:rsid w:val="00AA2793"/>
    <w:rsid w:val="00AA27F5"/>
    <w:rsid w:val="00AA2818"/>
    <w:rsid w:val="00AA2825"/>
    <w:rsid w:val="00AA2BA3"/>
    <w:rsid w:val="00AA2C40"/>
    <w:rsid w:val="00AA2C4E"/>
    <w:rsid w:val="00AA2C75"/>
    <w:rsid w:val="00AA30BC"/>
    <w:rsid w:val="00AA30CB"/>
    <w:rsid w:val="00AA310E"/>
    <w:rsid w:val="00AA3147"/>
    <w:rsid w:val="00AA31B6"/>
    <w:rsid w:val="00AA31CD"/>
    <w:rsid w:val="00AA3209"/>
    <w:rsid w:val="00AA33A9"/>
    <w:rsid w:val="00AA33CB"/>
    <w:rsid w:val="00AA33EA"/>
    <w:rsid w:val="00AA3484"/>
    <w:rsid w:val="00AA378F"/>
    <w:rsid w:val="00AA3872"/>
    <w:rsid w:val="00AA38B6"/>
    <w:rsid w:val="00AA3C67"/>
    <w:rsid w:val="00AA3D8A"/>
    <w:rsid w:val="00AA3DDF"/>
    <w:rsid w:val="00AA4084"/>
    <w:rsid w:val="00AA4467"/>
    <w:rsid w:val="00AA44F0"/>
    <w:rsid w:val="00AA45EB"/>
    <w:rsid w:val="00AA46DA"/>
    <w:rsid w:val="00AA478A"/>
    <w:rsid w:val="00AA47F8"/>
    <w:rsid w:val="00AA4838"/>
    <w:rsid w:val="00AA4982"/>
    <w:rsid w:val="00AA49F9"/>
    <w:rsid w:val="00AA4A4B"/>
    <w:rsid w:val="00AA4B7E"/>
    <w:rsid w:val="00AA4DD6"/>
    <w:rsid w:val="00AA4FAE"/>
    <w:rsid w:val="00AA4FDC"/>
    <w:rsid w:val="00AA4FEA"/>
    <w:rsid w:val="00AA5050"/>
    <w:rsid w:val="00AA50BE"/>
    <w:rsid w:val="00AA526C"/>
    <w:rsid w:val="00AA592C"/>
    <w:rsid w:val="00AA5937"/>
    <w:rsid w:val="00AA5AC3"/>
    <w:rsid w:val="00AA5B32"/>
    <w:rsid w:val="00AA5C03"/>
    <w:rsid w:val="00AA5C46"/>
    <w:rsid w:val="00AA5F60"/>
    <w:rsid w:val="00AA5F90"/>
    <w:rsid w:val="00AA609E"/>
    <w:rsid w:val="00AA616A"/>
    <w:rsid w:val="00AA6355"/>
    <w:rsid w:val="00AA635C"/>
    <w:rsid w:val="00AA6506"/>
    <w:rsid w:val="00AA6510"/>
    <w:rsid w:val="00AA653A"/>
    <w:rsid w:val="00AA6594"/>
    <w:rsid w:val="00AA666D"/>
    <w:rsid w:val="00AA6797"/>
    <w:rsid w:val="00AA67E3"/>
    <w:rsid w:val="00AA684F"/>
    <w:rsid w:val="00AA68D6"/>
    <w:rsid w:val="00AA6AB6"/>
    <w:rsid w:val="00AA6B2B"/>
    <w:rsid w:val="00AA6CB8"/>
    <w:rsid w:val="00AA6D97"/>
    <w:rsid w:val="00AA6F2F"/>
    <w:rsid w:val="00AA701F"/>
    <w:rsid w:val="00AA70C4"/>
    <w:rsid w:val="00AA71AB"/>
    <w:rsid w:val="00AA71C6"/>
    <w:rsid w:val="00AA7292"/>
    <w:rsid w:val="00AA72D1"/>
    <w:rsid w:val="00AA7438"/>
    <w:rsid w:val="00AA75C6"/>
    <w:rsid w:val="00AA76B5"/>
    <w:rsid w:val="00AA7728"/>
    <w:rsid w:val="00AA7816"/>
    <w:rsid w:val="00AA787A"/>
    <w:rsid w:val="00AA78A0"/>
    <w:rsid w:val="00AA7A1E"/>
    <w:rsid w:val="00AA7A4D"/>
    <w:rsid w:val="00AA7BE6"/>
    <w:rsid w:val="00AA7C14"/>
    <w:rsid w:val="00AA7C94"/>
    <w:rsid w:val="00AA7CDD"/>
    <w:rsid w:val="00AA7D8A"/>
    <w:rsid w:val="00AA7DB3"/>
    <w:rsid w:val="00AA7DBB"/>
    <w:rsid w:val="00AA7DC7"/>
    <w:rsid w:val="00AA7E43"/>
    <w:rsid w:val="00AA7FB4"/>
    <w:rsid w:val="00AB002F"/>
    <w:rsid w:val="00AB004F"/>
    <w:rsid w:val="00AB0058"/>
    <w:rsid w:val="00AB00A7"/>
    <w:rsid w:val="00AB01B3"/>
    <w:rsid w:val="00AB0520"/>
    <w:rsid w:val="00AB05AC"/>
    <w:rsid w:val="00AB08D2"/>
    <w:rsid w:val="00AB09C8"/>
    <w:rsid w:val="00AB0AC5"/>
    <w:rsid w:val="00AB0B63"/>
    <w:rsid w:val="00AB0B68"/>
    <w:rsid w:val="00AB0BAD"/>
    <w:rsid w:val="00AB0C0B"/>
    <w:rsid w:val="00AB0C45"/>
    <w:rsid w:val="00AB0C51"/>
    <w:rsid w:val="00AB0D11"/>
    <w:rsid w:val="00AB0DC5"/>
    <w:rsid w:val="00AB0EC6"/>
    <w:rsid w:val="00AB0F3D"/>
    <w:rsid w:val="00AB0FBE"/>
    <w:rsid w:val="00AB1122"/>
    <w:rsid w:val="00AB11E7"/>
    <w:rsid w:val="00AB1312"/>
    <w:rsid w:val="00AB1485"/>
    <w:rsid w:val="00AB14F2"/>
    <w:rsid w:val="00AB150E"/>
    <w:rsid w:val="00AB1608"/>
    <w:rsid w:val="00AB1680"/>
    <w:rsid w:val="00AB16E1"/>
    <w:rsid w:val="00AB17AD"/>
    <w:rsid w:val="00AB17F5"/>
    <w:rsid w:val="00AB181A"/>
    <w:rsid w:val="00AB18C4"/>
    <w:rsid w:val="00AB1931"/>
    <w:rsid w:val="00AB1AA7"/>
    <w:rsid w:val="00AB1B1F"/>
    <w:rsid w:val="00AB1CCC"/>
    <w:rsid w:val="00AB1CEA"/>
    <w:rsid w:val="00AB1DBE"/>
    <w:rsid w:val="00AB1FF7"/>
    <w:rsid w:val="00AB2081"/>
    <w:rsid w:val="00AB2208"/>
    <w:rsid w:val="00AB2272"/>
    <w:rsid w:val="00AB230C"/>
    <w:rsid w:val="00AB2332"/>
    <w:rsid w:val="00AB23DF"/>
    <w:rsid w:val="00AB2427"/>
    <w:rsid w:val="00AB24C5"/>
    <w:rsid w:val="00AB2523"/>
    <w:rsid w:val="00AB256B"/>
    <w:rsid w:val="00AB264E"/>
    <w:rsid w:val="00AB2725"/>
    <w:rsid w:val="00AB2758"/>
    <w:rsid w:val="00AB2820"/>
    <w:rsid w:val="00AB2883"/>
    <w:rsid w:val="00AB2915"/>
    <w:rsid w:val="00AB291C"/>
    <w:rsid w:val="00AB29F9"/>
    <w:rsid w:val="00AB2A79"/>
    <w:rsid w:val="00AB2B79"/>
    <w:rsid w:val="00AB2BCD"/>
    <w:rsid w:val="00AB2CDA"/>
    <w:rsid w:val="00AB2CFB"/>
    <w:rsid w:val="00AB2E12"/>
    <w:rsid w:val="00AB2EE9"/>
    <w:rsid w:val="00AB2F4A"/>
    <w:rsid w:val="00AB2F5C"/>
    <w:rsid w:val="00AB3073"/>
    <w:rsid w:val="00AB31E3"/>
    <w:rsid w:val="00AB3305"/>
    <w:rsid w:val="00AB3576"/>
    <w:rsid w:val="00AB35D3"/>
    <w:rsid w:val="00AB36DA"/>
    <w:rsid w:val="00AB37A1"/>
    <w:rsid w:val="00AB37AC"/>
    <w:rsid w:val="00AB3A41"/>
    <w:rsid w:val="00AB3A8B"/>
    <w:rsid w:val="00AB3BE1"/>
    <w:rsid w:val="00AB3CE1"/>
    <w:rsid w:val="00AB3D1E"/>
    <w:rsid w:val="00AB3D47"/>
    <w:rsid w:val="00AB3E06"/>
    <w:rsid w:val="00AB3E4A"/>
    <w:rsid w:val="00AB40B1"/>
    <w:rsid w:val="00AB40B6"/>
    <w:rsid w:val="00AB40EF"/>
    <w:rsid w:val="00AB4123"/>
    <w:rsid w:val="00AB4410"/>
    <w:rsid w:val="00AB45D6"/>
    <w:rsid w:val="00AB479F"/>
    <w:rsid w:val="00AB47BC"/>
    <w:rsid w:val="00AB47E8"/>
    <w:rsid w:val="00AB48F7"/>
    <w:rsid w:val="00AB4B0F"/>
    <w:rsid w:val="00AB4B33"/>
    <w:rsid w:val="00AB4C43"/>
    <w:rsid w:val="00AB4C53"/>
    <w:rsid w:val="00AB4C70"/>
    <w:rsid w:val="00AB4D17"/>
    <w:rsid w:val="00AB4D4D"/>
    <w:rsid w:val="00AB4D9D"/>
    <w:rsid w:val="00AB4E3B"/>
    <w:rsid w:val="00AB4EDF"/>
    <w:rsid w:val="00AB5086"/>
    <w:rsid w:val="00AB5296"/>
    <w:rsid w:val="00AB52B2"/>
    <w:rsid w:val="00AB555C"/>
    <w:rsid w:val="00AB560D"/>
    <w:rsid w:val="00AB56AA"/>
    <w:rsid w:val="00AB58B2"/>
    <w:rsid w:val="00AB5925"/>
    <w:rsid w:val="00AB5931"/>
    <w:rsid w:val="00AB5A0F"/>
    <w:rsid w:val="00AB5AF3"/>
    <w:rsid w:val="00AB5B98"/>
    <w:rsid w:val="00AB5C74"/>
    <w:rsid w:val="00AB5F23"/>
    <w:rsid w:val="00AB5F8D"/>
    <w:rsid w:val="00AB5FD5"/>
    <w:rsid w:val="00AB606C"/>
    <w:rsid w:val="00AB61B9"/>
    <w:rsid w:val="00AB62C8"/>
    <w:rsid w:val="00AB63C4"/>
    <w:rsid w:val="00AB64C9"/>
    <w:rsid w:val="00AB6612"/>
    <w:rsid w:val="00AB66A3"/>
    <w:rsid w:val="00AB66C3"/>
    <w:rsid w:val="00AB66CA"/>
    <w:rsid w:val="00AB68BB"/>
    <w:rsid w:val="00AB6BD2"/>
    <w:rsid w:val="00AB6E48"/>
    <w:rsid w:val="00AB6EEF"/>
    <w:rsid w:val="00AB6EFB"/>
    <w:rsid w:val="00AB6F3C"/>
    <w:rsid w:val="00AB7048"/>
    <w:rsid w:val="00AB711D"/>
    <w:rsid w:val="00AB7211"/>
    <w:rsid w:val="00AB727D"/>
    <w:rsid w:val="00AB737F"/>
    <w:rsid w:val="00AB7556"/>
    <w:rsid w:val="00AB75BF"/>
    <w:rsid w:val="00AB763D"/>
    <w:rsid w:val="00AB76EE"/>
    <w:rsid w:val="00AB775B"/>
    <w:rsid w:val="00AB7832"/>
    <w:rsid w:val="00AB7850"/>
    <w:rsid w:val="00AB7A08"/>
    <w:rsid w:val="00AB7BD3"/>
    <w:rsid w:val="00AB7BE3"/>
    <w:rsid w:val="00AB7D7E"/>
    <w:rsid w:val="00AB7E46"/>
    <w:rsid w:val="00AB7F02"/>
    <w:rsid w:val="00AB7FB7"/>
    <w:rsid w:val="00AC001F"/>
    <w:rsid w:val="00AC0255"/>
    <w:rsid w:val="00AC02D9"/>
    <w:rsid w:val="00AC0377"/>
    <w:rsid w:val="00AC03FC"/>
    <w:rsid w:val="00AC050E"/>
    <w:rsid w:val="00AC0511"/>
    <w:rsid w:val="00AC0793"/>
    <w:rsid w:val="00AC07A3"/>
    <w:rsid w:val="00AC07BD"/>
    <w:rsid w:val="00AC0802"/>
    <w:rsid w:val="00AC09F2"/>
    <w:rsid w:val="00AC0AF0"/>
    <w:rsid w:val="00AC0AF8"/>
    <w:rsid w:val="00AC0C00"/>
    <w:rsid w:val="00AC0D9B"/>
    <w:rsid w:val="00AC0F62"/>
    <w:rsid w:val="00AC1061"/>
    <w:rsid w:val="00AC10C6"/>
    <w:rsid w:val="00AC1178"/>
    <w:rsid w:val="00AC136D"/>
    <w:rsid w:val="00AC14FC"/>
    <w:rsid w:val="00AC156A"/>
    <w:rsid w:val="00AC159F"/>
    <w:rsid w:val="00AC15D7"/>
    <w:rsid w:val="00AC166E"/>
    <w:rsid w:val="00AC1811"/>
    <w:rsid w:val="00AC1878"/>
    <w:rsid w:val="00AC1A87"/>
    <w:rsid w:val="00AC1AF0"/>
    <w:rsid w:val="00AC1BAA"/>
    <w:rsid w:val="00AC1BCC"/>
    <w:rsid w:val="00AC209C"/>
    <w:rsid w:val="00AC2108"/>
    <w:rsid w:val="00AC2266"/>
    <w:rsid w:val="00AC238A"/>
    <w:rsid w:val="00AC23CE"/>
    <w:rsid w:val="00AC23D6"/>
    <w:rsid w:val="00AC2722"/>
    <w:rsid w:val="00AC2909"/>
    <w:rsid w:val="00AC29F4"/>
    <w:rsid w:val="00AC2AA5"/>
    <w:rsid w:val="00AC2B18"/>
    <w:rsid w:val="00AC2BDB"/>
    <w:rsid w:val="00AC2C3C"/>
    <w:rsid w:val="00AC2D10"/>
    <w:rsid w:val="00AC2D1F"/>
    <w:rsid w:val="00AC2D90"/>
    <w:rsid w:val="00AC2E9E"/>
    <w:rsid w:val="00AC2EAF"/>
    <w:rsid w:val="00AC2EE2"/>
    <w:rsid w:val="00AC2EEC"/>
    <w:rsid w:val="00AC2FC8"/>
    <w:rsid w:val="00AC3033"/>
    <w:rsid w:val="00AC317D"/>
    <w:rsid w:val="00AC3274"/>
    <w:rsid w:val="00AC3384"/>
    <w:rsid w:val="00AC33F3"/>
    <w:rsid w:val="00AC3601"/>
    <w:rsid w:val="00AC3624"/>
    <w:rsid w:val="00AC3633"/>
    <w:rsid w:val="00AC3696"/>
    <w:rsid w:val="00AC374C"/>
    <w:rsid w:val="00AC385E"/>
    <w:rsid w:val="00AC3ACF"/>
    <w:rsid w:val="00AC3B0D"/>
    <w:rsid w:val="00AC3BAD"/>
    <w:rsid w:val="00AC3C80"/>
    <w:rsid w:val="00AC3CD5"/>
    <w:rsid w:val="00AC3DAB"/>
    <w:rsid w:val="00AC3E7E"/>
    <w:rsid w:val="00AC3E98"/>
    <w:rsid w:val="00AC3EA7"/>
    <w:rsid w:val="00AC3EB3"/>
    <w:rsid w:val="00AC3F18"/>
    <w:rsid w:val="00AC3F35"/>
    <w:rsid w:val="00AC4006"/>
    <w:rsid w:val="00AC41CF"/>
    <w:rsid w:val="00AC42C0"/>
    <w:rsid w:val="00AC43A0"/>
    <w:rsid w:val="00AC4678"/>
    <w:rsid w:val="00AC4756"/>
    <w:rsid w:val="00AC48D5"/>
    <w:rsid w:val="00AC49BD"/>
    <w:rsid w:val="00AC4B33"/>
    <w:rsid w:val="00AC4B4B"/>
    <w:rsid w:val="00AC4C95"/>
    <w:rsid w:val="00AC4D76"/>
    <w:rsid w:val="00AC4E85"/>
    <w:rsid w:val="00AC51DC"/>
    <w:rsid w:val="00AC52D2"/>
    <w:rsid w:val="00AC555F"/>
    <w:rsid w:val="00AC55D5"/>
    <w:rsid w:val="00AC5616"/>
    <w:rsid w:val="00AC562B"/>
    <w:rsid w:val="00AC56A4"/>
    <w:rsid w:val="00AC56B5"/>
    <w:rsid w:val="00AC579A"/>
    <w:rsid w:val="00AC5957"/>
    <w:rsid w:val="00AC5B29"/>
    <w:rsid w:val="00AC5CB7"/>
    <w:rsid w:val="00AC5CBE"/>
    <w:rsid w:val="00AC5E2F"/>
    <w:rsid w:val="00AC5EEC"/>
    <w:rsid w:val="00AC5FD2"/>
    <w:rsid w:val="00AC6316"/>
    <w:rsid w:val="00AC6674"/>
    <w:rsid w:val="00AC6696"/>
    <w:rsid w:val="00AC6790"/>
    <w:rsid w:val="00AC6794"/>
    <w:rsid w:val="00AC6985"/>
    <w:rsid w:val="00AC6B57"/>
    <w:rsid w:val="00AC6E30"/>
    <w:rsid w:val="00AC6FF5"/>
    <w:rsid w:val="00AC70A8"/>
    <w:rsid w:val="00AC7362"/>
    <w:rsid w:val="00AC73C2"/>
    <w:rsid w:val="00AC75B1"/>
    <w:rsid w:val="00AC7672"/>
    <w:rsid w:val="00AC769D"/>
    <w:rsid w:val="00AC7757"/>
    <w:rsid w:val="00AC778A"/>
    <w:rsid w:val="00AC77DF"/>
    <w:rsid w:val="00AC77E1"/>
    <w:rsid w:val="00AC7846"/>
    <w:rsid w:val="00AC78B2"/>
    <w:rsid w:val="00AC7A78"/>
    <w:rsid w:val="00AC7B33"/>
    <w:rsid w:val="00AC7B3F"/>
    <w:rsid w:val="00AC7BBE"/>
    <w:rsid w:val="00AC7CA5"/>
    <w:rsid w:val="00AC7E5F"/>
    <w:rsid w:val="00AC7E66"/>
    <w:rsid w:val="00AC7F6A"/>
    <w:rsid w:val="00AC7FEB"/>
    <w:rsid w:val="00AD005B"/>
    <w:rsid w:val="00AD0083"/>
    <w:rsid w:val="00AD0161"/>
    <w:rsid w:val="00AD0386"/>
    <w:rsid w:val="00AD041B"/>
    <w:rsid w:val="00AD0483"/>
    <w:rsid w:val="00AD04AA"/>
    <w:rsid w:val="00AD05D9"/>
    <w:rsid w:val="00AD06FD"/>
    <w:rsid w:val="00AD0936"/>
    <w:rsid w:val="00AD096D"/>
    <w:rsid w:val="00AD096F"/>
    <w:rsid w:val="00AD0A8A"/>
    <w:rsid w:val="00AD0B82"/>
    <w:rsid w:val="00AD0BF2"/>
    <w:rsid w:val="00AD0D1C"/>
    <w:rsid w:val="00AD0E31"/>
    <w:rsid w:val="00AD0E3B"/>
    <w:rsid w:val="00AD0E4A"/>
    <w:rsid w:val="00AD0F13"/>
    <w:rsid w:val="00AD0F25"/>
    <w:rsid w:val="00AD0F2D"/>
    <w:rsid w:val="00AD0FBF"/>
    <w:rsid w:val="00AD10F3"/>
    <w:rsid w:val="00AD1220"/>
    <w:rsid w:val="00AD12F0"/>
    <w:rsid w:val="00AD13A2"/>
    <w:rsid w:val="00AD1445"/>
    <w:rsid w:val="00AD1486"/>
    <w:rsid w:val="00AD14B6"/>
    <w:rsid w:val="00AD15AA"/>
    <w:rsid w:val="00AD15E6"/>
    <w:rsid w:val="00AD16D8"/>
    <w:rsid w:val="00AD185B"/>
    <w:rsid w:val="00AD18C3"/>
    <w:rsid w:val="00AD1A28"/>
    <w:rsid w:val="00AD1A9F"/>
    <w:rsid w:val="00AD1AB4"/>
    <w:rsid w:val="00AD1AC1"/>
    <w:rsid w:val="00AD1B59"/>
    <w:rsid w:val="00AD1C67"/>
    <w:rsid w:val="00AD1DA0"/>
    <w:rsid w:val="00AD1E78"/>
    <w:rsid w:val="00AD1F0B"/>
    <w:rsid w:val="00AD1F8F"/>
    <w:rsid w:val="00AD205D"/>
    <w:rsid w:val="00AD22B0"/>
    <w:rsid w:val="00AD22E3"/>
    <w:rsid w:val="00AD233A"/>
    <w:rsid w:val="00AD235F"/>
    <w:rsid w:val="00AD23D1"/>
    <w:rsid w:val="00AD2539"/>
    <w:rsid w:val="00AD2593"/>
    <w:rsid w:val="00AD2668"/>
    <w:rsid w:val="00AD2788"/>
    <w:rsid w:val="00AD285F"/>
    <w:rsid w:val="00AD2912"/>
    <w:rsid w:val="00AD2B3C"/>
    <w:rsid w:val="00AD2BF8"/>
    <w:rsid w:val="00AD2ED3"/>
    <w:rsid w:val="00AD2F39"/>
    <w:rsid w:val="00AD2F4B"/>
    <w:rsid w:val="00AD305F"/>
    <w:rsid w:val="00AD3204"/>
    <w:rsid w:val="00AD3311"/>
    <w:rsid w:val="00AD338E"/>
    <w:rsid w:val="00AD33FE"/>
    <w:rsid w:val="00AD35A0"/>
    <w:rsid w:val="00AD3606"/>
    <w:rsid w:val="00AD36ED"/>
    <w:rsid w:val="00AD37F3"/>
    <w:rsid w:val="00AD3857"/>
    <w:rsid w:val="00AD387B"/>
    <w:rsid w:val="00AD3A3C"/>
    <w:rsid w:val="00AD3B03"/>
    <w:rsid w:val="00AD3B28"/>
    <w:rsid w:val="00AD3C1A"/>
    <w:rsid w:val="00AD3C64"/>
    <w:rsid w:val="00AD3DB0"/>
    <w:rsid w:val="00AD3E37"/>
    <w:rsid w:val="00AD3E5B"/>
    <w:rsid w:val="00AD3EFE"/>
    <w:rsid w:val="00AD3FDF"/>
    <w:rsid w:val="00AD4024"/>
    <w:rsid w:val="00AD40BD"/>
    <w:rsid w:val="00AD4193"/>
    <w:rsid w:val="00AD41B9"/>
    <w:rsid w:val="00AD41C6"/>
    <w:rsid w:val="00AD41CA"/>
    <w:rsid w:val="00AD437F"/>
    <w:rsid w:val="00AD456D"/>
    <w:rsid w:val="00AD46B4"/>
    <w:rsid w:val="00AD49F2"/>
    <w:rsid w:val="00AD4A0F"/>
    <w:rsid w:val="00AD4A3F"/>
    <w:rsid w:val="00AD4B11"/>
    <w:rsid w:val="00AD4BE5"/>
    <w:rsid w:val="00AD4C1D"/>
    <w:rsid w:val="00AD4D05"/>
    <w:rsid w:val="00AD4D73"/>
    <w:rsid w:val="00AD4EC0"/>
    <w:rsid w:val="00AD4F98"/>
    <w:rsid w:val="00AD506F"/>
    <w:rsid w:val="00AD50CA"/>
    <w:rsid w:val="00AD5177"/>
    <w:rsid w:val="00AD52DF"/>
    <w:rsid w:val="00AD52EF"/>
    <w:rsid w:val="00AD5472"/>
    <w:rsid w:val="00AD54C3"/>
    <w:rsid w:val="00AD55CD"/>
    <w:rsid w:val="00AD55DA"/>
    <w:rsid w:val="00AD5973"/>
    <w:rsid w:val="00AD5985"/>
    <w:rsid w:val="00AD5A39"/>
    <w:rsid w:val="00AD5CAE"/>
    <w:rsid w:val="00AD5DDB"/>
    <w:rsid w:val="00AD5E92"/>
    <w:rsid w:val="00AD5F2F"/>
    <w:rsid w:val="00AD5FF0"/>
    <w:rsid w:val="00AD5FF3"/>
    <w:rsid w:val="00AD6035"/>
    <w:rsid w:val="00AD6069"/>
    <w:rsid w:val="00AD6084"/>
    <w:rsid w:val="00AD6111"/>
    <w:rsid w:val="00AD63DA"/>
    <w:rsid w:val="00AD6B41"/>
    <w:rsid w:val="00AD6CA4"/>
    <w:rsid w:val="00AD6E4F"/>
    <w:rsid w:val="00AD6E79"/>
    <w:rsid w:val="00AD6EDC"/>
    <w:rsid w:val="00AD6FB6"/>
    <w:rsid w:val="00AD7176"/>
    <w:rsid w:val="00AD71B4"/>
    <w:rsid w:val="00AD71BD"/>
    <w:rsid w:val="00AD7204"/>
    <w:rsid w:val="00AD7322"/>
    <w:rsid w:val="00AD7329"/>
    <w:rsid w:val="00AD736D"/>
    <w:rsid w:val="00AD73FB"/>
    <w:rsid w:val="00AD7479"/>
    <w:rsid w:val="00AD752F"/>
    <w:rsid w:val="00AD7581"/>
    <w:rsid w:val="00AD76C4"/>
    <w:rsid w:val="00AD7804"/>
    <w:rsid w:val="00AD7856"/>
    <w:rsid w:val="00AD78EA"/>
    <w:rsid w:val="00AD7A5B"/>
    <w:rsid w:val="00AD7BB8"/>
    <w:rsid w:val="00AD7C99"/>
    <w:rsid w:val="00AD7D38"/>
    <w:rsid w:val="00AD7D88"/>
    <w:rsid w:val="00AE0146"/>
    <w:rsid w:val="00AE0262"/>
    <w:rsid w:val="00AE02CD"/>
    <w:rsid w:val="00AE0302"/>
    <w:rsid w:val="00AE0367"/>
    <w:rsid w:val="00AE0576"/>
    <w:rsid w:val="00AE0773"/>
    <w:rsid w:val="00AE087E"/>
    <w:rsid w:val="00AE08B0"/>
    <w:rsid w:val="00AE097D"/>
    <w:rsid w:val="00AE09CB"/>
    <w:rsid w:val="00AE0C51"/>
    <w:rsid w:val="00AE0C83"/>
    <w:rsid w:val="00AE0CF0"/>
    <w:rsid w:val="00AE0DC5"/>
    <w:rsid w:val="00AE0DD1"/>
    <w:rsid w:val="00AE103E"/>
    <w:rsid w:val="00AE121C"/>
    <w:rsid w:val="00AE135E"/>
    <w:rsid w:val="00AE1395"/>
    <w:rsid w:val="00AE13AB"/>
    <w:rsid w:val="00AE13F8"/>
    <w:rsid w:val="00AE15A1"/>
    <w:rsid w:val="00AE1643"/>
    <w:rsid w:val="00AE1711"/>
    <w:rsid w:val="00AE17A8"/>
    <w:rsid w:val="00AE17AD"/>
    <w:rsid w:val="00AE1814"/>
    <w:rsid w:val="00AE186D"/>
    <w:rsid w:val="00AE1895"/>
    <w:rsid w:val="00AE199E"/>
    <w:rsid w:val="00AE19CA"/>
    <w:rsid w:val="00AE19CE"/>
    <w:rsid w:val="00AE1A62"/>
    <w:rsid w:val="00AE1CCC"/>
    <w:rsid w:val="00AE1E04"/>
    <w:rsid w:val="00AE1E5F"/>
    <w:rsid w:val="00AE1E6D"/>
    <w:rsid w:val="00AE1FE8"/>
    <w:rsid w:val="00AE219C"/>
    <w:rsid w:val="00AE220C"/>
    <w:rsid w:val="00AE230E"/>
    <w:rsid w:val="00AE23BF"/>
    <w:rsid w:val="00AE241C"/>
    <w:rsid w:val="00AE246A"/>
    <w:rsid w:val="00AE2597"/>
    <w:rsid w:val="00AE2785"/>
    <w:rsid w:val="00AE27B7"/>
    <w:rsid w:val="00AE29CA"/>
    <w:rsid w:val="00AE29CE"/>
    <w:rsid w:val="00AE2A06"/>
    <w:rsid w:val="00AE2C8B"/>
    <w:rsid w:val="00AE30DD"/>
    <w:rsid w:val="00AE3354"/>
    <w:rsid w:val="00AE33D7"/>
    <w:rsid w:val="00AE341C"/>
    <w:rsid w:val="00AE3490"/>
    <w:rsid w:val="00AE351A"/>
    <w:rsid w:val="00AE3730"/>
    <w:rsid w:val="00AE3749"/>
    <w:rsid w:val="00AE3766"/>
    <w:rsid w:val="00AE39A3"/>
    <w:rsid w:val="00AE3A63"/>
    <w:rsid w:val="00AE3AE8"/>
    <w:rsid w:val="00AE3C16"/>
    <w:rsid w:val="00AE3C4C"/>
    <w:rsid w:val="00AE3D59"/>
    <w:rsid w:val="00AE3D7C"/>
    <w:rsid w:val="00AE3E42"/>
    <w:rsid w:val="00AE40B0"/>
    <w:rsid w:val="00AE41F7"/>
    <w:rsid w:val="00AE42D6"/>
    <w:rsid w:val="00AE4465"/>
    <w:rsid w:val="00AE4478"/>
    <w:rsid w:val="00AE44C6"/>
    <w:rsid w:val="00AE44D7"/>
    <w:rsid w:val="00AE463E"/>
    <w:rsid w:val="00AE465F"/>
    <w:rsid w:val="00AE48B1"/>
    <w:rsid w:val="00AE4A19"/>
    <w:rsid w:val="00AE4AA1"/>
    <w:rsid w:val="00AE4AD3"/>
    <w:rsid w:val="00AE4B60"/>
    <w:rsid w:val="00AE4C0A"/>
    <w:rsid w:val="00AE4C67"/>
    <w:rsid w:val="00AE4C6D"/>
    <w:rsid w:val="00AE4F52"/>
    <w:rsid w:val="00AE4F79"/>
    <w:rsid w:val="00AE5018"/>
    <w:rsid w:val="00AE517F"/>
    <w:rsid w:val="00AE51BB"/>
    <w:rsid w:val="00AE5450"/>
    <w:rsid w:val="00AE5620"/>
    <w:rsid w:val="00AE563E"/>
    <w:rsid w:val="00AE56C5"/>
    <w:rsid w:val="00AE57D8"/>
    <w:rsid w:val="00AE5802"/>
    <w:rsid w:val="00AE583F"/>
    <w:rsid w:val="00AE58FA"/>
    <w:rsid w:val="00AE59A3"/>
    <w:rsid w:val="00AE5A89"/>
    <w:rsid w:val="00AE5C0E"/>
    <w:rsid w:val="00AE5CE7"/>
    <w:rsid w:val="00AE5D66"/>
    <w:rsid w:val="00AE5E7F"/>
    <w:rsid w:val="00AE5F1B"/>
    <w:rsid w:val="00AE5F6F"/>
    <w:rsid w:val="00AE5F84"/>
    <w:rsid w:val="00AE60C9"/>
    <w:rsid w:val="00AE629E"/>
    <w:rsid w:val="00AE633E"/>
    <w:rsid w:val="00AE6356"/>
    <w:rsid w:val="00AE63CD"/>
    <w:rsid w:val="00AE63F4"/>
    <w:rsid w:val="00AE63FC"/>
    <w:rsid w:val="00AE6569"/>
    <w:rsid w:val="00AE6729"/>
    <w:rsid w:val="00AE67AF"/>
    <w:rsid w:val="00AE688C"/>
    <w:rsid w:val="00AE68DD"/>
    <w:rsid w:val="00AE690F"/>
    <w:rsid w:val="00AE6C0D"/>
    <w:rsid w:val="00AE6C56"/>
    <w:rsid w:val="00AE6D38"/>
    <w:rsid w:val="00AE7006"/>
    <w:rsid w:val="00AE718C"/>
    <w:rsid w:val="00AE719C"/>
    <w:rsid w:val="00AE7229"/>
    <w:rsid w:val="00AE7495"/>
    <w:rsid w:val="00AE762A"/>
    <w:rsid w:val="00AE7671"/>
    <w:rsid w:val="00AE77E1"/>
    <w:rsid w:val="00AE782F"/>
    <w:rsid w:val="00AE78F2"/>
    <w:rsid w:val="00AE797C"/>
    <w:rsid w:val="00AE7A9B"/>
    <w:rsid w:val="00AE7BB8"/>
    <w:rsid w:val="00AE7E07"/>
    <w:rsid w:val="00AE7E5E"/>
    <w:rsid w:val="00AE7E85"/>
    <w:rsid w:val="00AE7FCA"/>
    <w:rsid w:val="00AF00EA"/>
    <w:rsid w:val="00AF012C"/>
    <w:rsid w:val="00AF0215"/>
    <w:rsid w:val="00AF022D"/>
    <w:rsid w:val="00AF0496"/>
    <w:rsid w:val="00AF04FA"/>
    <w:rsid w:val="00AF053F"/>
    <w:rsid w:val="00AF068F"/>
    <w:rsid w:val="00AF072E"/>
    <w:rsid w:val="00AF0755"/>
    <w:rsid w:val="00AF087B"/>
    <w:rsid w:val="00AF0935"/>
    <w:rsid w:val="00AF0A5B"/>
    <w:rsid w:val="00AF0CC6"/>
    <w:rsid w:val="00AF0E86"/>
    <w:rsid w:val="00AF0F46"/>
    <w:rsid w:val="00AF110A"/>
    <w:rsid w:val="00AF12F6"/>
    <w:rsid w:val="00AF186C"/>
    <w:rsid w:val="00AF1991"/>
    <w:rsid w:val="00AF199C"/>
    <w:rsid w:val="00AF1BEA"/>
    <w:rsid w:val="00AF1C3F"/>
    <w:rsid w:val="00AF1C56"/>
    <w:rsid w:val="00AF1CF7"/>
    <w:rsid w:val="00AF1DFB"/>
    <w:rsid w:val="00AF1F3C"/>
    <w:rsid w:val="00AF2042"/>
    <w:rsid w:val="00AF2106"/>
    <w:rsid w:val="00AF22E0"/>
    <w:rsid w:val="00AF249A"/>
    <w:rsid w:val="00AF2507"/>
    <w:rsid w:val="00AF257C"/>
    <w:rsid w:val="00AF2687"/>
    <w:rsid w:val="00AF2705"/>
    <w:rsid w:val="00AF2878"/>
    <w:rsid w:val="00AF29E5"/>
    <w:rsid w:val="00AF2AC7"/>
    <w:rsid w:val="00AF2B22"/>
    <w:rsid w:val="00AF2B4B"/>
    <w:rsid w:val="00AF2B7B"/>
    <w:rsid w:val="00AF2B99"/>
    <w:rsid w:val="00AF2BC0"/>
    <w:rsid w:val="00AF2C96"/>
    <w:rsid w:val="00AF2E5F"/>
    <w:rsid w:val="00AF2FB4"/>
    <w:rsid w:val="00AF31F2"/>
    <w:rsid w:val="00AF33AE"/>
    <w:rsid w:val="00AF3464"/>
    <w:rsid w:val="00AF34FD"/>
    <w:rsid w:val="00AF351A"/>
    <w:rsid w:val="00AF354B"/>
    <w:rsid w:val="00AF3626"/>
    <w:rsid w:val="00AF364B"/>
    <w:rsid w:val="00AF367F"/>
    <w:rsid w:val="00AF3783"/>
    <w:rsid w:val="00AF37F7"/>
    <w:rsid w:val="00AF3880"/>
    <w:rsid w:val="00AF39DF"/>
    <w:rsid w:val="00AF3A82"/>
    <w:rsid w:val="00AF3B5F"/>
    <w:rsid w:val="00AF3C2E"/>
    <w:rsid w:val="00AF3CE1"/>
    <w:rsid w:val="00AF3CEF"/>
    <w:rsid w:val="00AF3D45"/>
    <w:rsid w:val="00AF3D4C"/>
    <w:rsid w:val="00AF3D89"/>
    <w:rsid w:val="00AF3E00"/>
    <w:rsid w:val="00AF3E26"/>
    <w:rsid w:val="00AF3E45"/>
    <w:rsid w:val="00AF3F05"/>
    <w:rsid w:val="00AF3F75"/>
    <w:rsid w:val="00AF4070"/>
    <w:rsid w:val="00AF420B"/>
    <w:rsid w:val="00AF4270"/>
    <w:rsid w:val="00AF434C"/>
    <w:rsid w:val="00AF4460"/>
    <w:rsid w:val="00AF451B"/>
    <w:rsid w:val="00AF4673"/>
    <w:rsid w:val="00AF46D7"/>
    <w:rsid w:val="00AF470F"/>
    <w:rsid w:val="00AF4822"/>
    <w:rsid w:val="00AF4835"/>
    <w:rsid w:val="00AF4869"/>
    <w:rsid w:val="00AF4949"/>
    <w:rsid w:val="00AF4A30"/>
    <w:rsid w:val="00AF4C19"/>
    <w:rsid w:val="00AF4C57"/>
    <w:rsid w:val="00AF4D24"/>
    <w:rsid w:val="00AF4E7F"/>
    <w:rsid w:val="00AF4FC5"/>
    <w:rsid w:val="00AF50FD"/>
    <w:rsid w:val="00AF5296"/>
    <w:rsid w:val="00AF52CC"/>
    <w:rsid w:val="00AF537C"/>
    <w:rsid w:val="00AF544E"/>
    <w:rsid w:val="00AF551D"/>
    <w:rsid w:val="00AF55B6"/>
    <w:rsid w:val="00AF565B"/>
    <w:rsid w:val="00AF56AF"/>
    <w:rsid w:val="00AF57F0"/>
    <w:rsid w:val="00AF57FE"/>
    <w:rsid w:val="00AF586B"/>
    <w:rsid w:val="00AF5880"/>
    <w:rsid w:val="00AF58A1"/>
    <w:rsid w:val="00AF5AAB"/>
    <w:rsid w:val="00AF5B25"/>
    <w:rsid w:val="00AF5C2A"/>
    <w:rsid w:val="00AF5C73"/>
    <w:rsid w:val="00AF5D41"/>
    <w:rsid w:val="00AF5D75"/>
    <w:rsid w:val="00AF5DF0"/>
    <w:rsid w:val="00AF5E74"/>
    <w:rsid w:val="00AF6028"/>
    <w:rsid w:val="00AF6051"/>
    <w:rsid w:val="00AF6215"/>
    <w:rsid w:val="00AF62FF"/>
    <w:rsid w:val="00AF6576"/>
    <w:rsid w:val="00AF65E5"/>
    <w:rsid w:val="00AF6612"/>
    <w:rsid w:val="00AF66B6"/>
    <w:rsid w:val="00AF676D"/>
    <w:rsid w:val="00AF6797"/>
    <w:rsid w:val="00AF67F8"/>
    <w:rsid w:val="00AF6844"/>
    <w:rsid w:val="00AF6B92"/>
    <w:rsid w:val="00AF6BA0"/>
    <w:rsid w:val="00AF6CBF"/>
    <w:rsid w:val="00AF6CC7"/>
    <w:rsid w:val="00AF6D1E"/>
    <w:rsid w:val="00AF6F95"/>
    <w:rsid w:val="00AF6FC9"/>
    <w:rsid w:val="00AF7007"/>
    <w:rsid w:val="00AF715D"/>
    <w:rsid w:val="00AF7183"/>
    <w:rsid w:val="00AF74AB"/>
    <w:rsid w:val="00AF74C9"/>
    <w:rsid w:val="00AF75BE"/>
    <w:rsid w:val="00AF763C"/>
    <w:rsid w:val="00AF76CF"/>
    <w:rsid w:val="00AF770E"/>
    <w:rsid w:val="00AF7861"/>
    <w:rsid w:val="00AF78F4"/>
    <w:rsid w:val="00AF7906"/>
    <w:rsid w:val="00AF7A74"/>
    <w:rsid w:val="00AF7AF1"/>
    <w:rsid w:val="00AF7B1A"/>
    <w:rsid w:val="00AF7BBF"/>
    <w:rsid w:val="00AF7CF8"/>
    <w:rsid w:val="00AF7F06"/>
    <w:rsid w:val="00AF7F47"/>
    <w:rsid w:val="00B0001F"/>
    <w:rsid w:val="00B001CC"/>
    <w:rsid w:val="00B001E3"/>
    <w:rsid w:val="00B004DF"/>
    <w:rsid w:val="00B00545"/>
    <w:rsid w:val="00B00546"/>
    <w:rsid w:val="00B00580"/>
    <w:rsid w:val="00B00620"/>
    <w:rsid w:val="00B00636"/>
    <w:rsid w:val="00B0063F"/>
    <w:rsid w:val="00B00643"/>
    <w:rsid w:val="00B006B2"/>
    <w:rsid w:val="00B008E6"/>
    <w:rsid w:val="00B00933"/>
    <w:rsid w:val="00B0097C"/>
    <w:rsid w:val="00B00A8A"/>
    <w:rsid w:val="00B00AD1"/>
    <w:rsid w:val="00B00BF7"/>
    <w:rsid w:val="00B00C15"/>
    <w:rsid w:val="00B00CD6"/>
    <w:rsid w:val="00B00CDF"/>
    <w:rsid w:val="00B00D4C"/>
    <w:rsid w:val="00B00E2E"/>
    <w:rsid w:val="00B01073"/>
    <w:rsid w:val="00B010C4"/>
    <w:rsid w:val="00B01100"/>
    <w:rsid w:val="00B01146"/>
    <w:rsid w:val="00B0123D"/>
    <w:rsid w:val="00B01270"/>
    <w:rsid w:val="00B014FF"/>
    <w:rsid w:val="00B01727"/>
    <w:rsid w:val="00B01799"/>
    <w:rsid w:val="00B01859"/>
    <w:rsid w:val="00B01923"/>
    <w:rsid w:val="00B019EF"/>
    <w:rsid w:val="00B01A82"/>
    <w:rsid w:val="00B01AE5"/>
    <w:rsid w:val="00B01B41"/>
    <w:rsid w:val="00B01F6B"/>
    <w:rsid w:val="00B0216D"/>
    <w:rsid w:val="00B022E9"/>
    <w:rsid w:val="00B0240F"/>
    <w:rsid w:val="00B0249E"/>
    <w:rsid w:val="00B02594"/>
    <w:rsid w:val="00B0268E"/>
    <w:rsid w:val="00B0284A"/>
    <w:rsid w:val="00B0292C"/>
    <w:rsid w:val="00B0297C"/>
    <w:rsid w:val="00B02994"/>
    <w:rsid w:val="00B02B1A"/>
    <w:rsid w:val="00B02B57"/>
    <w:rsid w:val="00B02E7B"/>
    <w:rsid w:val="00B0300F"/>
    <w:rsid w:val="00B031E8"/>
    <w:rsid w:val="00B032BF"/>
    <w:rsid w:val="00B032E1"/>
    <w:rsid w:val="00B032E2"/>
    <w:rsid w:val="00B033CA"/>
    <w:rsid w:val="00B0345F"/>
    <w:rsid w:val="00B034F5"/>
    <w:rsid w:val="00B03504"/>
    <w:rsid w:val="00B03720"/>
    <w:rsid w:val="00B03757"/>
    <w:rsid w:val="00B0379A"/>
    <w:rsid w:val="00B0380D"/>
    <w:rsid w:val="00B0383C"/>
    <w:rsid w:val="00B038C3"/>
    <w:rsid w:val="00B03973"/>
    <w:rsid w:val="00B03AA6"/>
    <w:rsid w:val="00B03B5B"/>
    <w:rsid w:val="00B03D6C"/>
    <w:rsid w:val="00B03E68"/>
    <w:rsid w:val="00B04194"/>
    <w:rsid w:val="00B04271"/>
    <w:rsid w:val="00B042A3"/>
    <w:rsid w:val="00B04361"/>
    <w:rsid w:val="00B04497"/>
    <w:rsid w:val="00B044BB"/>
    <w:rsid w:val="00B044DD"/>
    <w:rsid w:val="00B0469F"/>
    <w:rsid w:val="00B049B9"/>
    <w:rsid w:val="00B04B8B"/>
    <w:rsid w:val="00B04BD1"/>
    <w:rsid w:val="00B04D60"/>
    <w:rsid w:val="00B04EDC"/>
    <w:rsid w:val="00B04F62"/>
    <w:rsid w:val="00B04FB4"/>
    <w:rsid w:val="00B04FE4"/>
    <w:rsid w:val="00B0511E"/>
    <w:rsid w:val="00B052ED"/>
    <w:rsid w:val="00B05700"/>
    <w:rsid w:val="00B05705"/>
    <w:rsid w:val="00B05735"/>
    <w:rsid w:val="00B058D4"/>
    <w:rsid w:val="00B05918"/>
    <w:rsid w:val="00B05949"/>
    <w:rsid w:val="00B05969"/>
    <w:rsid w:val="00B0598F"/>
    <w:rsid w:val="00B05A60"/>
    <w:rsid w:val="00B05B61"/>
    <w:rsid w:val="00B05BE2"/>
    <w:rsid w:val="00B05C0C"/>
    <w:rsid w:val="00B05CC3"/>
    <w:rsid w:val="00B05CD5"/>
    <w:rsid w:val="00B05E55"/>
    <w:rsid w:val="00B0613A"/>
    <w:rsid w:val="00B06190"/>
    <w:rsid w:val="00B06353"/>
    <w:rsid w:val="00B06523"/>
    <w:rsid w:val="00B06669"/>
    <w:rsid w:val="00B066C3"/>
    <w:rsid w:val="00B0686E"/>
    <w:rsid w:val="00B068CB"/>
    <w:rsid w:val="00B069A3"/>
    <w:rsid w:val="00B069A8"/>
    <w:rsid w:val="00B069E8"/>
    <w:rsid w:val="00B06B01"/>
    <w:rsid w:val="00B06CEE"/>
    <w:rsid w:val="00B06E1A"/>
    <w:rsid w:val="00B06E43"/>
    <w:rsid w:val="00B06E59"/>
    <w:rsid w:val="00B06F93"/>
    <w:rsid w:val="00B06FAB"/>
    <w:rsid w:val="00B0718E"/>
    <w:rsid w:val="00B07292"/>
    <w:rsid w:val="00B07318"/>
    <w:rsid w:val="00B074F7"/>
    <w:rsid w:val="00B076E5"/>
    <w:rsid w:val="00B0787B"/>
    <w:rsid w:val="00B0789E"/>
    <w:rsid w:val="00B07AFB"/>
    <w:rsid w:val="00B07B63"/>
    <w:rsid w:val="00B07BE3"/>
    <w:rsid w:val="00B07C76"/>
    <w:rsid w:val="00B07CAA"/>
    <w:rsid w:val="00B07CC2"/>
    <w:rsid w:val="00B07CCF"/>
    <w:rsid w:val="00B07E9D"/>
    <w:rsid w:val="00B07FE3"/>
    <w:rsid w:val="00B10064"/>
    <w:rsid w:val="00B100F5"/>
    <w:rsid w:val="00B10170"/>
    <w:rsid w:val="00B101B0"/>
    <w:rsid w:val="00B1023E"/>
    <w:rsid w:val="00B102C0"/>
    <w:rsid w:val="00B102D5"/>
    <w:rsid w:val="00B102DD"/>
    <w:rsid w:val="00B10308"/>
    <w:rsid w:val="00B1040C"/>
    <w:rsid w:val="00B1045B"/>
    <w:rsid w:val="00B104EF"/>
    <w:rsid w:val="00B105B9"/>
    <w:rsid w:val="00B10611"/>
    <w:rsid w:val="00B1074F"/>
    <w:rsid w:val="00B107DD"/>
    <w:rsid w:val="00B108D9"/>
    <w:rsid w:val="00B109A6"/>
    <w:rsid w:val="00B10A21"/>
    <w:rsid w:val="00B10A29"/>
    <w:rsid w:val="00B10A59"/>
    <w:rsid w:val="00B10A8C"/>
    <w:rsid w:val="00B10B77"/>
    <w:rsid w:val="00B10BED"/>
    <w:rsid w:val="00B10C13"/>
    <w:rsid w:val="00B10CB5"/>
    <w:rsid w:val="00B10DE4"/>
    <w:rsid w:val="00B10EA7"/>
    <w:rsid w:val="00B10EBB"/>
    <w:rsid w:val="00B111FB"/>
    <w:rsid w:val="00B11337"/>
    <w:rsid w:val="00B113DE"/>
    <w:rsid w:val="00B11460"/>
    <w:rsid w:val="00B115DC"/>
    <w:rsid w:val="00B119E6"/>
    <w:rsid w:val="00B11A35"/>
    <w:rsid w:val="00B11B41"/>
    <w:rsid w:val="00B11C0B"/>
    <w:rsid w:val="00B11C1F"/>
    <w:rsid w:val="00B11C74"/>
    <w:rsid w:val="00B11CB6"/>
    <w:rsid w:val="00B11D16"/>
    <w:rsid w:val="00B11E1E"/>
    <w:rsid w:val="00B11ED6"/>
    <w:rsid w:val="00B11F52"/>
    <w:rsid w:val="00B11FD8"/>
    <w:rsid w:val="00B1211F"/>
    <w:rsid w:val="00B12140"/>
    <w:rsid w:val="00B12279"/>
    <w:rsid w:val="00B12296"/>
    <w:rsid w:val="00B122D2"/>
    <w:rsid w:val="00B1232C"/>
    <w:rsid w:val="00B12340"/>
    <w:rsid w:val="00B12876"/>
    <w:rsid w:val="00B128B9"/>
    <w:rsid w:val="00B129DC"/>
    <w:rsid w:val="00B12AA0"/>
    <w:rsid w:val="00B12B7A"/>
    <w:rsid w:val="00B12B8A"/>
    <w:rsid w:val="00B12B9C"/>
    <w:rsid w:val="00B12DD8"/>
    <w:rsid w:val="00B12F9C"/>
    <w:rsid w:val="00B13064"/>
    <w:rsid w:val="00B13112"/>
    <w:rsid w:val="00B13147"/>
    <w:rsid w:val="00B131C0"/>
    <w:rsid w:val="00B1338C"/>
    <w:rsid w:val="00B1339A"/>
    <w:rsid w:val="00B13401"/>
    <w:rsid w:val="00B134E7"/>
    <w:rsid w:val="00B1353C"/>
    <w:rsid w:val="00B1355B"/>
    <w:rsid w:val="00B136DB"/>
    <w:rsid w:val="00B13922"/>
    <w:rsid w:val="00B13AE7"/>
    <w:rsid w:val="00B13BD4"/>
    <w:rsid w:val="00B13F57"/>
    <w:rsid w:val="00B13FA5"/>
    <w:rsid w:val="00B14086"/>
    <w:rsid w:val="00B14152"/>
    <w:rsid w:val="00B141CE"/>
    <w:rsid w:val="00B14208"/>
    <w:rsid w:val="00B14300"/>
    <w:rsid w:val="00B14572"/>
    <w:rsid w:val="00B145B1"/>
    <w:rsid w:val="00B147AA"/>
    <w:rsid w:val="00B147B8"/>
    <w:rsid w:val="00B1484D"/>
    <w:rsid w:val="00B14885"/>
    <w:rsid w:val="00B149A3"/>
    <w:rsid w:val="00B14AA7"/>
    <w:rsid w:val="00B14C13"/>
    <w:rsid w:val="00B14CFD"/>
    <w:rsid w:val="00B14E70"/>
    <w:rsid w:val="00B150E9"/>
    <w:rsid w:val="00B15209"/>
    <w:rsid w:val="00B1527B"/>
    <w:rsid w:val="00B152B6"/>
    <w:rsid w:val="00B15338"/>
    <w:rsid w:val="00B15397"/>
    <w:rsid w:val="00B15420"/>
    <w:rsid w:val="00B1563E"/>
    <w:rsid w:val="00B15719"/>
    <w:rsid w:val="00B15782"/>
    <w:rsid w:val="00B157D1"/>
    <w:rsid w:val="00B157ED"/>
    <w:rsid w:val="00B158A5"/>
    <w:rsid w:val="00B15AA3"/>
    <w:rsid w:val="00B15C16"/>
    <w:rsid w:val="00B15CFE"/>
    <w:rsid w:val="00B15EDD"/>
    <w:rsid w:val="00B16028"/>
    <w:rsid w:val="00B16108"/>
    <w:rsid w:val="00B1634F"/>
    <w:rsid w:val="00B16714"/>
    <w:rsid w:val="00B16A4C"/>
    <w:rsid w:val="00B16AF8"/>
    <w:rsid w:val="00B16B4B"/>
    <w:rsid w:val="00B16C55"/>
    <w:rsid w:val="00B16FE6"/>
    <w:rsid w:val="00B170CC"/>
    <w:rsid w:val="00B17131"/>
    <w:rsid w:val="00B17167"/>
    <w:rsid w:val="00B17170"/>
    <w:rsid w:val="00B171C4"/>
    <w:rsid w:val="00B17362"/>
    <w:rsid w:val="00B17494"/>
    <w:rsid w:val="00B174B5"/>
    <w:rsid w:val="00B17528"/>
    <w:rsid w:val="00B175BE"/>
    <w:rsid w:val="00B17696"/>
    <w:rsid w:val="00B176EB"/>
    <w:rsid w:val="00B1778C"/>
    <w:rsid w:val="00B177AB"/>
    <w:rsid w:val="00B1793A"/>
    <w:rsid w:val="00B17BAD"/>
    <w:rsid w:val="00B17C7B"/>
    <w:rsid w:val="00B17C85"/>
    <w:rsid w:val="00B1CDA6"/>
    <w:rsid w:val="00B20039"/>
    <w:rsid w:val="00B203EA"/>
    <w:rsid w:val="00B20464"/>
    <w:rsid w:val="00B204D7"/>
    <w:rsid w:val="00B206D8"/>
    <w:rsid w:val="00B20841"/>
    <w:rsid w:val="00B209AC"/>
    <w:rsid w:val="00B20AEC"/>
    <w:rsid w:val="00B20B3C"/>
    <w:rsid w:val="00B20B72"/>
    <w:rsid w:val="00B20BD0"/>
    <w:rsid w:val="00B20DC7"/>
    <w:rsid w:val="00B20E44"/>
    <w:rsid w:val="00B20ED3"/>
    <w:rsid w:val="00B213C8"/>
    <w:rsid w:val="00B21593"/>
    <w:rsid w:val="00B21780"/>
    <w:rsid w:val="00B217C1"/>
    <w:rsid w:val="00B21835"/>
    <w:rsid w:val="00B218DC"/>
    <w:rsid w:val="00B21977"/>
    <w:rsid w:val="00B21AD8"/>
    <w:rsid w:val="00B21B66"/>
    <w:rsid w:val="00B21C0E"/>
    <w:rsid w:val="00B21CCB"/>
    <w:rsid w:val="00B21D7A"/>
    <w:rsid w:val="00B21E69"/>
    <w:rsid w:val="00B21EA2"/>
    <w:rsid w:val="00B21EFD"/>
    <w:rsid w:val="00B21F27"/>
    <w:rsid w:val="00B22177"/>
    <w:rsid w:val="00B2223B"/>
    <w:rsid w:val="00B22311"/>
    <w:rsid w:val="00B22476"/>
    <w:rsid w:val="00B224B8"/>
    <w:rsid w:val="00B224DD"/>
    <w:rsid w:val="00B22562"/>
    <w:rsid w:val="00B22566"/>
    <w:rsid w:val="00B225A7"/>
    <w:rsid w:val="00B22654"/>
    <w:rsid w:val="00B226EA"/>
    <w:rsid w:val="00B226ED"/>
    <w:rsid w:val="00B226F5"/>
    <w:rsid w:val="00B227EE"/>
    <w:rsid w:val="00B229E1"/>
    <w:rsid w:val="00B22B78"/>
    <w:rsid w:val="00B22E55"/>
    <w:rsid w:val="00B22ED0"/>
    <w:rsid w:val="00B22EF4"/>
    <w:rsid w:val="00B22FFF"/>
    <w:rsid w:val="00B23038"/>
    <w:rsid w:val="00B23115"/>
    <w:rsid w:val="00B23458"/>
    <w:rsid w:val="00B23527"/>
    <w:rsid w:val="00B23550"/>
    <w:rsid w:val="00B235C3"/>
    <w:rsid w:val="00B23617"/>
    <w:rsid w:val="00B236DA"/>
    <w:rsid w:val="00B237A3"/>
    <w:rsid w:val="00B23855"/>
    <w:rsid w:val="00B2399D"/>
    <w:rsid w:val="00B23A11"/>
    <w:rsid w:val="00B23AA5"/>
    <w:rsid w:val="00B23C03"/>
    <w:rsid w:val="00B23C9E"/>
    <w:rsid w:val="00B23D4B"/>
    <w:rsid w:val="00B241E5"/>
    <w:rsid w:val="00B242DD"/>
    <w:rsid w:val="00B242FD"/>
    <w:rsid w:val="00B245E2"/>
    <w:rsid w:val="00B245E7"/>
    <w:rsid w:val="00B2462D"/>
    <w:rsid w:val="00B24724"/>
    <w:rsid w:val="00B24790"/>
    <w:rsid w:val="00B2480E"/>
    <w:rsid w:val="00B24893"/>
    <w:rsid w:val="00B248E9"/>
    <w:rsid w:val="00B24912"/>
    <w:rsid w:val="00B24AC7"/>
    <w:rsid w:val="00B24D28"/>
    <w:rsid w:val="00B24E38"/>
    <w:rsid w:val="00B24ED0"/>
    <w:rsid w:val="00B24F9A"/>
    <w:rsid w:val="00B254D9"/>
    <w:rsid w:val="00B2561A"/>
    <w:rsid w:val="00B2567C"/>
    <w:rsid w:val="00B25684"/>
    <w:rsid w:val="00B25716"/>
    <w:rsid w:val="00B2575C"/>
    <w:rsid w:val="00B2578E"/>
    <w:rsid w:val="00B2579E"/>
    <w:rsid w:val="00B258EC"/>
    <w:rsid w:val="00B25993"/>
    <w:rsid w:val="00B25A07"/>
    <w:rsid w:val="00B25B55"/>
    <w:rsid w:val="00B25E9C"/>
    <w:rsid w:val="00B2603F"/>
    <w:rsid w:val="00B26066"/>
    <w:rsid w:val="00B26111"/>
    <w:rsid w:val="00B2630B"/>
    <w:rsid w:val="00B2648C"/>
    <w:rsid w:val="00B26493"/>
    <w:rsid w:val="00B26533"/>
    <w:rsid w:val="00B2658A"/>
    <w:rsid w:val="00B265A4"/>
    <w:rsid w:val="00B266CE"/>
    <w:rsid w:val="00B268FF"/>
    <w:rsid w:val="00B269C6"/>
    <w:rsid w:val="00B26D3F"/>
    <w:rsid w:val="00B26D5D"/>
    <w:rsid w:val="00B26D75"/>
    <w:rsid w:val="00B26E72"/>
    <w:rsid w:val="00B26F7E"/>
    <w:rsid w:val="00B26FC3"/>
    <w:rsid w:val="00B270BB"/>
    <w:rsid w:val="00B2749D"/>
    <w:rsid w:val="00B27623"/>
    <w:rsid w:val="00B277D7"/>
    <w:rsid w:val="00B27D76"/>
    <w:rsid w:val="00B27F35"/>
    <w:rsid w:val="00B27FA1"/>
    <w:rsid w:val="00B301B8"/>
    <w:rsid w:val="00B302A9"/>
    <w:rsid w:val="00B302AA"/>
    <w:rsid w:val="00B303A6"/>
    <w:rsid w:val="00B303CF"/>
    <w:rsid w:val="00B3051C"/>
    <w:rsid w:val="00B30599"/>
    <w:rsid w:val="00B306AF"/>
    <w:rsid w:val="00B30724"/>
    <w:rsid w:val="00B307F4"/>
    <w:rsid w:val="00B3080C"/>
    <w:rsid w:val="00B30841"/>
    <w:rsid w:val="00B3084D"/>
    <w:rsid w:val="00B308ED"/>
    <w:rsid w:val="00B30A1A"/>
    <w:rsid w:val="00B30CB5"/>
    <w:rsid w:val="00B30D02"/>
    <w:rsid w:val="00B310F4"/>
    <w:rsid w:val="00B31235"/>
    <w:rsid w:val="00B3123C"/>
    <w:rsid w:val="00B3129D"/>
    <w:rsid w:val="00B312F7"/>
    <w:rsid w:val="00B31468"/>
    <w:rsid w:val="00B31500"/>
    <w:rsid w:val="00B3150E"/>
    <w:rsid w:val="00B3167D"/>
    <w:rsid w:val="00B31739"/>
    <w:rsid w:val="00B3176A"/>
    <w:rsid w:val="00B318CD"/>
    <w:rsid w:val="00B31912"/>
    <w:rsid w:val="00B31939"/>
    <w:rsid w:val="00B3196D"/>
    <w:rsid w:val="00B319FF"/>
    <w:rsid w:val="00B31A83"/>
    <w:rsid w:val="00B31BD3"/>
    <w:rsid w:val="00B31C7D"/>
    <w:rsid w:val="00B31D7C"/>
    <w:rsid w:val="00B31F54"/>
    <w:rsid w:val="00B320F7"/>
    <w:rsid w:val="00B3225B"/>
    <w:rsid w:val="00B3233D"/>
    <w:rsid w:val="00B32415"/>
    <w:rsid w:val="00B3248D"/>
    <w:rsid w:val="00B32579"/>
    <w:rsid w:val="00B32598"/>
    <w:rsid w:val="00B3275D"/>
    <w:rsid w:val="00B32768"/>
    <w:rsid w:val="00B329B9"/>
    <w:rsid w:val="00B32A3C"/>
    <w:rsid w:val="00B32AD9"/>
    <w:rsid w:val="00B32AE3"/>
    <w:rsid w:val="00B32B9E"/>
    <w:rsid w:val="00B32BF3"/>
    <w:rsid w:val="00B32D2C"/>
    <w:rsid w:val="00B32E1B"/>
    <w:rsid w:val="00B32E8E"/>
    <w:rsid w:val="00B32ECF"/>
    <w:rsid w:val="00B32FAA"/>
    <w:rsid w:val="00B32FCD"/>
    <w:rsid w:val="00B32FDB"/>
    <w:rsid w:val="00B3302F"/>
    <w:rsid w:val="00B335AF"/>
    <w:rsid w:val="00B337E8"/>
    <w:rsid w:val="00B33890"/>
    <w:rsid w:val="00B3392D"/>
    <w:rsid w:val="00B3399B"/>
    <w:rsid w:val="00B33A62"/>
    <w:rsid w:val="00B33B6C"/>
    <w:rsid w:val="00B33BE1"/>
    <w:rsid w:val="00B33EB0"/>
    <w:rsid w:val="00B3408F"/>
    <w:rsid w:val="00B3428E"/>
    <w:rsid w:val="00B34297"/>
    <w:rsid w:val="00B34362"/>
    <w:rsid w:val="00B343CC"/>
    <w:rsid w:val="00B343FB"/>
    <w:rsid w:val="00B3441E"/>
    <w:rsid w:val="00B3445E"/>
    <w:rsid w:val="00B34479"/>
    <w:rsid w:val="00B34482"/>
    <w:rsid w:val="00B34553"/>
    <w:rsid w:val="00B3455F"/>
    <w:rsid w:val="00B345BE"/>
    <w:rsid w:val="00B3465D"/>
    <w:rsid w:val="00B348AF"/>
    <w:rsid w:val="00B348EB"/>
    <w:rsid w:val="00B349A4"/>
    <w:rsid w:val="00B34A14"/>
    <w:rsid w:val="00B34B57"/>
    <w:rsid w:val="00B34BAB"/>
    <w:rsid w:val="00B34BEB"/>
    <w:rsid w:val="00B34D98"/>
    <w:rsid w:val="00B34E3A"/>
    <w:rsid w:val="00B34EF6"/>
    <w:rsid w:val="00B34F0F"/>
    <w:rsid w:val="00B34F12"/>
    <w:rsid w:val="00B34F1D"/>
    <w:rsid w:val="00B34F70"/>
    <w:rsid w:val="00B34FEA"/>
    <w:rsid w:val="00B3506D"/>
    <w:rsid w:val="00B350F7"/>
    <w:rsid w:val="00B35249"/>
    <w:rsid w:val="00B3529E"/>
    <w:rsid w:val="00B3539C"/>
    <w:rsid w:val="00B3545E"/>
    <w:rsid w:val="00B35460"/>
    <w:rsid w:val="00B35463"/>
    <w:rsid w:val="00B356FF"/>
    <w:rsid w:val="00B35728"/>
    <w:rsid w:val="00B35786"/>
    <w:rsid w:val="00B357DC"/>
    <w:rsid w:val="00B358B7"/>
    <w:rsid w:val="00B3590B"/>
    <w:rsid w:val="00B35B54"/>
    <w:rsid w:val="00B35DF2"/>
    <w:rsid w:val="00B35EFC"/>
    <w:rsid w:val="00B35F75"/>
    <w:rsid w:val="00B3605A"/>
    <w:rsid w:val="00B360DD"/>
    <w:rsid w:val="00B36306"/>
    <w:rsid w:val="00B36317"/>
    <w:rsid w:val="00B36349"/>
    <w:rsid w:val="00B363CD"/>
    <w:rsid w:val="00B363DA"/>
    <w:rsid w:val="00B365C4"/>
    <w:rsid w:val="00B365CC"/>
    <w:rsid w:val="00B36695"/>
    <w:rsid w:val="00B36872"/>
    <w:rsid w:val="00B368A7"/>
    <w:rsid w:val="00B3692A"/>
    <w:rsid w:val="00B369FE"/>
    <w:rsid w:val="00B36A29"/>
    <w:rsid w:val="00B36B82"/>
    <w:rsid w:val="00B36BCC"/>
    <w:rsid w:val="00B36F78"/>
    <w:rsid w:val="00B36FE2"/>
    <w:rsid w:val="00B37346"/>
    <w:rsid w:val="00B37376"/>
    <w:rsid w:val="00B37414"/>
    <w:rsid w:val="00B37467"/>
    <w:rsid w:val="00B37536"/>
    <w:rsid w:val="00B3764F"/>
    <w:rsid w:val="00B376D8"/>
    <w:rsid w:val="00B3777D"/>
    <w:rsid w:val="00B37781"/>
    <w:rsid w:val="00B37952"/>
    <w:rsid w:val="00B37ADA"/>
    <w:rsid w:val="00B37E1C"/>
    <w:rsid w:val="00B37EC8"/>
    <w:rsid w:val="00B37F36"/>
    <w:rsid w:val="00B37F5F"/>
    <w:rsid w:val="00B40153"/>
    <w:rsid w:val="00B40259"/>
    <w:rsid w:val="00B40416"/>
    <w:rsid w:val="00B404F3"/>
    <w:rsid w:val="00B40689"/>
    <w:rsid w:val="00B40903"/>
    <w:rsid w:val="00B40934"/>
    <w:rsid w:val="00B4096B"/>
    <w:rsid w:val="00B40A6E"/>
    <w:rsid w:val="00B40C05"/>
    <w:rsid w:val="00B40C0F"/>
    <w:rsid w:val="00B40DAB"/>
    <w:rsid w:val="00B40E3C"/>
    <w:rsid w:val="00B40F00"/>
    <w:rsid w:val="00B40FB3"/>
    <w:rsid w:val="00B40FB6"/>
    <w:rsid w:val="00B41102"/>
    <w:rsid w:val="00B41367"/>
    <w:rsid w:val="00B414BB"/>
    <w:rsid w:val="00B414F3"/>
    <w:rsid w:val="00B41637"/>
    <w:rsid w:val="00B416E8"/>
    <w:rsid w:val="00B41710"/>
    <w:rsid w:val="00B417F0"/>
    <w:rsid w:val="00B41B49"/>
    <w:rsid w:val="00B41D1C"/>
    <w:rsid w:val="00B41D4C"/>
    <w:rsid w:val="00B41EAC"/>
    <w:rsid w:val="00B41EDC"/>
    <w:rsid w:val="00B421D1"/>
    <w:rsid w:val="00B42216"/>
    <w:rsid w:val="00B4222D"/>
    <w:rsid w:val="00B42281"/>
    <w:rsid w:val="00B4230F"/>
    <w:rsid w:val="00B42389"/>
    <w:rsid w:val="00B42444"/>
    <w:rsid w:val="00B424E6"/>
    <w:rsid w:val="00B42621"/>
    <w:rsid w:val="00B4271E"/>
    <w:rsid w:val="00B42785"/>
    <w:rsid w:val="00B4282D"/>
    <w:rsid w:val="00B428D7"/>
    <w:rsid w:val="00B42967"/>
    <w:rsid w:val="00B429F0"/>
    <w:rsid w:val="00B42DD4"/>
    <w:rsid w:val="00B42DDA"/>
    <w:rsid w:val="00B42E07"/>
    <w:rsid w:val="00B42F87"/>
    <w:rsid w:val="00B43064"/>
    <w:rsid w:val="00B43141"/>
    <w:rsid w:val="00B432F2"/>
    <w:rsid w:val="00B43543"/>
    <w:rsid w:val="00B435CB"/>
    <w:rsid w:val="00B43678"/>
    <w:rsid w:val="00B43882"/>
    <w:rsid w:val="00B438CC"/>
    <w:rsid w:val="00B439C5"/>
    <w:rsid w:val="00B43A28"/>
    <w:rsid w:val="00B43AC7"/>
    <w:rsid w:val="00B43B3F"/>
    <w:rsid w:val="00B43BA7"/>
    <w:rsid w:val="00B43D75"/>
    <w:rsid w:val="00B43E08"/>
    <w:rsid w:val="00B43F2E"/>
    <w:rsid w:val="00B44071"/>
    <w:rsid w:val="00B4413B"/>
    <w:rsid w:val="00B441D8"/>
    <w:rsid w:val="00B44364"/>
    <w:rsid w:val="00B44576"/>
    <w:rsid w:val="00B445EE"/>
    <w:rsid w:val="00B44665"/>
    <w:rsid w:val="00B447BA"/>
    <w:rsid w:val="00B44891"/>
    <w:rsid w:val="00B4489F"/>
    <w:rsid w:val="00B44999"/>
    <w:rsid w:val="00B44BE8"/>
    <w:rsid w:val="00B44D8B"/>
    <w:rsid w:val="00B44DF8"/>
    <w:rsid w:val="00B44F20"/>
    <w:rsid w:val="00B44FFF"/>
    <w:rsid w:val="00B4526B"/>
    <w:rsid w:val="00B45294"/>
    <w:rsid w:val="00B454B9"/>
    <w:rsid w:val="00B454E5"/>
    <w:rsid w:val="00B455EE"/>
    <w:rsid w:val="00B45683"/>
    <w:rsid w:val="00B456C0"/>
    <w:rsid w:val="00B456D3"/>
    <w:rsid w:val="00B4579B"/>
    <w:rsid w:val="00B4584E"/>
    <w:rsid w:val="00B45852"/>
    <w:rsid w:val="00B45898"/>
    <w:rsid w:val="00B458B2"/>
    <w:rsid w:val="00B4591D"/>
    <w:rsid w:val="00B4593A"/>
    <w:rsid w:val="00B45A2B"/>
    <w:rsid w:val="00B45B14"/>
    <w:rsid w:val="00B45B6C"/>
    <w:rsid w:val="00B45D8C"/>
    <w:rsid w:val="00B45EE9"/>
    <w:rsid w:val="00B46008"/>
    <w:rsid w:val="00B460C6"/>
    <w:rsid w:val="00B460F0"/>
    <w:rsid w:val="00B461CD"/>
    <w:rsid w:val="00B4643C"/>
    <w:rsid w:val="00B46451"/>
    <w:rsid w:val="00B46586"/>
    <w:rsid w:val="00B46878"/>
    <w:rsid w:val="00B46943"/>
    <w:rsid w:val="00B46A40"/>
    <w:rsid w:val="00B46A7F"/>
    <w:rsid w:val="00B46B6E"/>
    <w:rsid w:val="00B46B7F"/>
    <w:rsid w:val="00B46F3A"/>
    <w:rsid w:val="00B46F8F"/>
    <w:rsid w:val="00B47125"/>
    <w:rsid w:val="00B4727C"/>
    <w:rsid w:val="00B4755F"/>
    <w:rsid w:val="00B475A5"/>
    <w:rsid w:val="00B475FB"/>
    <w:rsid w:val="00B47623"/>
    <w:rsid w:val="00B477A7"/>
    <w:rsid w:val="00B478C6"/>
    <w:rsid w:val="00B47A01"/>
    <w:rsid w:val="00B47B37"/>
    <w:rsid w:val="00B47BBE"/>
    <w:rsid w:val="00B47C1B"/>
    <w:rsid w:val="00B47C20"/>
    <w:rsid w:val="00B47D4F"/>
    <w:rsid w:val="00B47E08"/>
    <w:rsid w:val="00B47E36"/>
    <w:rsid w:val="00B47E66"/>
    <w:rsid w:val="00B47F29"/>
    <w:rsid w:val="00B47F44"/>
    <w:rsid w:val="00B50032"/>
    <w:rsid w:val="00B50079"/>
    <w:rsid w:val="00B5008D"/>
    <w:rsid w:val="00B50385"/>
    <w:rsid w:val="00B50434"/>
    <w:rsid w:val="00B505D8"/>
    <w:rsid w:val="00B50738"/>
    <w:rsid w:val="00B507FA"/>
    <w:rsid w:val="00B50932"/>
    <w:rsid w:val="00B50A76"/>
    <w:rsid w:val="00B50BF0"/>
    <w:rsid w:val="00B50C3E"/>
    <w:rsid w:val="00B50C79"/>
    <w:rsid w:val="00B50CC2"/>
    <w:rsid w:val="00B50D58"/>
    <w:rsid w:val="00B50FCE"/>
    <w:rsid w:val="00B51033"/>
    <w:rsid w:val="00B51045"/>
    <w:rsid w:val="00B5110F"/>
    <w:rsid w:val="00B5117B"/>
    <w:rsid w:val="00B5118D"/>
    <w:rsid w:val="00B5119B"/>
    <w:rsid w:val="00B5151A"/>
    <w:rsid w:val="00B5156F"/>
    <w:rsid w:val="00B515B9"/>
    <w:rsid w:val="00B516AA"/>
    <w:rsid w:val="00B51726"/>
    <w:rsid w:val="00B51C83"/>
    <w:rsid w:val="00B51CF4"/>
    <w:rsid w:val="00B51DEE"/>
    <w:rsid w:val="00B51E0A"/>
    <w:rsid w:val="00B51ECB"/>
    <w:rsid w:val="00B51FF7"/>
    <w:rsid w:val="00B52282"/>
    <w:rsid w:val="00B52312"/>
    <w:rsid w:val="00B52372"/>
    <w:rsid w:val="00B52416"/>
    <w:rsid w:val="00B52429"/>
    <w:rsid w:val="00B5247E"/>
    <w:rsid w:val="00B524DF"/>
    <w:rsid w:val="00B524F0"/>
    <w:rsid w:val="00B5254B"/>
    <w:rsid w:val="00B52705"/>
    <w:rsid w:val="00B527D9"/>
    <w:rsid w:val="00B529B8"/>
    <w:rsid w:val="00B529F6"/>
    <w:rsid w:val="00B52B54"/>
    <w:rsid w:val="00B52CFD"/>
    <w:rsid w:val="00B52D67"/>
    <w:rsid w:val="00B52DD9"/>
    <w:rsid w:val="00B52DF2"/>
    <w:rsid w:val="00B52EA1"/>
    <w:rsid w:val="00B52FDB"/>
    <w:rsid w:val="00B5328A"/>
    <w:rsid w:val="00B532B0"/>
    <w:rsid w:val="00B533B3"/>
    <w:rsid w:val="00B533CF"/>
    <w:rsid w:val="00B535B6"/>
    <w:rsid w:val="00B53623"/>
    <w:rsid w:val="00B536BC"/>
    <w:rsid w:val="00B537F4"/>
    <w:rsid w:val="00B53A37"/>
    <w:rsid w:val="00B53D92"/>
    <w:rsid w:val="00B53D9E"/>
    <w:rsid w:val="00B53DC3"/>
    <w:rsid w:val="00B540E7"/>
    <w:rsid w:val="00B5410E"/>
    <w:rsid w:val="00B54330"/>
    <w:rsid w:val="00B5435B"/>
    <w:rsid w:val="00B543CD"/>
    <w:rsid w:val="00B54445"/>
    <w:rsid w:val="00B54624"/>
    <w:rsid w:val="00B54646"/>
    <w:rsid w:val="00B54694"/>
    <w:rsid w:val="00B5471D"/>
    <w:rsid w:val="00B5474E"/>
    <w:rsid w:val="00B5486C"/>
    <w:rsid w:val="00B54B3A"/>
    <w:rsid w:val="00B54BCD"/>
    <w:rsid w:val="00B54BE7"/>
    <w:rsid w:val="00B54C6C"/>
    <w:rsid w:val="00B54C7A"/>
    <w:rsid w:val="00B54D71"/>
    <w:rsid w:val="00B54D9C"/>
    <w:rsid w:val="00B54DB6"/>
    <w:rsid w:val="00B54E5D"/>
    <w:rsid w:val="00B54FCF"/>
    <w:rsid w:val="00B54FD9"/>
    <w:rsid w:val="00B5516A"/>
    <w:rsid w:val="00B55197"/>
    <w:rsid w:val="00B5523F"/>
    <w:rsid w:val="00B5548D"/>
    <w:rsid w:val="00B55681"/>
    <w:rsid w:val="00B5571E"/>
    <w:rsid w:val="00B55765"/>
    <w:rsid w:val="00B55772"/>
    <w:rsid w:val="00B55951"/>
    <w:rsid w:val="00B55ADE"/>
    <w:rsid w:val="00B55B05"/>
    <w:rsid w:val="00B55B38"/>
    <w:rsid w:val="00B55DA7"/>
    <w:rsid w:val="00B55EEF"/>
    <w:rsid w:val="00B55F88"/>
    <w:rsid w:val="00B55FA6"/>
    <w:rsid w:val="00B56173"/>
    <w:rsid w:val="00B56190"/>
    <w:rsid w:val="00B56215"/>
    <w:rsid w:val="00B56388"/>
    <w:rsid w:val="00B5638E"/>
    <w:rsid w:val="00B56420"/>
    <w:rsid w:val="00B56528"/>
    <w:rsid w:val="00B56637"/>
    <w:rsid w:val="00B568B8"/>
    <w:rsid w:val="00B568F6"/>
    <w:rsid w:val="00B56924"/>
    <w:rsid w:val="00B569A2"/>
    <w:rsid w:val="00B56A94"/>
    <w:rsid w:val="00B56C42"/>
    <w:rsid w:val="00B56CB1"/>
    <w:rsid w:val="00B56DF1"/>
    <w:rsid w:val="00B56E3B"/>
    <w:rsid w:val="00B56E96"/>
    <w:rsid w:val="00B56EE9"/>
    <w:rsid w:val="00B5701D"/>
    <w:rsid w:val="00B57030"/>
    <w:rsid w:val="00B570AD"/>
    <w:rsid w:val="00B5710F"/>
    <w:rsid w:val="00B571DF"/>
    <w:rsid w:val="00B571E5"/>
    <w:rsid w:val="00B57562"/>
    <w:rsid w:val="00B57575"/>
    <w:rsid w:val="00B57794"/>
    <w:rsid w:val="00B5798D"/>
    <w:rsid w:val="00B579B1"/>
    <w:rsid w:val="00B57B81"/>
    <w:rsid w:val="00B57BCC"/>
    <w:rsid w:val="00B57D8D"/>
    <w:rsid w:val="00B57DCC"/>
    <w:rsid w:val="00B57EEF"/>
    <w:rsid w:val="00B60083"/>
    <w:rsid w:val="00B600B2"/>
    <w:rsid w:val="00B60139"/>
    <w:rsid w:val="00B601C3"/>
    <w:rsid w:val="00B60514"/>
    <w:rsid w:val="00B6053E"/>
    <w:rsid w:val="00B60592"/>
    <w:rsid w:val="00B605EB"/>
    <w:rsid w:val="00B60607"/>
    <w:rsid w:val="00B6069E"/>
    <w:rsid w:val="00B60777"/>
    <w:rsid w:val="00B60798"/>
    <w:rsid w:val="00B60959"/>
    <w:rsid w:val="00B60AE4"/>
    <w:rsid w:val="00B60B22"/>
    <w:rsid w:val="00B60B2C"/>
    <w:rsid w:val="00B60D61"/>
    <w:rsid w:val="00B60E19"/>
    <w:rsid w:val="00B60E5D"/>
    <w:rsid w:val="00B60EEE"/>
    <w:rsid w:val="00B611F5"/>
    <w:rsid w:val="00B61263"/>
    <w:rsid w:val="00B613AF"/>
    <w:rsid w:val="00B6141D"/>
    <w:rsid w:val="00B61704"/>
    <w:rsid w:val="00B6181E"/>
    <w:rsid w:val="00B61833"/>
    <w:rsid w:val="00B61837"/>
    <w:rsid w:val="00B619A8"/>
    <w:rsid w:val="00B619AB"/>
    <w:rsid w:val="00B619B8"/>
    <w:rsid w:val="00B61A4D"/>
    <w:rsid w:val="00B61AD1"/>
    <w:rsid w:val="00B61B60"/>
    <w:rsid w:val="00B61C62"/>
    <w:rsid w:val="00B61CB5"/>
    <w:rsid w:val="00B61CD9"/>
    <w:rsid w:val="00B61CF3"/>
    <w:rsid w:val="00B620FC"/>
    <w:rsid w:val="00B6233E"/>
    <w:rsid w:val="00B62479"/>
    <w:rsid w:val="00B625B1"/>
    <w:rsid w:val="00B62713"/>
    <w:rsid w:val="00B62734"/>
    <w:rsid w:val="00B62867"/>
    <w:rsid w:val="00B628BA"/>
    <w:rsid w:val="00B6297E"/>
    <w:rsid w:val="00B62B29"/>
    <w:rsid w:val="00B62B49"/>
    <w:rsid w:val="00B62B72"/>
    <w:rsid w:val="00B62C25"/>
    <w:rsid w:val="00B62C36"/>
    <w:rsid w:val="00B62D0C"/>
    <w:rsid w:val="00B6303E"/>
    <w:rsid w:val="00B63068"/>
    <w:rsid w:val="00B631BB"/>
    <w:rsid w:val="00B63295"/>
    <w:rsid w:val="00B63322"/>
    <w:rsid w:val="00B635FA"/>
    <w:rsid w:val="00B63711"/>
    <w:rsid w:val="00B63809"/>
    <w:rsid w:val="00B6380D"/>
    <w:rsid w:val="00B63935"/>
    <w:rsid w:val="00B63983"/>
    <w:rsid w:val="00B63C70"/>
    <w:rsid w:val="00B63E02"/>
    <w:rsid w:val="00B63F55"/>
    <w:rsid w:val="00B6432A"/>
    <w:rsid w:val="00B6451B"/>
    <w:rsid w:val="00B645F5"/>
    <w:rsid w:val="00B64685"/>
    <w:rsid w:val="00B6471B"/>
    <w:rsid w:val="00B6477F"/>
    <w:rsid w:val="00B64812"/>
    <w:rsid w:val="00B6488B"/>
    <w:rsid w:val="00B6493C"/>
    <w:rsid w:val="00B649D1"/>
    <w:rsid w:val="00B64A2C"/>
    <w:rsid w:val="00B64A3B"/>
    <w:rsid w:val="00B64BE9"/>
    <w:rsid w:val="00B64DCA"/>
    <w:rsid w:val="00B64E44"/>
    <w:rsid w:val="00B64E5E"/>
    <w:rsid w:val="00B64EDA"/>
    <w:rsid w:val="00B64FA9"/>
    <w:rsid w:val="00B65000"/>
    <w:rsid w:val="00B65030"/>
    <w:rsid w:val="00B6514A"/>
    <w:rsid w:val="00B651A3"/>
    <w:rsid w:val="00B651C1"/>
    <w:rsid w:val="00B65338"/>
    <w:rsid w:val="00B65344"/>
    <w:rsid w:val="00B653C2"/>
    <w:rsid w:val="00B65405"/>
    <w:rsid w:val="00B6555D"/>
    <w:rsid w:val="00B65600"/>
    <w:rsid w:val="00B6571F"/>
    <w:rsid w:val="00B65867"/>
    <w:rsid w:val="00B658E7"/>
    <w:rsid w:val="00B65905"/>
    <w:rsid w:val="00B65C33"/>
    <w:rsid w:val="00B65C85"/>
    <w:rsid w:val="00B65CAC"/>
    <w:rsid w:val="00B65D80"/>
    <w:rsid w:val="00B660CA"/>
    <w:rsid w:val="00B661E9"/>
    <w:rsid w:val="00B662EC"/>
    <w:rsid w:val="00B6640F"/>
    <w:rsid w:val="00B66426"/>
    <w:rsid w:val="00B6645F"/>
    <w:rsid w:val="00B6656E"/>
    <w:rsid w:val="00B66583"/>
    <w:rsid w:val="00B6677A"/>
    <w:rsid w:val="00B6689A"/>
    <w:rsid w:val="00B66973"/>
    <w:rsid w:val="00B669CE"/>
    <w:rsid w:val="00B66ACD"/>
    <w:rsid w:val="00B66C03"/>
    <w:rsid w:val="00B66CD0"/>
    <w:rsid w:val="00B66CEB"/>
    <w:rsid w:val="00B66DED"/>
    <w:rsid w:val="00B66E44"/>
    <w:rsid w:val="00B66F59"/>
    <w:rsid w:val="00B66FE2"/>
    <w:rsid w:val="00B6714A"/>
    <w:rsid w:val="00B67304"/>
    <w:rsid w:val="00B673DD"/>
    <w:rsid w:val="00B673F5"/>
    <w:rsid w:val="00B6749B"/>
    <w:rsid w:val="00B6762A"/>
    <w:rsid w:val="00B676E9"/>
    <w:rsid w:val="00B678A4"/>
    <w:rsid w:val="00B679A4"/>
    <w:rsid w:val="00B679E1"/>
    <w:rsid w:val="00B67A9C"/>
    <w:rsid w:val="00B67B30"/>
    <w:rsid w:val="00B67E1A"/>
    <w:rsid w:val="00B67EC5"/>
    <w:rsid w:val="00B67F96"/>
    <w:rsid w:val="00B67FA5"/>
    <w:rsid w:val="00B7002B"/>
    <w:rsid w:val="00B701E5"/>
    <w:rsid w:val="00B70231"/>
    <w:rsid w:val="00B70457"/>
    <w:rsid w:val="00B70496"/>
    <w:rsid w:val="00B70684"/>
    <w:rsid w:val="00B707A8"/>
    <w:rsid w:val="00B70821"/>
    <w:rsid w:val="00B70847"/>
    <w:rsid w:val="00B708A0"/>
    <w:rsid w:val="00B7094E"/>
    <w:rsid w:val="00B709D1"/>
    <w:rsid w:val="00B70A2A"/>
    <w:rsid w:val="00B70A78"/>
    <w:rsid w:val="00B70C77"/>
    <w:rsid w:val="00B70CC3"/>
    <w:rsid w:val="00B70DA3"/>
    <w:rsid w:val="00B70E3F"/>
    <w:rsid w:val="00B70ED2"/>
    <w:rsid w:val="00B70F37"/>
    <w:rsid w:val="00B71074"/>
    <w:rsid w:val="00B71134"/>
    <w:rsid w:val="00B711C3"/>
    <w:rsid w:val="00B711CF"/>
    <w:rsid w:val="00B7123A"/>
    <w:rsid w:val="00B7135E"/>
    <w:rsid w:val="00B71380"/>
    <w:rsid w:val="00B713A1"/>
    <w:rsid w:val="00B713AA"/>
    <w:rsid w:val="00B71559"/>
    <w:rsid w:val="00B7161C"/>
    <w:rsid w:val="00B71624"/>
    <w:rsid w:val="00B71630"/>
    <w:rsid w:val="00B7176B"/>
    <w:rsid w:val="00B71824"/>
    <w:rsid w:val="00B71870"/>
    <w:rsid w:val="00B718B9"/>
    <w:rsid w:val="00B719F3"/>
    <w:rsid w:val="00B71A4E"/>
    <w:rsid w:val="00B71B20"/>
    <w:rsid w:val="00B71E15"/>
    <w:rsid w:val="00B71E27"/>
    <w:rsid w:val="00B71EA4"/>
    <w:rsid w:val="00B71EEA"/>
    <w:rsid w:val="00B71F1C"/>
    <w:rsid w:val="00B71FDE"/>
    <w:rsid w:val="00B721BD"/>
    <w:rsid w:val="00B721EE"/>
    <w:rsid w:val="00B7226D"/>
    <w:rsid w:val="00B72298"/>
    <w:rsid w:val="00B7229A"/>
    <w:rsid w:val="00B72527"/>
    <w:rsid w:val="00B72811"/>
    <w:rsid w:val="00B728FC"/>
    <w:rsid w:val="00B72974"/>
    <w:rsid w:val="00B72A06"/>
    <w:rsid w:val="00B72B4D"/>
    <w:rsid w:val="00B72BD1"/>
    <w:rsid w:val="00B72C11"/>
    <w:rsid w:val="00B7304E"/>
    <w:rsid w:val="00B7313E"/>
    <w:rsid w:val="00B73149"/>
    <w:rsid w:val="00B7334E"/>
    <w:rsid w:val="00B73361"/>
    <w:rsid w:val="00B7346D"/>
    <w:rsid w:val="00B73485"/>
    <w:rsid w:val="00B73580"/>
    <w:rsid w:val="00B735DD"/>
    <w:rsid w:val="00B735F4"/>
    <w:rsid w:val="00B735FB"/>
    <w:rsid w:val="00B736F0"/>
    <w:rsid w:val="00B73962"/>
    <w:rsid w:val="00B73ADC"/>
    <w:rsid w:val="00B74081"/>
    <w:rsid w:val="00B740A0"/>
    <w:rsid w:val="00B7470C"/>
    <w:rsid w:val="00B74749"/>
    <w:rsid w:val="00B74A4C"/>
    <w:rsid w:val="00B74C30"/>
    <w:rsid w:val="00B74D1F"/>
    <w:rsid w:val="00B74D2A"/>
    <w:rsid w:val="00B74E3F"/>
    <w:rsid w:val="00B74F43"/>
    <w:rsid w:val="00B74F9C"/>
    <w:rsid w:val="00B75060"/>
    <w:rsid w:val="00B7506B"/>
    <w:rsid w:val="00B75133"/>
    <w:rsid w:val="00B75146"/>
    <w:rsid w:val="00B75165"/>
    <w:rsid w:val="00B751D7"/>
    <w:rsid w:val="00B7533E"/>
    <w:rsid w:val="00B75417"/>
    <w:rsid w:val="00B75540"/>
    <w:rsid w:val="00B757DA"/>
    <w:rsid w:val="00B75A5E"/>
    <w:rsid w:val="00B75A7D"/>
    <w:rsid w:val="00B75B88"/>
    <w:rsid w:val="00B75D9C"/>
    <w:rsid w:val="00B75F0A"/>
    <w:rsid w:val="00B75F2A"/>
    <w:rsid w:val="00B75FDF"/>
    <w:rsid w:val="00B76013"/>
    <w:rsid w:val="00B76168"/>
    <w:rsid w:val="00B7634B"/>
    <w:rsid w:val="00B763A3"/>
    <w:rsid w:val="00B7652E"/>
    <w:rsid w:val="00B766E9"/>
    <w:rsid w:val="00B76A19"/>
    <w:rsid w:val="00B76C1E"/>
    <w:rsid w:val="00B76CCA"/>
    <w:rsid w:val="00B76D6E"/>
    <w:rsid w:val="00B76F05"/>
    <w:rsid w:val="00B76F5D"/>
    <w:rsid w:val="00B76FC5"/>
    <w:rsid w:val="00B77025"/>
    <w:rsid w:val="00B770DD"/>
    <w:rsid w:val="00B77125"/>
    <w:rsid w:val="00B771A2"/>
    <w:rsid w:val="00B77272"/>
    <w:rsid w:val="00B773AE"/>
    <w:rsid w:val="00B773B1"/>
    <w:rsid w:val="00B773DB"/>
    <w:rsid w:val="00B77415"/>
    <w:rsid w:val="00B7775F"/>
    <w:rsid w:val="00B777AF"/>
    <w:rsid w:val="00B778C3"/>
    <w:rsid w:val="00B7792A"/>
    <w:rsid w:val="00B77963"/>
    <w:rsid w:val="00B77A62"/>
    <w:rsid w:val="00B77BE2"/>
    <w:rsid w:val="00B77DBA"/>
    <w:rsid w:val="00B77E04"/>
    <w:rsid w:val="00B77F22"/>
    <w:rsid w:val="00B77F29"/>
    <w:rsid w:val="00B77F46"/>
    <w:rsid w:val="00B80159"/>
    <w:rsid w:val="00B801F2"/>
    <w:rsid w:val="00B80259"/>
    <w:rsid w:val="00B8035D"/>
    <w:rsid w:val="00B803BF"/>
    <w:rsid w:val="00B8054E"/>
    <w:rsid w:val="00B80669"/>
    <w:rsid w:val="00B8069B"/>
    <w:rsid w:val="00B8069C"/>
    <w:rsid w:val="00B8080C"/>
    <w:rsid w:val="00B80A37"/>
    <w:rsid w:val="00B80A79"/>
    <w:rsid w:val="00B80A8E"/>
    <w:rsid w:val="00B80AB9"/>
    <w:rsid w:val="00B80AD7"/>
    <w:rsid w:val="00B80B05"/>
    <w:rsid w:val="00B80C4A"/>
    <w:rsid w:val="00B80CDF"/>
    <w:rsid w:val="00B80E7F"/>
    <w:rsid w:val="00B80E9C"/>
    <w:rsid w:val="00B80F34"/>
    <w:rsid w:val="00B81091"/>
    <w:rsid w:val="00B81098"/>
    <w:rsid w:val="00B810DD"/>
    <w:rsid w:val="00B81114"/>
    <w:rsid w:val="00B81163"/>
    <w:rsid w:val="00B8125F"/>
    <w:rsid w:val="00B812AE"/>
    <w:rsid w:val="00B812D1"/>
    <w:rsid w:val="00B81374"/>
    <w:rsid w:val="00B8144C"/>
    <w:rsid w:val="00B81617"/>
    <w:rsid w:val="00B81752"/>
    <w:rsid w:val="00B81774"/>
    <w:rsid w:val="00B817DC"/>
    <w:rsid w:val="00B81869"/>
    <w:rsid w:val="00B8188C"/>
    <w:rsid w:val="00B81995"/>
    <w:rsid w:val="00B819E8"/>
    <w:rsid w:val="00B819E9"/>
    <w:rsid w:val="00B81A6F"/>
    <w:rsid w:val="00B81B87"/>
    <w:rsid w:val="00B81C03"/>
    <w:rsid w:val="00B81CBA"/>
    <w:rsid w:val="00B81D7A"/>
    <w:rsid w:val="00B81FBF"/>
    <w:rsid w:val="00B8208C"/>
    <w:rsid w:val="00B82106"/>
    <w:rsid w:val="00B82214"/>
    <w:rsid w:val="00B8228A"/>
    <w:rsid w:val="00B822C2"/>
    <w:rsid w:val="00B82428"/>
    <w:rsid w:val="00B82456"/>
    <w:rsid w:val="00B825E1"/>
    <w:rsid w:val="00B826CF"/>
    <w:rsid w:val="00B82736"/>
    <w:rsid w:val="00B82746"/>
    <w:rsid w:val="00B82812"/>
    <w:rsid w:val="00B82999"/>
    <w:rsid w:val="00B82C9A"/>
    <w:rsid w:val="00B82D08"/>
    <w:rsid w:val="00B82E20"/>
    <w:rsid w:val="00B82FDD"/>
    <w:rsid w:val="00B83042"/>
    <w:rsid w:val="00B8312A"/>
    <w:rsid w:val="00B8315E"/>
    <w:rsid w:val="00B8320A"/>
    <w:rsid w:val="00B83293"/>
    <w:rsid w:val="00B834EF"/>
    <w:rsid w:val="00B83638"/>
    <w:rsid w:val="00B83671"/>
    <w:rsid w:val="00B836E3"/>
    <w:rsid w:val="00B836ED"/>
    <w:rsid w:val="00B836F5"/>
    <w:rsid w:val="00B838F3"/>
    <w:rsid w:val="00B83AE6"/>
    <w:rsid w:val="00B83B81"/>
    <w:rsid w:val="00B83DCE"/>
    <w:rsid w:val="00B83F49"/>
    <w:rsid w:val="00B84000"/>
    <w:rsid w:val="00B840A8"/>
    <w:rsid w:val="00B840D9"/>
    <w:rsid w:val="00B84162"/>
    <w:rsid w:val="00B8419F"/>
    <w:rsid w:val="00B84299"/>
    <w:rsid w:val="00B842AF"/>
    <w:rsid w:val="00B8439F"/>
    <w:rsid w:val="00B84421"/>
    <w:rsid w:val="00B84423"/>
    <w:rsid w:val="00B844FE"/>
    <w:rsid w:val="00B84548"/>
    <w:rsid w:val="00B84556"/>
    <w:rsid w:val="00B846B5"/>
    <w:rsid w:val="00B8488D"/>
    <w:rsid w:val="00B84927"/>
    <w:rsid w:val="00B84958"/>
    <w:rsid w:val="00B849BF"/>
    <w:rsid w:val="00B84C83"/>
    <w:rsid w:val="00B84C91"/>
    <w:rsid w:val="00B84D01"/>
    <w:rsid w:val="00B84D93"/>
    <w:rsid w:val="00B84D95"/>
    <w:rsid w:val="00B84DB9"/>
    <w:rsid w:val="00B84E0E"/>
    <w:rsid w:val="00B84E2D"/>
    <w:rsid w:val="00B84E4F"/>
    <w:rsid w:val="00B851A6"/>
    <w:rsid w:val="00B8524C"/>
    <w:rsid w:val="00B8530C"/>
    <w:rsid w:val="00B85381"/>
    <w:rsid w:val="00B85479"/>
    <w:rsid w:val="00B8589E"/>
    <w:rsid w:val="00B8599A"/>
    <w:rsid w:val="00B859F6"/>
    <w:rsid w:val="00B85A17"/>
    <w:rsid w:val="00B85A2B"/>
    <w:rsid w:val="00B85ADE"/>
    <w:rsid w:val="00B85E05"/>
    <w:rsid w:val="00B85EF3"/>
    <w:rsid w:val="00B85F2E"/>
    <w:rsid w:val="00B85F48"/>
    <w:rsid w:val="00B85FDD"/>
    <w:rsid w:val="00B8604F"/>
    <w:rsid w:val="00B862BD"/>
    <w:rsid w:val="00B86349"/>
    <w:rsid w:val="00B86360"/>
    <w:rsid w:val="00B865B3"/>
    <w:rsid w:val="00B865B9"/>
    <w:rsid w:val="00B865F4"/>
    <w:rsid w:val="00B86629"/>
    <w:rsid w:val="00B86736"/>
    <w:rsid w:val="00B86848"/>
    <w:rsid w:val="00B868EB"/>
    <w:rsid w:val="00B868FB"/>
    <w:rsid w:val="00B8693B"/>
    <w:rsid w:val="00B86AFB"/>
    <w:rsid w:val="00B86B21"/>
    <w:rsid w:val="00B86B59"/>
    <w:rsid w:val="00B86B90"/>
    <w:rsid w:val="00B86B97"/>
    <w:rsid w:val="00B86BFD"/>
    <w:rsid w:val="00B86CB0"/>
    <w:rsid w:val="00B86EAE"/>
    <w:rsid w:val="00B8722B"/>
    <w:rsid w:val="00B872FC"/>
    <w:rsid w:val="00B87310"/>
    <w:rsid w:val="00B87317"/>
    <w:rsid w:val="00B873B0"/>
    <w:rsid w:val="00B874E0"/>
    <w:rsid w:val="00B87585"/>
    <w:rsid w:val="00B875ED"/>
    <w:rsid w:val="00B87614"/>
    <w:rsid w:val="00B8772A"/>
    <w:rsid w:val="00B87BBD"/>
    <w:rsid w:val="00B87BD9"/>
    <w:rsid w:val="00B87C46"/>
    <w:rsid w:val="00B87CCE"/>
    <w:rsid w:val="00B87D74"/>
    <w:rsid w:val="00B87DAB"/>
    <w:rsid w:val="00B87E15"/>
    <w:rsid w:val="00B87FCF"/>
    <w:rsid w:val="00B87FEF"/>
    <w:rsid w:val="00B900B5"/>
    <w:rsid w:val="00B901DC"/>
    <w:rsid w:val="00B90216"/>
    <w:rsid w:val="00B902FF"/>
    <w:rsid w:val="00B90301"/>
    <w:rsid w:val="00B90439"/>
    <w:rsid w:val="00B9058C"/>
    <w:rsid w:val="00B905E0"/>
    <w:rsid w:val="00B90682"/>
    <w:rsid w:val="00B9073B"/>
    <w:rsid w:val="00B907F0"/>
    <w:rsid w:val="00B90805"/>
    <w:rsid w:val="00B908D5"/>
    <w:rsid w:val="00B908EE"/>
    <w:rsid w:val="00B908F5"/>
    <w:rsid w:val="00B90963"/>
    <w:rsid w:val="00B90ACD"/>
    <w:rsid w:val="00B90C44"/>
    <w:rsid w:val="00B90C52"/>
    <w:rsid w:val="00B90D52"/>
    <w:rsid w:val="00B90E7D"/>
    <w:rsid w:val="00B90F93"/>
    <w:rsid w:val="00B90FE2"/>
    <w:rsid w:val="00B9104B"/>
    <w:rsid w:val="00B91164"/>
    <w:rsid w:val="00B91424"/>
    <w:rsid w:val="00B91466"/>
    <w:rsid w:val="00B9164E"/>
    <w:rsid w:val="00B916B3"/>
    <w:rsid w:val="00B918D4"/>
    <w:rsid w:val="00B91902"/>
    <w:rsid w:val="00B91906"/>
    <w:rsid w:val="00B919AC"/>
    <w:rsid w:val="00B919E4"/>
    <w:rsid w:val="00B919FC"/>
    <w:rsid w:val="00B91AD3"/>
    <w:rsid w:val="00B91AF9"/>
    <w:rsid w:val="00B91B96"/>
    <w:rsid w:val="00B91BB0"/>
    <w:rsid w:val="00B91C20"/>
    <w:rsid w:val="00B91DA2"/>
    <w:rsid w:val="00B91EEF"/>
    <w:rsid w:val="00B91F5A"/>
    <w:rsid w:val="00B92072"/>
    <w:rsid w:val="00B921D0"/>
    <w:rsid w:val="00B921E0"/>
    <w:rsid w:val="00B922F9"/>
    <w:rsid w:val="00B92326"/>
    <w:rsid w:val="00B925F5"/>
    <w:rsid w:val="00B925F8"/>
    <w:rsid w:val="00B92695"/>
    <w:rsid w:val="00B92696"/>
    <w:rsid w:val="00B926E6"/>
    <w:rsid w:val="00B92714"/>
    <w:rsid w:val="00B92892"/>
    <w:rsid w:val="00B92BA2"/>
    <w:rsid w:val="00B92BC4"/>
    <w:rsid w:val="00B92CB5"/>
    <w:rsid w:val="00B92CC1"/>
    <w:rsid w:val="00B92CD1"/>
    <w:rsid w:val="00B92D15"/>
    <w:rsid w:val="00B92D51"/>
    <w:rsid w:val="00B92F74"/>
    <w:rsid w:val="00B93064"/>
    <w:rsid w:val="00B93172"/>
    <w:rsid w:val="00B93196"/>
    <w:rsid w:val="00B9329F"/>
    <w:rsid w:val="00B932A0"/>
    <w:rsid w:val="00B93522"/>
    <w:rsid w:val="00B93607"/>
    <w:rsid w:val="00B93687"/>
    <w:rsid w:val="00B936B2"/>
    <w:rsid w:val="00B936BE"/>
    <w:rsid w:val="00B93740"/>
    <w:rsid w:val="00B93768"/>
    <w:rsid w:val="00B93985"/>
    <w:rsid w:val="00B939D0"/>
    <w:rsid w:val="00B93A91"/>
    <w:rsid w:val="00B93B77"/>
    <w:rsid w:val="00B93B8F"/>
    <w:rsid w:val="00B93D48"/>
    <w:rsid w:val="00B93D82"/>
    <w:rsid w:val="00B93DD7"/>
    <w:rsid w:val="00B93FCF"/>
    <w:rsid w:val="00B94095"/>
    <w:rsid w:val="00B9431E"/>
    <w:rsid w:val="00B943EB"/>
    <w:rsid w:val="00B94489"/>
    <w:rsid w:val="00B944C0"/>
    <w:rsid w:val="00B944ED"/>
    <w:rsid w:val="00B944F3"/>
    <w:rsid w:val="00B94833"/>
    <w:rsid w:val="00B948C4"/>
    <w:rsid w:val="00B948EF"/>
    <w:rsid w:val="00B94B04"/>
    <w:rsid w:val="00B94C2D"/>
    <w:rsid w:val="00B94C6A"/>
    <w:rsid w:val="00B94D06"/>
    <w:rsid w:val="00B94DF9"/>
    <w:rsid w:val="00B94E0B"/>
    <w:rsid w:val="00B94FA6"/>
    <w:rsid w:val="00B94FDF"/>
    <w:rsid w:val="00B9502A"/>
    <w:rsid w:val="00B95032"/>
    <w:rsid w:val="00B95155"/>
    <w:rsid w:val="00B95175"/>
    <w:rsid w:val="00B951BD"/>
    <w:rsid w:val="00B95219"/>
    <w:rsid w:val="00B95253"/>
    <w:rsid w:val="00B9537B"/>
    <w:rsid w:val="00B9545D"/>
    <w:rsid w:val="00B9556F"/>
    <w:rsid w:val="00B95685"/>
    <w:rsid w:val="00B95701"/>
    <w:rsid w:val="00B95892"/>
    <w:rsid w:val="00B959BA"/>
    <w:rsid w:val="00B95A16"/>
    <w:rsid w:val="00B95AEC"/>
    <w:rsid w:val="00B95B18"/>
    <w:rsid w:val="00B95B60"/>
    <w:rsid w:val="00B95C43"/>
    <w:rsid w:val="00B95C53"/>
    <w:rsid w:val="00B95CD8"/>
    <w:rsid w:val="00B95CE5"/>
    <w:rsid w:val="00B95D25"/>
    <w:rsid w:val="00B95D8E"/>
    <w:rsid w:val="00B95E5D"/>
    <w:rsid w:val="00B95FC3"/>
    <w:rsid w:val="00B9607B"/>
    <w:rsid w:val="00B961D9"/>
    <w:rsid w:val="00B96209"/>
    <w:rsid w:val="00B962A7"/>
    <w:rsid w:val="00B962CB"/>
    <w:rsid w:val="00B96339"/>
    <w:rsid w:val="00B96418"/>
    <w:rsid w:val="00B964E8"/>
    <w:rsid w:val="00B9655C"/>
    <w:rsid w:val="00B9657A"/>
    <w:rsid w:val="00B96698"/>
    <w:rsid w:val="00B96733"/>
    <w:rsid w:val="00B96758"/>
    <w:rsid w:val="00B9678E"/>
    <w:rsid w:val="00B967BF"/>
    <w:rsid w:val="00B967C5"/>
    <w:rsid w:val="00B96804"/>
    <w:rsid w:val="00B96836"/>
    <w:rsid w:val="00B96843"/>
    <w:rsid w:val="00B96889"/>
    <w:rsid w:val="00B96A3C"/>
    <w:rsid w:val="00B96AA4"/>
    <w:rsid w:val="00B96B18"/>
    <w:rsid w:val="00B96B4C"/>
    <w:rsid w:val="00B96C00"/>
    <w:rsid w:val="00B96CEB"/>
    <w:rsid w:val="00B96D25"/>
    <w:rsid w:val="00B96DE6"/>
    <w:rsid w:val="00B96E44"/>
    <w:rsid w:val="00B96E57"/>
    <w:rsid w:val="00B96ECD"/>
    <w:rsid w:val="00B96EFD"/>
    <w:rsid w:val="00B96F70"/>
    <w:rsid w:val="00B971A1"/>
    <w:rsid w:val="00B972F6"/>
    <w:rsid w:val="00B97383"/>
    <w:rsid w:val="00B97391"/>
    <w:rsid w:val="00B973EA"/>
    <w:rsid w:val="00B973F8"/>
    <w:rsid w:val="00B97459"/>
    <w:rsid w:val="00B97489"/>
    <w:rsid w:val="00B975EF"/>
    <w:rsid w:val="00B9764C"/>
    <w:rsid w:val="00B97721"/>
    <w:rsid w:val="00B97862"/>
    <w:rsid w:val="00B97881"/>
    <w:rsid w:val="00B978EA"/>
    <w:rsid w:val="00B97E9C"/>
    <w:rsid w:val="00B97ED7"/>
    <w:rsid w:val="00B97F07"/>
    <w:rsid w:val="00B97F31"/>
    <w:rsid w:val="00B97FCB"/>
    <w:rsid w:val="00BA000E"/>
    <w:rsid w:val="00BA0096"/>
    <w:rsid w:val="00BA00F8"/>
    <w:rsid w:val="00BA014F"/>
    <w:rsid w:val="00BA02A4"/>
    <w:rsid w:val="00BA030B"/>
    <w:rsid w:val="00BA03A9"/>
    <w:rsid w:val="00BA03F2"/>
    <w:rsid w:val="00BA04FD"/>
    <w:rsid w:val="00BA05A6"/>
    <w:rsid w:val="00BA05EA"/>
    <w:rsid w:val="00BA06D0"/>
    <w:rsid w:val="00BA07C1"/>
    <w:rsid w:val="00BA07C8"/>
    <w:rsid w:val="00BA07F5"/>
    <w:rsid w:val="00BA0912"/>
    <w:rsid w:val="00BA09E6"/>
    <w:rsid w:val="00BA09FC"/>
    <w:rsid w:val="00BA0AF2"/>
    <w:rsid w:val="00BA0B27"/>
    <w:rsid w:val="00BA0EE1"/>
    <w:rsid w:val="00BA1056"/>
    <w:rsid w:val="00BA1077"/>
    <w:rsid w:val="00BA10C3"/>
    <w:rsid w:val="00BA110D"/>
    <w:rsid w:val="00BA1110"/>
    <w:rsid w:val="00BA1284"/>
    <w:rsid w:val="00BA1298"/>
    <w:rsid w:val="00BA136C"/>
    <w:rsid w:val="00BA13FB"/>
    <w:rsid w:val="00BA149F"/>
    <w:rsid w:val="00BA150E"/>
    <w:rsid w:val="00BA184C"/>
    <w:rsid w:val="00BA187C"/>
    <w:rsid w:val="00BA18FC"/>
    <w:rsid w:val="00BA1BAE"/>
    <w:rsid w:val="00BA1BED"/>
    <w:rsid w:val="00BA1C99"/>
    <w:rsid w:val="00BA1EBB"/>
    <w:rsid w:val="00BA20B7"/>
    <w:rsid w:val="00BA227B"/>
    <w:rsid w:val="00BA2325"/>
    <w:rsid w:val="00BA23B8"/>
    <w:rsid w:val="00BA23FC"/>
    <w:rsid w:val="00BA2427"/>
    <w:rsid w:val="00BA24C0"/>
    <w:rsid w:val="00BA25F8"/>
    <w:rsid w:val="00BA2755"/>
    <w:rsid w:val="00BA27D5"/>
    <w:rsid w:val="00BA28F2"/>
    <w:rsid w:val="00BA2962"/>
    <w:rsid w:val="00BA29C9"/>
    <w:rsid w:val="00BA29E6"/>
    <w:rsid w:val="00BA2AE4"/>
    <w:rsid w:val="00BA2B12"/>
    <w:rsid w:val="00BA2BD0"/>
    <w:rsid w:val="00BA2D16"/>
    <w:rsid w:val="00BA2DAB"/>
    <w:rsid w:val="00BA2E08"/>
    <w:rsid w:val="00BA2E0D"/>
    <w:rsid w:val="00BA2F8E"/>
    <w:rsid w:val="00BA2FE4"/>
    <w:rsid w:val="00BA3036"/>
    <w:rsid w:val="00BA31EC"/>
    <w:rsid w:val="00BA32E3"/>
    <w:rsid w:val="00BA32FE"/>
    <w:rsid w:val="00BA3387"/>
    <w:rsid w:val="00BA3535"/>
    <w:rsid w:val="00BA3629"/>
    <w:rsid w:val="00BA3724"/>
    <w:rsid w:val="00BA375C"/>
    <w:rsid w:val="00BA377D"/>
    <w:rsid w:val="00BA37E9"/>
    <w:rsid w:val="00BA3965"/>
    <w:rsid w:val="00BA39B1"/>
    <w:rsid w:val="00BA3A02"/>
    <w:rsid w:val="00BA3BF4"/>
    <w:rsid w:val="00BA3E16"/>
    <w:rsid w:val="00BA3FCC"/>
    <w:rsid w:val="00BA414A"/>
    <w:rsid w:val="00BA415C"/>
    <w:rsid w:val="00BA4188"/>
    <w:rsid w:val="00BA41BB"/>
    <w:rsid w:val="00BA420C"/>
    <w:rsid w:val="00BA4530"/>
    <w:rsid w:val="00BA4559"/>
    <w:rsid w:val="00BA460D"/>
    <w:rsid w:val="00BA464E"/>
    <w:rsid w:val="00BA47F6"/>
    <w:rsid w:val="00BA47FE"/>
    <w:rsid w:val="00BA48C9"/>
    <w:rsid w:val="00BA4B73"/>
    <w:rsid w:val="00BA4C89"/>
    <w:rsid w:val="00BA4D65"/>
    <w:rsid w:val="00BA4DAC"/>
    <w:rsid w:val="00BA4EF5"/>
    <w:rsid w:val="00BA4F06"/>
    <w:rsid w:val="00BA4F9C"/>
    <w:rsid w:val="00BA5208"/>
    <w:rsid w:val="00BA525B"/>
    <w:rsid w:val="00BA5336"/>
    <w:rsid w:val="00BA5580"/>
    <w:rsid w:val="00BA5734"/>
    <w:rsid w:val="00BA5866"/>
    <w:rsid w:val="00BA5ABF"/>
    <w:rsid w:val="00BA5BDB"/>
    <w:rsid w:val="00BA5CAE"/>
    <w:rsid w:val="00BA5D9A"/>
    <w:rsid w:val="00BA5E79"/>
    <w:rsid w:val="00BA5E8B"/>
    <w:rsid w:val="00BA5EAD"/>
    <w:rsid w:val="00BA5F3D"/>
    <w:rsid w:val="00BA5FBE"/>
    <w:rsid w:val="00BA6080"/>
    <w:rsid w:val="00BA60B9"/>
    <w:rsid w:val="00BA619F"/>
    <w:rsid w:val="00BA6254"/>
    <w:rsid w:val="00BA6272"/>
    <w:rsid w:val="00BA6430"/>
    <w:rsid w:val="00BA65BB"/>
    <w:rsid w:val="00BA65C2"/>
    <w:rsid w:val="00BA6645"/>
    <w:rsid w:val="00BA672D"/>
    <w:rsid w:val="00BA6793"/>
    <w:rsid w:val="00BA67E6"/>
    <w:rsid w:val="00BA68C9"/>
    <w:rsid w:val="00BA6934"/>
    <w:rsid w:val="00BA6A94"/>
    <w:rsid w:val="00BA6B8D"/>
    <w:rsid w:val="00BA6E15"/>
    <w:rsid w:val="00BA6EF9"/>
    <w:rsid w:val="00BA6FF2"/>
    <w:rsid w:val="00BA733C"/>
    <w:rsid w:val="00BA736B"/>
    <w:rsid w:val="00BA7428"/>
    <w:rsid w:val="00BA75BD"/>
    <w:rsid w:val="00BA75DC"/>
    <w:rsid w:val="00BA7630"/>
    <w:rsid w:val="00BA7742"/>
    <w:rsid w:val="00BA7873"/>
    <w:rsid w:val="00BA789E"/>
    <w:rsid w:val="00BA78EB"/>
    <w:rsid w:val="00BA7A40"/>
    <w:rsid w:val="00BA7BDF"/>
    <w:rsid w:val="00BA7CEF"/>
    <w:rsid w:val="00BA7DA1"/>
    <w:rsid w:val="00BA7DAA"/>
    <w:rsid w:val="00BA7E68"/>
    <w:rsid w:val="00BA7F5E"/>
    <w:rsid w:val="00BB002B"/>
    <w:rsid w:val="00BB002C"/>
    <w:rsid w:val="00BB006F"/>
    <w:rsid w:val="00BB01B6"/>
    <w:rsid w:val="00BB0297"/>
    <w:rsid w:val="00BB05BB"/>
    <w:rsid w:val="00BB05BD"/>
    <w:rsid w:val="00BB061F"/>
    <w:rsid w:val="00BB0773"/>
    <w:rsid w:val="00BB0784"/>
    <w:rsid w:val="00BB0796"/>
    <w:rsid w:val="00BB07C1"/>
    <w:rsid w:val="00BB07EA"/>
    <w:rsid w:val="00BB083B"/>
    <w:rsid w:val="00BB087A"/>
    <w:rsid w:val="00BB08A2"/>
    <w:rsid w:val="00BB08DB"/>
    <w:rsid w:val="00BB0981"/>
    <w:rsid w:val="00BB0A05"/>
    <w:rsid w:val="00BB0B83"/>
    <w:rsid w:val="00BB0BE4"/>
    <w:rsid w:val="00BB0E27"/>
    <w:rsid w:val="00BB0EB7"/>
    <w:rsid w:val="00BB0FF0"/>
    <w:rsid w:val="00BB1015"/>
    <w:rsid w:val="00BB1061"/>
    <w:rsid w:val="00BB10B9"/>
    <w:rsid w:val="00BB1118"/>
    <w:rsid w:val="00BB11F8"/>
    <w:rsid w:val="00BB126E"/>
    <w:rsid w:val="00BB129C"/>
    <w:rsid w:val="00BB13DC"/>
    <w:rsid w:val="00BB13F0"/>
    <w:rsid w:val="00BB1493"/>
    <w:rsid w:val="00BB1628"/>
    <w:rsid w:val="00BB1797"/>
    <w:rsid w:val="00BB17FC"/>
    <w:rsid w:val="00BB1843"/>
    <w:rsid w:val="00BB1883"/>
    <w:rsid w:val="00BB1979"/>
    <w:rsid w:val="00BB1985"/>
    <w:rsid w:val="00BB19B2"/>
    <w:rsid w:val="00BB1BBF"/>
    <w:rsid w:val="00BB1C2E"/>
    <w:rsid w:val="00BB1C35"/>
    <w:rsid w:val="00BB1C41"/>
    <w:rsid w:val="00BB1D32"/>
    <w:rsid w:val="00BB1D36"/>
    <w:rsid w:val="00BB1FDF"/>
    <w:rsid w:val="00BB20AC"/>
    <w:rsid w:val="00BB20BE"/>
    <w:rsid w:val="00BB21F8"/>
    <w:rsid w:val="00BB26EB"/>
    <w:rsid w:val="00BB27B8"/>
    <w:rsid w:val="00BB2899"/>
    <w:rsid w:val="00BB292A"/>
    <w:rsid w:val="00BB292D"/>
    <w:rsid w:val="00BB2CCE"/>
    <w:rsid w:val="00BB2D94"/>
    <w:rsid w:val="00BB2E76"/>
    <w:rsid w:val="00BB2E90"/>
    <w:rsid w:val="00BB2F6F"/>
    <w:rsid w:val="00BB3057"/>
    <w:rsid w:val="00BB3069"/>
    <w:rsid w:val="00BB3296"/>
    <w:rsid w:val="00BB32C9"/>
    <w:rsid w:val="00BB3314"/>
    <w:rsid w:val="00BB3337"/>
    <w:rsid w:val="00BB333D"/>
    <w:rsid w:val="00BB33BB"/>
    <w:rsid w:val="00BB33D4"/>
    <w:rsid w:val="00BB344B"/>
    <w:rsid w:val="00BB346C"/>
    <w:rsid w:val="00BB3534"/>
    <w:rsid w:val="00BB3620"/>
    <w:rsid w:val="00BB3664"/>
    <w:rsid w:val="00BB37EC"/>
    <w:rsid w:val="00BB3AFA"/>
    <w:rsid w:val="00BB3C40"/>
    <w:rsid w:val="00BB3CF4"/>
    <w:rsid w:val="00BB3EFF"/>
    <w:rsid w:val="00BB3F64"/>
    <w:rsid w:val="00BB40C1"/>
    <w:rsid w:val="00BB420E"/>
    <w:rsid w:val="00BB4374"/>
    <w:rsid w:val="00BB4386"/>
    <w:rsid w:val="00BB441E"/>
    <w:rsid w:val="00BB4646"/>
    <w:rsid w:val="00BB46A7"/>
    <w:rsid w:val="00BB4832"/>
    <w:rsid w:val="00BB4849"/>
    <w:rsid w:val="00BB49FE"/>
    <w:rsid w:val="00BB4A0C"/>
    <w:rsid w:val="00BB4AD9"/>
    <w:rsid w:val="00BB4B32"/>
    <w:rsid w:val="00BB4B8F"/>
    <w:rsid w:val="00BB4D03"/>
    <w:rsid w:val="00BB4E7E"/>
    <w:rsid w:val="00BB4F49"/>
    <w:rsid w:val="00BB4FA7"/>
    <w:rsid w:val="00BB5014"/>
    <w:rsid w:val="00BB5114"/>
    <w:rsid w:val="00BB5125"/>
    <w:rsid w:val="00BB5487"/>
    <w:rsid w:val="00BB54AC"/>
    <w:rsid w:val="00BB54AD"/>
    <w:rsid w:val="00BB567B"/>
    <w:rsid w:val="00BB5680"/>
    <w:rsid w:val="00BB56B4"/>
    <w:rsid w:val="00BB575C"/>
    <w:rsid w:val="00BB59E8"/>
    <w:rsid w:val="00BB5B38"/>
    <w:rsid w:val="00BB5B3B"/>
    <w:rsid w:val="00BB5C3A"/>
    <w:rsid w:val="00BB5DD5"/>
    <w:rsid w:val="00BB5F71"/>
    <w:rsid w:val="00BB5FFD"/>
    <w:rsid w:val="00BB60CA"/>
    <w:rsid w:val="00BB6302"/>
    <w:rsid w:val="00BB639C"/>
    <w:rsid w:val="00BB63CE"/>
    <w:rsid w:val="00BB64F4"/>
    <w:rsid w:val="00BB6512"/>
    <w:rsid w:val="00BB6613"/>
    <w:rsid w:val="00BB69B3"/>
    <w:rsid w:val="00BB6B91"/>
    <w:rsid w:val="00BB6CA0"/>
    <w:rsid w:val="00BB6CE4"/>
    <w:rsid w:val="00BB6D3D"/>
    <w:rsid w:val="00BB6D5B"/>
    <w:rsid w:val="00BB6E22"/>
    <w:rsid w:val="00BB6E4E"/>
    <w:rsid w:val="00BB6EC9"/>
    <w:rsid w:val="00BB6ECF"/>
    <w:rsid w:val="00BB7060"/>
    <w:rsid w:val="00BB72C8"/>
    <w:rsid w:val="00BB72E0"/>
    <w:rsid w:val="00BB73A6"/>
    <w:rsid w:val="00BB742F"/>
    <w:rsid w:val="00BB7556"/>
    <w:rsid w:val="00BB7564"/>
    <w:rsid w:val="00BB7582"/>
    <w:rsid w:val="00BB7750"/>
    <w:rsid w:val="00BB77C9"/>
    <w:rsid w:val="00BB7807"/>
    <w:rsid w:val="00BB7AAD"/>
    <w:rsid w:val="00BB7AE7"/>
    <w:rsid w:val="00BB7BC2"/>
    <w:rsid w:val="00BB7CD3"/>
    <w:rsid w:val="00BB7DBC"/>
    <w:rsid w:val="00BB7E78"/>
    <w:rsid w:val="00BB7F57"/>
    <w:rsid w:val="00BB7F7F"/>
    <w:rsid w:val="00BC0081"/>
    <w:rsid w:val="00BC01C3"/>
    <w:rsid w:val="00BC02EF"/>
    <w:rsid w:val="00BC0347"/>
    <w:rsid w:val="00BC034A"/>
    <w:rsid w:val="00BC046D"/>
    <w:rsid w:val="00BC0484"/>
    <w:rsid w:val="00BC0498"/>
    <w:rsid w:val="00BC0611"/>
    <w:rsid w:val="00BC06D8"/>
    <w:rsid w:val="00BC09C3"/>
    <w:rsid w:val="00BC0B98"/>
    <w:rsid w:val="00BC0C26"/>
    <w:rsid w:val="00BC0DF9"/>
    <w:rsid w:val="00BC0F86"/>
    <w:rsid w:val="00BC101E"/>
    <w:rsid w:val="00BC1159"/>
    <w:rsid w:val="00BC1162"/>
    <w:rsid w:val="00BC122F"/>
    <w:rsid w:val="00BC134A"/>
    <w:rsid w:val="00BC142F"/>
    <w:rsid w:val="00BC1430"/>
    <w:rsid w:val="00BC1449"/>
    <w:rsid w:val="00BC14E2"/>
    <w:rsid w:val="00BC1512"/>
    <w:rsid w:val="00BC1547"/>
    <w:rsid w:val="00BC1580"/>
    <w:rsid w:val="00BC16B8"/>
    <w:rsid w:val="00BC1750"/>
    <w:rsid w:val="00BC1969"/>
    <w:rsid w:val="00BC1B8B"/>
    <w:rsid w:val="00BC1BF5"/>
    <w:rsid w:val="00BC1C5D"/>
    <w:rsid w:val="00BC1CE4"/>
    <w:rsid w:val="00BC1EA0"/>
    <w:rsid w:val="00BC1F19"/>
    <w:rsid w:val="00BC2036"/>
    <w:rsid w:val="00BC222E"/>
    <w:rsid w:val="00BC226D"/>
    <w:rsid w:val="00BC22BA"/>
    <w:rsid w:val="00BC286A"/>
    <w:rsid w:val="00BC2A33"/>
    <w:rsid w:val="00BC2BA1"/>
    <w:rsid w:val="00BC2D08"/>
    <w:rsid w:val="00BC2D76"/>
    <w:rsid w:val="00BC2E80"/>
    <w:rsid w:val="00BC3031"/>
    <w:rsid w:val="00BC30F8"/>
    <w:rsid w:val="00BC31B5"/>
    <w:rsid w:val="00BC31CE"/>
    <w:rsid w:val="00BC32A9"/>
    <w:rsid w:val="00BC341B"/>
    <w:rsid w:val="00BC3616"/>
    <w:rsid w:val="00BC368D"/>
    <w:rsid w:val="00BC36E7"/>
    <w:rsid w:val="00BC3786"/>
    <w:rsid w:val="00BC3809"/>
    <w:rsid w:val="00BC3834"/>
    <w:rsid w:val="00BC38AA"/>
    <w:rsid w:val="00BC38F1"/>
    <w:rsid w:val="00BC38F8"/>
    <w:rsid w:val="00BC3A2D"/>
    <w:rsid w:val="00BC3A6F"/>
    <w:rsid w:val="00BC3C4A"/>
    <w:rsid w:val="00BC3C7F"/>
    <w:rsid w:val="00BC3CE2"/>
    <w:rsid w:val="00BC3CE3"/>
    <w:rsid w:val="00BC3DD0"/>
    <w:rsid w:val="00BC3DFB"/>
    <w:rsid w:val="00BC3FEA"/>
    <w:rsid w:val="00BC4025"/>
    <w:rsid w:val="00BC406D"/>
    <w:rsid w:val="00BC453B"/>
    <w:rsid w:val="00BC4630"/>
    <w:rsid w:val="00BC4705"/>
    <w:rsid w:val="00BC4727"/>
    <w:rsid w:val="00BC4785"/>
    <w:rsid w:val="00BC4809"/>
    <w:rsid w:val="00BC484A"/>
    <w:rsid w:val="00BC489A"/>
    <w:rsid w:val="00BC495B"/>
    <w:rsid w:val="00BC4960"/>
    <w:rsid w:val="00BC4A19"/>
    <w:rsid w:val="00BC4A21"/>
    <w:rsid w:val="00BC4B37"/>
    <w:rsid w:val="00BC4BE1"/>
    <w:rsid w:val="00BC4D7A"/>
    <w:rsid w:val="00BC4E07"/>
    <w:rsid w:val="00BC4EF7"/>
    <w:rsid w:val="00BC4F02"/>
    <w:rsid w:val="00BC5039"/>
    <w:rsid w:val="00BC507F"/>
    <w:rsid w:val="00BC5219"/>
    <w:rsid w:val="00BC529A"/>
    <w:rsid w:val="00BC52FB"/>
    <w:rsid w:val="00BC5571"/>
    <w:rsid w:val="00BC558A"/>
    <w:rsid w:val="00BC55F2"/>
    <w:rsid w:val="00BC5842"/>
    <w:rsid w:val="00BC5A31"/>
    <w:rsid w:val="00BC5B76"/>
    <w:rsid w:val="00BC5B86"/>
    <w:rsid w:val="00BC5B8B"/>
    <w:rsid w:val="00BC5B99"/>
    <w:rsid w:val="00BC5D16"/>
    <w:rsid w:val="00BC5E50"/>
    <w:rsid w:val="00BC5E6F"/>
    <w:rsid w:val="00BC5E9E"/>
    <w:rsid w:val="00BC5EB2"/>
    <w:rsid w:val="00BC5ECA"/>
    <w:rsid w:val="00BC600C"/>
    <w:rsid w:val="00BC607F"/>
    <w:rsid w:val="00BC6176"/>
    <w:rsid w:val="00BC6211"/>
    <w:rsid w:val="00BC623C"/>
    <w:rsid w:val="00BC628A"/>
    <w:rsid w:val="00BC6375"/>
    <w:rsid w:val="00BC63EF"/>
    <w:rsid w:val="00BC652F"/>
    <w:rsid w:val="00BC6606"/>
    <w:rsid w:val="00BC665D"/>
    <w:rsid w:val="00BC671D"/>
    <w:rsid w:val="00BC679D"/>
    <w:rsid w:val="00BC67A0"/>
    <w:rsid w:val="00BC67B9"/>
    <w:rsid w:val="00BC689B"/>
    <w:rsid w:val="00BC68D4"/>
    <w:rsid w:val="00BC697F"/>
    <w:rsid w:val="00BC6B59"/>
    <w:rsid w:val="00BC6B88"/>
    <w:rsid w:val="00BC6DBD"/>
    <w:rsid w:val="00BC6F47"/>
    <w:rsid w:val="00BC7036"/>
    <w:rsid w:val="00BC709A"/>
    <w:rsid w:val="00BC70A4"/>
    <w:rsid w:val="00BC720A"/>
    <w:rsid w:val="00BC730C"/>
    <w:rsid w:val="00BC76A1"/>
    <w:rsid w:val="00BC794D"/>
    <w:rsid w:val="00BC79EC"/>
    <w:rsid w:val="00BC7A0C"/>
    <w:rsid w:val="00BC7A5F"/>
    <w:rsid w:val="00BC7ADF"/>
    <w:rsid w:val="00BC7BC8"/>
    <w:rsid w:val="00BC7BD0"/>
    <w:rsid w:val="00BC7E6C"/>
    <w:rsid w:val="00BD00E0"/>
    <w:rsid w:val="00BD019E"/>
    <w:rsid w:val="00BD01B2"/>
    <w:rsid w:val="00BD0241"/>
    <w:rsid w:val="00BD0429"/>
    <w:rsid w:val="00BD0467"/>
    <w:rsid w:val="00BD0796"/>
    <w:rsid w:val="00BD084B"/>
    <w:rsid w:val="00BD098F"/>
    <w:rsid w:val="00BD0AE8"/>
    <w:rsid w:val="00BD0B25"/>
    <w:rsid w:val="00BD0C7F"/>
    <w:rsid w:val="00BD0DA5"/>
    <w:rsid w:val="00BD0F07"/>
    <w:rsid w:val="00BD1044"/>
    <w:rsid w:val="00BD1084"/>
    <w:rsid w:val="00BD1222"/>
    <w:rsid w:val="00BD1367"/>
    <w:rsid w:val="00BD1496"/>
    <w:rsid w:val="00BD14B4"/>
    <w:rsid w:val="00BD14BB"/>
    <w:rsid w:val="00BD1507"/>
    <w:rsid w:val="00BD1769"/>
    <w:rsid w:val="00BD1785"/>
    <w:rsid w:val="00BD19BD"/>
    <w:rsid w:val="00BD1A21"/>
    <w:rsid w:val="00BD1CF2"/>
    <w:rsid w:val="00BD1E40"/>
    <w:rsid w:val="00BD1E61"/>
    <w:rsid w:val="00BD1E6D"/>
    <w:rsid w:val="00BD1E84"/>
    <w:rsid w:val="00BD1EB0"/>
    <w:rsid w:val="00BD213C"/>
    <w:rsid w:val="00BD22FD"/>
    <w:rsid w:val="00BD2385"/>
    <w:rsid w:val="00BD23E6"/>
    <w:rsid w:val="00BD244E"/>
    <w:rsid w:val="00BD25AC"/>
    <w:rsid w:val="00BD2752"/>
    <w:rsid w:val="00BD2892"/>
    <w:rsid w:val="00BD28F2"/>
    <w:rsid w:val="00BD2ACA"/>
    <w:rsid w:val="00BD2CE8"/>
    <w:rsid w:val="00BD2D22"/>
    <w:rsid w:val="00BD2FF6"/>
    <w:rsid w:val="00BD3102"/>
    <w:rsid w:val="00BD312E"/>
    <w:rsid w:val="00BD32A8"/>
    <w:rsid w:val="00BD334D"/>
    <w:rsid w:val="00BD347B"/>
    <w:rsid w:val="00BD34E8"/>
    <w:rsid w:val="00BD3635"/>
    <w:rsid w:val="00BD3948"/>
    <w:rsid w:val="00BD397F"/>
    <w:rsid w:val="00BD39A6"/>
    <w:rsid w:val="00BD3A5B"/>
    <w:rsid w:val="00BD3A6E"/>
    <w:rsid w:val="00BD3A92"/>
    <w:rsid w:val="00BD3B91"/>
    <w:rsid w:val="00BD3BB4"/>
    <w:rsid w:val="00BD3C02"/>
    <w:rsid w:val="00BD3C15"/>
    <w:rsid w:val="00BD3CD6"/>
    <w:rsid w:val="00BD3CF1"/>
    <w:rsid w:val="00BD3E10"/>
    <w:rsid w:val="00BD3F1D"/>
    <w:rsid w:val="00BD4122"/>
    <w:rsid w:val="00BD423F"/>
    <w:rsid w:val="00BD4307"/>
    <w:rsid w:val="00BD431D"/>
    <w:rsid w:val="00BD4353"/>
    <w:rsid w:val="00BD440E"/>
    <w:rsid w:val="00BD451D"/>
    <w:rsid w:val="00BD45C9"/>
    <w:rsid w:val="00BD45E3"/>
    <w:rsid w:val="00BD4619"/>
    <w:rsid w:val="00BD4639"/>
    <w:rsid w:val="00BD4644"/>
    <w:rsid w:val="00BD4671"/>
    <w:rsid w:val="00BD4774"/>
    <w:rsid w:val="00BD4838"/>
    <w:rsid w:val="00BD4944"/>
    <w:rsid w:val="00BD496B"/>
    <w:rsid w:val="00BD49F3"/>
    <w:rsid w:val="00BD4B71"/>
    <w:rsid w:val="00BD4C66"/>
    <w:rsid w:val="00BD4F59"/>
    <w:rsid w:val="00BD4F91"/>
    <w:rsid w:val="00BD4FB7"/>
    <w:rsid w:val="00BD4FC2"/>
    <w:rsid w:val="00BD4FEC"/>
    <w:rsid w:val="00BD51D4"/>
    <w:rsid w:val="00BD52F0"/>
    <w:rsid w:val="00BD5311"/>
    <w:rsid w:val="00BD5368"/>
    <w:rsid w:val="00BD53F3"/>
    <w:rsid w:val="00BD543A"/>
    <w:rsid w:val="00BD5440"/>
    <w:rsid w:val="00BD5739"/>
    <w:rsid w:val="00BD58BF"/>
    <w:rsid w:val="00BD5929"/>
    <w:rsid w:val="00BD59DD"/>
    <w:rsid w:val="00BD5A73"/>
    <w:rsid w:val="00BD5B1E"/>
    <w:rsid w:val="00BD5C1D"/>
    <w:rsid w:val="00BD5E50"/>
    <w:rsid w:val="00BD5E88"/>
    <w:rsid w:val="00BD5F39"/>
    <w:rsid w:val="00BD608B"/>
    <w:rsid w:val="00BD612B"/>
    <w:rsid w:val="00BD6190"/>
    <w:rsid w:val="00BD626E"/>
    <w:rsid w:val="00BD6340"/>
    <w:rsid w:val="00BD635C"/>
    <w:rsid w:val="00BD656F"/>
    <w:rsid w:val="00BD65E2"/>
    <w:rsid w:val="00BD665B"/>
    <w:rsid w:val="00BD66F6"/>
    <w:rsid w:val="00BD685A"/>
    <w:rsid w:val="00BD68CC"/>
    <w:rsid w:val="00BD68E1"/>
    <w:rsid w:val="00BD69BD"/>
    <w:rsid w:val="00BD69FA"/>
    <w:rsid w:val="00BD6A51"/>
    <w:rsid w:val="00BD6CC8"/>
    <w:rsid w:val="00BD6CD8"/>
    <w:rsid w:val="00BD6D09"/>
    <w:rsid w:val="00BD711E"/>
    <w:rsid w:val="00BD7163"/>
    <w:rsid w:val="00BD718C"/>
    <w:rsid w:val="00BD7197"/>
    <w:rsid w:val="00BD71B1"/>
    <w:rsid w:val="00BD71F1"/>
    <w:rsid w:val="00BD71FD"/>
    <w:rsid w:val="00BD72D8"/>
    <w:rsid w:val="00BD736B"/>
    <w:rsid w:val="00BD770B"/>
    <w:rsid w:val="00BD783E"/>
    <w:rsid w:val="00BD7948"/>
    <w:rsid w:val="00BD7949"/>
    <w:rsid w:val="00BD7991"/>
    <w:rsid w:val="00BD7A67"/>
    <w:rsid w:val="00BD7A7F"/>
    <w:rsid w:val="00BD7A97"/>
    <w:rsid w:val="00BD7DDD"/>
    <w:rsid w:val="00BE0026"/>
    <w:rsid w:val="00BE0195"/>
    <w:rsid w:val="00BE0414"/>
    <w:rsid w:val="00BE0474"/>
    <w:rsid w:val="00BE0531"/>
    <w:rsid w:val="00BE0623"/>
    <w:rsid w:val="00BE06B0"/>
    <w:rsid w:val="00BE06BA"/>
    <w:rsid w:val="00BE0873"/>
    <w:rsid w:val="00BE087B"/>
    <w:rsid w:val="00BE09D7"/>
    <w:rsid w:val="00BE0B55"/>
    <w:rsid w:val="00BE0BC4"/>
    <w:rsid w:val="00BE0D60"/>
    <w:rsid w:val="00BE0D62"/>
    <w:rsid w:val="00BE0E4D"/>
    <w:rsid w:val="00BE0E76"/>
    <w:rsid w:val="00BE0EA9"/>
    <w:rsid w:val="00BE0EAC"/>
    <w:rsid w:val="00BE0FF2"/>
    <w:rsid w:val="00BE1106"/>
    <w:rsid w:val="00BE1145"/>
    <w:rsid w:val="00BE1186"/>
    <w:rsid w:val="00BE11AB"/>
    <w:rsid w:val="00BE1264"/>
    <w:rsid w:val="00BE12E9"/>
    <w:rsid w:val="00BE12F0"/>
    <w:rsid w:val="00BE1339"/>
    <w:rsid w:val="00BE14CE"/>
    <w:rsid w:val="00BE15B9"/>
    <w:rsid w:val="00BE165E"/>
    <w:rsid w:val="00BE16E3"/>
    <w:rsid w:val="00BE18C9"/>
    <w:rsid w:val="00BE18FB"/>
    <w:rsid w:val="00BE190C"/>
    <w:rsid w:val="00BE198A"/>
    <w:rsid w:val="00BE1A1B"/>
    <w:rsid w:val="00BE1B04"/>
    <w:rsid w:val="00BE1C69"/>
    <w:rsid w:val="00BE1D35"/>
    <w:rsid w:val="00BE1D71"/>
    <w:rsid w:val="00BE1E88"/>
    <w:rsid w:val="00BE1F2D"/>
    <w:rsid w:val="00BE1F73"/>
    <w:rsid w:val="00BE20B6"/>
    <w:rsid w:val="00BE2174"/>
    <w:rsid w:val="00BE21E3"/>
    <w:rsid w:val="00BE225A"/>
    <w:rsid w:val="00BE22B5"/>
    <w:rsid w:val="00BE22F4"/>
    <w:rsid w:val="00BE23C8"/>
    <w:rsid w:val="00BE2433"/>
    <w:rsid w:val="00BE24CD"/>
    <w:rsid w:val="00BE271D"/>
    <w:rsid w:val="00BE2737"/>
    <w:rsid w:val="00BE2750"/>
    <w:rsid w:val="00BE278A"/>
    <w:rsid w:val="00BE2905"/>
    <w:rsid w:val="00BE2A05"/>
    <w:rsid w:val="00BE2A18"/>
    <w:rsid w:val="00BE2ABF"/>
    <w:rsid w:val="00BE2BF9"/>
    <w:rsid w:val="00BE2CE8"/>
    <w:rsid w:val="00BE2DB6"/>
    <w:rsid w:val="00BE2E16"/>
    <w:rsid w:val="00BE2E3E"/>
    <w:rsid w:val="00BE2ECC"/>
    <w:rsid w:val="00BE2FBE"/>
    <w:rsid w:val="00BE3025"/>
    <w:rsid w:val="00BE308B"/>
    <w:rsid w:val="00BE3097"/>
    <w:rsid w:val="00BE30EF"/>
    <w:rsid w:val="00BE3154"/>
    <w:rsid w:val="00BE32AC"/>
    <w:rsid w:val="00BE331E"/>
    <w:rsid w:val="00BE33F5"/>
    <w:rsid w:val="00BE3420"/>
    <w:rsid w:val="00BE3445"/>
    <w:rsid w:val="00BE3634"/>
    <w:rsid w:val="00BE36D9"/>
    <w:rsid w:val="00BE370B"/>
    <w:rsid w:val="00BE37FB"/>
    <w:rsid w:val="00BE38F8"/>
    <w:rsid w:val="00BE39C7"/>
    <w:rsid w:val="00BE3A21"/>
    <w:rsid w:val="00BE3AE3"/>
    <w:rsid w:val="00BE3BF2"/>
    <w:rsid w:val="00BE3F2D"/>
    <w:rsid w:val="00BE3FB0"/>
    <w:rsid w:val="00BE4232"/>
    <w:rsid w:val="00BE44CF"/>
    <w:rsid w:val="00BE4501"/>
    <w:rsid w:val="00BE4564"/>
    <w:rsid w:val="00BE4B36"/>
    <w:rsid w:val="00BE4B41"/>
    <w:rsid w:val="00BE4C66"/>
    <w:rsid w:val="00BE4C67"/>
    <w:rsid w:val="00BE4D34"/>
    <w:rsid w:val="00BE4E1A"/>
    <w:rsid w:val="00BE4E54"/>
    <w:rsid w:val="00BE4F19"/>
    <w:rsid w:val="00BE50FA"/>
    <w:rsid w:val="00BE515D"/>
    <w:rsid w:val="00BE532C"/>
    <w:rsid w:val="00BE549B"/>
    <w:rsid w:val="00BE54DE"/>
    <w:rsid w:val="00BE54E2"/>
    <w:rsid w:val="00BE5574"/>
    <w:rsid w:val="00BE5725"/>
    <w:rsid w:val="00BE58BA"/>
    <w:rsid w:val="00BE59B7"/>
    <w:rsid w:val="00BE5CDF"/>
    <w:rsid w:val="00BE5E47"/>
    <w:rsid w:val="00BE5EFD"/>
    <w:rsid w:val="00BE60F4"/>
    <w:rsid w:val="00BE61FA"/>
    <w:rsid w:val="00BE6455"/>
    <w:rsid w:val="00BE6469"/>
    <w:rsid w:val="00BE6491"/>
    <w:rsid w:val="00BE6495"/>
    <w:rsid w:val="00BE65E8"/>
    <w:rsid w:val="00BE6636"/>
    <w:rsid w:val="00BE66E4"/>
    <w:rsid w:val="00BE67E3"/>
    <w:rsid w:val="00BE6818"/>
    <w:rsid w:val="00BE684F"/>
    <w:rsid w:val="00BE6867"/>
    <w:rsid w:val="00BE694A"/>
    <w:rsid w:val="00BE69A9"/>
    <w:rsid w:val="00BE69DC"/>
    <w:rsid w:val="00BE69F0"/>
    <w:rsid w:val="00BE6A71"/>
    <w:rsid w:val="00BE6AC1"/>
    <w:rsid w:val="00BE6B5B"/>
    <w:rsid w:val="00BE6CEB"/>
    <w:rsid w:val="00BE6D03"/>
    <w:rsid w:val="00BE6D5C"/>
    <w:rsid w:val="00BE6DA5"/>
    <w:rsid w:val="00BE6F31"/>
    <w:rsid w:val="00BE7161"/>
    <w:rsid w:val="00BE71D8"/>
    <w:rsid w:val="00BE73A7"/>
    <w:rsid w:val="00BE75A2"/>
    <w:rsid w:val="00BE774B"/>
    <w:rsid w:val="00BE7775"/>
    <w:rsid w:val="00BE7804"/>
    <w:rsid w:val="00BE7969"/>
    <w:rsid w:val="00BE7A66"/>
    <w:rsid w:val="00BE7AC5"/>
    <w:rsid w:val="00BE7AC8"/>
    <w:rsid w:val="00BE7C41"/>
    <w:rsid w:val="00BE7C43"/>
    <w:rsid w:val="00BE7C77"/>
    <w:rsid w:val="00BE7CA1"/>
    <w:rsid w:val="00BE7D93"/>
    <w:rsid w:val="00BE7D9F"/>
    <w:rsid w:val="00BE7E33"/>
    <w:rsid w:val="00BE7E38"/>
    <w:rsid w:val="00BE7EB1"/>
    <w:rsid w:val="00BE7EB9"/>
    <w:rsid w:val="00BE7F60"/>
    <w:rsid w:val="00BF000B"/>
    <w:rsid w:val="00BF0206"/>
    <w:rsid w:val="00BF041B"/>
    <w:rsid w:val="00BF04C6"/>
    <w:rsid w:val="00BF06AC"/>
    <w:rsid w:val="00BF07D9"/>
    <w:rsid w:val="00BF0A6A"/>
    <w:rsid w:val="00BF0AFC"/>
    <w:rsid w:val="00BF0CE3"/>
    <w:rsid w:val="00BF0CFF"/>
    <w:rsid w:val="00BF0DC8"/>
    <w:rsid w:val="00BF0EDE"/>
    <w:rsid w:val="00BF0F5A"/>
    <w:rsid w:val="00BF0F69"/>
    <w:rsid w:val="00BF1003"/>
    <w:rsid w:val="00BF109D"/>
    <w:rsid w:val="00BF10BA"/>
    <w:rsid w:val="00BF11CA"/>
    <w:rsid w:val="00BF1201"/>
    <w:rsid w:val="00BF127D"/>
    <w:rsid w:val="00BF12D2"/>
    <w:rsid w:val="00BF1312"/>
    <w:rsid w:val="00BF1342"/>
    <w:rsid w:val="00BF1363"/>
    <w:rsid w:val="00BF151E"/>
    <w:rsid w:val="00BF1613"/>
    <w:rsid w:val="00BF161B"/>
    <w:rsid w:val="00BF17AB"/>
    <w:rsid w:val="00BF1A3D"/>
    <w:rsid w:val="00BF1AA6"/>
    <w:rsid w:val="00BF1AE2"/>
    <w:rsid w:val="00BF1B12"/>
    <w:rsid w:val="00BF1B3F"/>
    <w:rsid w:val="00BF1D69"/>
    <w:rsid w:val="00BF1E12"/>
    <w:rsid w:val="00BF1E14"/>
    <w:rsid w:val="00BF1E40"/>
    <w:rsid w:val="00BF2007"/>
    <w:rsid w:val="00BF244B"/>
    <w:rsid w:val="00BF24E5"/>
    <w:rsid w:val="00BF25B8"/>
    <w:rsid w:val="00BF270A"/>
    <w:rsid w:val="00BF28E1"/>
    <w:rsid w:val="00BF28E7"/>
    <w:rsid w:val="00BF28F3"/>
    <w:rsid w:val="00BF2929"/>
    <w:rsid w:val="00BF2952"/>
    <w:rsid w:val="00BF2B9F"/>
    <w:rsid w:val="00BF2D98"/>
    <w:rsid w:val="00BF2DCF"/>
    <w:rsid w:val="00BF2DD2"/>
    <w:rsid w:val="00BF2EAF"/>
    <w:rsid w:val="00BF2EB8"/>
    <w:rsid w:val="00BF328F"/>
    <w:rsid w:val="00BF333D"/>
    <w:rsid w:val="00BF33E7"/>
    <w:rsid w:val="00BF3408"/>
    <w:rsid w:val="00BF344F"/>
    <w:rsid w:val="00BF34BB"/>
    <w:rsid w:val="00BF357A"/>
    <w:rsid w:val="00BF35DB"/>
    <w:rsid w:val="00BF3715"/>
    <w:rsid w:val="00BF38F0"/>
    <w:rsid w:val="00BF3907"/>
    <w:rsid w:val="00BF3B83"/>
    <w:rsid w:val="00BF3BCD"/>
    <w:rsid w:val="00BF3C19"/>
    <w:rsid w:val="00BF3D22"/>
    <w:rsid w:val="00BF3E64"/>
    <w:rsid w:val="00BF3E74"/>
    <w:rsid w:val="00BF3E7F"/>
    <w:rsid w:val="00BF3F05"/>
    <w:rsid w:val="00BF3F1D"/>
    <w:rsid w:val="00BF3FC1"/>
    <w:rsid w:val="00BF3FD9"/>
    <w:rsid w:val="00BF40CA"/>
    <w:rsid w:val="00BF4155"/>
    <w:rsid w:val="00BF419D"/>
    <w:rsid w:val="00BF4326"/>
    <w:rsid w:val="00BF440B"/>
    <w:rsid w:val="00BF446A"/>
    <w:rsid w:val="00BF4575"/>
    <w:rsid w:val="00BF4788"/>
    <w:rsid w:val="00BF47BB"/>
    <w:rsid w:val="00BF4843"/>
    <w:rsid w:val="00BF49AD"/>
    <w:rsid w:val="00BF49B3"/>
    <w:rsid w:val="00BF4A6C"/>
    <w:rsid w:val="00BF4B0F"/>
    <w:rsid w:val="00BF4DE9"/>
    <w:rsid w:val="00BF4E16"/>
    <w:rsid w:val="00BF4E17"/>
    <w:rsid w:val="00BF4FFC"/>
    <w:rsid w:val="00BF5006"/>
    <w:rsid w:val="00BF514D"/>
    <w:rsid w:val="00BF5385"/>
    <w:rsid w:val="00BF53AB"/>
    <w:rsid w:val="00BF556C"/>
    <w:rsid w:val="00BF55AA"/>
    <w:rsid w:val="00BF55DC"/>
    <w:rsid w:val="00BF560F"/>
    <w:rsid w:val="00BF56D0"/>
    <w:rsid w:val="00BF56DD"/>
    <w:rsid w:val="00BF57DE"/>
    <w:rsid w:val="00BF57F2"/>
    <w:rsid w:val="00BF58A2"/>
    <w:rsid w:val="00BF5A33"/>
    <w:rsid w:val="00BF5AA7"/>
    <w:rsid w:val="00BF5AE3"/>
    <w:rsid w:val="00BF5D2F"/>
    <w:rsid w:val="00BF5D36"/>
    <w:rsid w:val="00BF5D69"/>
    <w:rsid w:val="00BF5E54"/>
    <w:rsid w:val="00BF5EE4"/>
    <w:rsid w:val="00BF5EFB"/>
    <w:rsid w:val="00BF60EF"/>
    <w:rsid w:val="00BF611A"/>
    <w:rsid w:val="00BF61BD"/>
    <w:rsid w:val="00BF6254"/>
    <w:rsid w:val="00BF625F"/>
    <w:rsid w:val="00BF628F"/>
    <w:rsid w:val="00BF633B"/>
    <w:rsid w:val="00BF644F"/>
    <w:rsid w:val="00BF646F"/>
    <w:rsid w:val="00BF64B9"/>
    <w:rsid w:val="00BF64C1"/>
    <w:rsid w:val="00BF64F7"/>
    <w:rsid w:val="00BF6508"/>
    <w:rsid w:val="00BF6509"/>
    <w:rsid w:val="00BF6567"/>
    <w:rsid w:val="00BF65CD"/>
    <w:rsid w:val="00BF66DA"/>
    <w:rsid w:val="00BF6832"/>
    <w:rsid w:val="00BF6A4E"/>
    <w:rsid w:val="00BF6A61"/>
    <w:rsid w:val="00BF6AD7"/>
    <w:rsid w:val="00BF6D98"/>
    <w:rsid w:val="00BF6EA7"/>
    <w:rsid w:val="00BF6F4E"/>
    <w:rsid w:val="00BF6F73"/>
    <w:rsid w:val="00BF6F80"/>
    <w:rsid w:val="00BF6FD7"/>
    <w:rsid w:val="00BF6FFC"/>
    <w:rsid w:val="00BF70A5"/>
    <w:rsid w:val="00BF711E"/>
    <w:rsid w:val="00BF71BA"/>
    <w:rsid w:val="00BF722A"/>
    <w:rsid w:val="00BF7286"/>
    <w:rsid w:val="00BF7345"/>
    <w:rsid w:val="00BF741E"/>
    <w:rsid w:val="00BF7500"/>
    <w:rsid w:val="00BF751D"/>
    <w:rsid w:val="00BF7596"/>
    <w:rsid w:val="00BF7780"/>
    <w:rsid w:val="00BF787E"/>
    <w:rsid w:val="00BF794F"/>
    <w:rsid w:val="00BF7A54"/>
    <w:rsid w:val="00BF7B56"/>
    <w:rsid w:val="00BF7B63"/>
    <w:rsid w:val="00BF7B74"/>
    <w:rsid w:val="00BF7B7B"/>
    <w:rsid w:val="00BF7BD7"/>
    <w:rsid w:val="00BF7DB1"/>
    <w:rsid w:val="00C00043"/>
    <w:rsid w:val="00C00111"/>
    <w:rsid w:val="00C00139"/>
    <w:rsid w:val="00C00178"/>
    <w:rsid w:val="00C0038C"/>
    <w:rsid w:val="00C0042A"/>
    <w:rsid w:val="00C00674"/>
    <w:rsid w:val="00C0067A"/>
    <w:rsid w:val="00C008E9"/>
    <w:rsid w:val="00C009AB"/>
    <w:rsid w:val="00C00AAD"/>
    <w:rsid w:val="00C00B5F"/>
    <w:rsid w:val="00C00BB4"/>
    <w:rsid w:val="00C00BFE"/>
    <w:rsid w:val="00C00CB2"/>
    <w:rsid w:val="00C00CED"/>
    <w:rsid w:val="00C00DE0"/>
    <w:rsid w:val="00C00E80"/>
    <w:rsid w:val="00C00EA9"/>
    <w:rsid w:val="00C00F5A"/>
    <w:rsid w:val="00C00FAE"/>
    <w:rsid w:val="00C010AF"/>
    <w:rsid w:val="00C010BA"/>
    <w:rsid w:val="00C0120D"/>
    <w:rsid w:val="00C01219"/>
    <w:rsid w:val="00C013EB"/>
    <w:rsid w:val="00C0147F"/>
    <w:rsid w:val="00C015B2"/>
    <w:rsid w:val="00C015C3"/>
    <w:rsid w:val="00C015E1"/>
    <w:rsid w:val="00C01791"/>
    <w:rsid w:val="00C01799"/>
    <w:rsid w:val="00C017FC"/>
    <w:rsid w:val="00C018CB"/>
    <w:rsid w:val="00C01919"/>
    <w:rsid w:val="00C0193C"/>
    <w:rsid w:val="00C0197A"/>
    <w:rsid w:val="00C019B7"/>
    <w:rsid w:val="00C019ED"/>
    <w:rsid w:val="00C01A5C"/>
    <w:rsid w:val="00C01B3C"/>
    <w:rsid w:val="00C01BEE"/>
    <w:rsid w:val="00C01D71"/>
    <w:rsid w:val="00C01DBD"/>
    <w:rsid w:val="00C01DDA"/>
    <w:rsid w:val="00C02028"/>
    <w:rsid w:val="00C0235B"/>
    <w:rsid w:val="00C02428"/>
    <w:rsid w:val="00C024A8"/>
    <w:rsid w:val="00C024ED"/>
    <w:rsid w:val="00C02556"/>
    <w:rsid w:val="00C026BB"/>
    <w:rsid w:val="00C02820"/>
    <w:rsid w:val="00C0289B"/>
    <w:rsid w:val="00C029CD"/>
    <w:rsid w:val="00C02A1F"/>
    <w:rsid w:val="00C02A8E"/>
    <w:rsid w:val="00C02B00"/>
    <w:rsid w:val="00C02C2A"/>
    <w:rsid w:val="00C02C6E"/>
    <w:rsid w:val="00C02CC7"/>
    <w:rsid w:val="00C02DAB"/>
    <w:rsid w:val="00C02DCC"/>
    <w:rsid w:val="00C02F3F"/>
    <w:rsid w:val="00C0304D"/>
    <w:rsid w:val="00C0318D"/>
    <w:rsid w:val="00C031C9"/>
    <w:rsid w:val="00C031DA"/>
    <w:rsid w:val="00C031F4"/>
    <w:rsid w:val="00C03228"/>
    <w:rsid w:val="00C034F8"/>
    <w:rsid w:val="00C03500"/>
    <w:rsid w:val="00C03605"/>
    <w:rsid w:val="00C03655"/>
    <w:rsid w:val="00C036A6"/>
    <w:rsid w:val="00C038DC"/>
    <w:rsid w:val="00C03917"/>
    <w:rsid w:val="00C03C1B"/>
    <w:rsid w:val="00C03C8A"/>
    <w:rsid w:val="00C03CB9"/>
    <w:rsid w:val="00C03FB3"/>
    <w:rsid w:val="00C03FFA"/>
    <w:rsid w:val="00C04001"/>
    <w:rsid w:val="00C0402C"/>
    <w:rsid w:val="00C041AF"/>
    <w:rsid w:val="00C04243"/>
    <w:rsid w:val="00C042C1"/>
    <w:rsid w:val="00C04384"/>
    <w:rsid w:val="00C0447A"/>
    <w:rsid w:val="00C04493"/>
    <w:rsid w:val="00C0467B"/>
    <w:rsid w:val="00C04724"/>
    <w:rsid w:val="00C04870"/>
    <w:rsid w:val="00C0488D"/>
    <w:rsid w:val="00C048AB"/>
    <w:rsid w:val="00C048F9"/>
    <w:rsid w:val="00C04961"/>
    <w:rsid w:val="00C04A07"/>
    <w:rsid w:val="00C04CB2"/>
    <w:rsid w:val="00C04DC3"/>
    <w:rsid w:val="00C04DCF"/>
    <w:rsid w:val="00C04FD4"/>
    <w:rsid w:val="00C05029"/>
    <w:rsid w:val="00C050A8"/>
    <w:rsid w:val="00C05354"/>
    <w:rsid w:val="00C053A5"/>
    <w:rsid w:val="00C05428"/>
    <w:rsid w:val="00C05818"/>
    <w:rsid w:val="00C05C83"/>
    <w:rsid w:val="00C05CC1"/>
    <w:rsid w:val="00C05D4B"/>
    <w:rsid w:val="00C05D6D"/>
    <w:rsid w:val="00C05DC8"/>
    <w:rsid w:val="00C05DF1"/>
    <w:rsid w:val="00C05EA5"/>
    <w:rsid w:val="00C05FAD"/>
    <w:rsid w:val="00C061EF"/>
    <w:rsid w:val="00C06214"/>
    <w:rsid w:val="00C062E1"/>
    <w:rsid w:val="00C06306"/>
    <w:rsid w:val="00C063EF"/>
    <w:rsid w:val="00C06417"/>
    <w:rsid w:val="00C064FA"/>
    <w:rsid w:val="00C06587"/>
    <w:rsid w:val="00C065EE"/>
    <w:rsid w:val="00C0669B"/>
    <w:rsid w:val="00C067AA"/>
    <w:rsid w:val="00C06960"/>
    <w:rsid w:val="00C06BAE"/>
    <w:rsid w:val="00C06BEB"/>
    <w:rsid w:val="00C06C4E"/>
    <w:rsid w:val="00C06CD4"/>
    <w:rsid w:val="00C06D61"/>
    <w:rsid w:val="00C06D9C"/>
    <w:rsid w:val="00C06EAE"/>
    <w:rsid w:val="00C06ED2"/>
    <w:rsid w:val="00C06F89"/>
    <w:rsid w:val="00C06F99"/>
    <w:rsid w:val="00C070B1"/>
    <w:rsid w:val="00C072CE"/>
    <w:rsid w:val="00C072D4"/>
    <w:rsid w:val="00C073AD"/>
    <w:rsid w:val="00C07496"/>
    <w:rsid w:val="00C074B8"/>
    <w:rsid w:val="00C074F1"/>
    <w:rsid w:val="00C07549"/>
    <w:rsid w:val="00C07571"/>
    <w:rsid w:val="00C075BE"/>
    <w:rsid w:val="00C0765A"/>
    <w:rsid w:val="00C076DF"/>
    <w:rsid w:val="00C0775C"/>
    <w:rsid w:val="00C0782D"/>
    <w:rsid w:val="00C078CC"/>
    <w:rsid w:val="00C079BD"/>
    <w:rsid w:val="00C079F7"/>
    <w:rsid w:val="00C07A8D"/>
    <w:rsid w:val="00C07BA5"/>
    <w:rsid w:val="00C07C4D"/>
    <w:rsid w:val="00C07C94"/>
    <w:rsid w:val="00C07D29"/>
    <w:rsid w:val="00C07E36"/>
    <w:rsid w:val="00C07E78"/>
    <w:rsid w:val="00C07EDF"/>
    <w:rsid w:val="00C1014A"/>
    <w:rsid w:val="00C10242"/>
    <w:rsid w:val="00C104BC"/>
    <w:rsid w:val="00C10530"/>
    <w:rsid w:val="00C1054B"/>
    <w:rsid w:val="00C1067C"/>
    <w:rsid w:val="00C106A1"/>
    <w:rsid w:val="00C107BA"/>
    <w:rsid w:val="00C109B5"/>
    <w:rsid w:val="00C10AB7"/>
    <w:rsid w:val="00C10B40"/>
    <w:rsid w:val="00C10BEA"/>
    <w:rsid w:val="00C10C23"/>
    <w:rsid w:val="00C10D41"/>
    <w:rsid w:val="00C10D70"/>
    <w:rsid w:val="00C10EC6"/>
    <w:rsid w:val="00C10EDA"/>
    <w:rsid w:val="00C10F12"/>
    <w:rsid w:val="00C1109A"/>
    <w:rsid w:val="00C1113F"/>
    <w:rsid w:val="00C11144"/>
    <w:rsid w:val="00C11162"/>
    <w:rsid w:val="00C112A5"/>
    <w:rsid w:val="00C11335"/>
    <w:rsid w:val="00C11493"/>
    <w:rsid w:val="00C114BA"/>
    <w:rsid w:val="00C11503"/>
    <w:rsid w:val="00C116C4"/>
    <w:rsid w:val="00C1171B"/>
    <w:rsid w:val="00C11958"/>
    <w:rsid w:val="00C119C8"/>
    <w:rsid w:val="00C119CC"/>
    <w:rsid w:val="00C11A01"/>
    <w:rsid w:val="00C11A4C"/>
    <w:rsid w:val="00C11B3D"/>
    <w:rsid w:val="00C11C98"/>
    <w:rsid w:val="00C11F8A"/>
    <w:rsid w:val="00C11FAA"/>
    <w:rsid w:val="00C12042"/>
    <w:rsid w:val="00C1205C"/>
    <w:rsid w:val="00C1205F"/>
    <w:rsid w:val="00C1211B"/>
    <w:rsid w:val="00C12148"/>
    <w:rsid w:val="00C1217D"/>
    <w:rsid w:val="00C12190"/>
    <w:rsid w:val="00C121BA"/>
    <w:rsid w:val="00C123C0"/>
    <w:rsid w:val="00C12436"/>
    <w:rsid w:val="00C124C7"/>
    <w:rsid w:val="00C125A9"/>
    <w:rsid w:val="00C126D5"/>
    <w:rsid w:val="00C126FD"/>
    <w:rsid w:val="00C12789"/>
    <w:rsid w:val="00C12832"/>
    <w:rsid w:val="00C1285D"/>
    <w:rsid w:val="00C12C23"/>
    <w:rsid w:val="00C12E75"/>
    <w:rsid w:val="00C12FB5"/>
    <w:rsid w:val="00C130F1"/>
    <w:rsid w:val="00C13215"/>
    <w:rsid w:val="00C1325A"/>
    <w:rsid w:val="00C13378"/>
    <w:rsid w:val="00C133D3"/>
    <w:rsid w:val="00C13405"/>
    <w:rsid w:val="00C13532"/>
    <w:rsid w:val="00C1371E"/>
    <w:rsid w:val="00C1375B"/>
    <w:rsid w:val="00C137FE"/>
    <w:rsid w:val="00C13AB6"/>
    <w:rsid w:val="00C13AC9"/>
    <w:rsid w:val="00C13C29"/>
    <w:rsid w:val="00C13C76"/>
    <w:rsid w:val="00C13DBF"/>
    <w:rsid w:val="00C13ECB"/>
    <w:rsid w:val="00C13F91"/>
    <w:rsid w:val="00C13FB8"/>
    <w:rsid w:val="00C141BC"/>
    <w:rsid w:val="00C14212"/>
    <w:rsid w:val="00C1422F"/>
    <w:rsid w:val="00C143EA"/>
    <w:rsid w:val="00C1448E"/>
    <w:rsid w:val="00C14617"/>
    <w:rsid w:val="00C14B8A"/>
    <w:rsid w:val="00C14C31"/>
    <w:rsid w:val="00C14D0F"/>
    <w:rsid w:val="00C14E22"/>
    <w:rsid w:val="00C14EF8"/>
    <w:rsid w:val="00C14EFB"/>
    <w:rsid w:val="00C1507F"/>
    <w:rsid w:val="00C150F5"/>
    <w:rsid w:val="00C15125"/>
    <w:rsid w:val="00C151A5"/>
    <w:rsid w:val="00C151BC"/>
    <w:rsid w:val="00C15367"/>
    <w:rsid w:val="00C1537B"/>
    <w:rsid w:val="00C153F7"/>
    <w:rsid w:val="00C154AA"/>
    <w:rsid w:val="00C155A5"/>
    <w:rsid w:val="00C1576D"/>
    <w:rsid w:val="00C157D2"/>
    <w:rsid w:val="00C157EE"/>
    <w:rsid w:val="00C15848"/>
    <w:rsid w:val="00C158D4"/>
    <w:rsid w:val="00C158E9"/>
    <w:rsid w:val="00C159C0"/>
    <w:rsid w:val="00C15C20"/>
    <w:rsid w:val="00C15CB8"/>
    <w:rsid w:val="00C15CD0"/>
    <w:rsid w:val="00C15CE8"/>
    <w:rsid w:val="00C15F73"/>
    <w:rsid w:val="00C15FAC"/>
    <w:rsid w:val="00C160BA"/>
    <w:rsid w:val="00C160FD"/>
    <w:rsid w:val="00C1612C"/>
    <w:rsid w:val="00C1612D"/>
    <w:rsid w:val="00C162D6"/>
    <w:rsid w:val="00C163A5"/>
    <w:rsid w:val="00C16491"/>
    <w:rsid w:val="00C16495"/>
    <w:rsid w:val="00C164C3"/>
    <w:rsid w:val="00C16522"/>
    <w:rsid w:val="00C16588"/>
    <w:rsid w:val="00C165B7"/>
    <w:rsid w:val="00C166CA"/>
    <w:rsid w:val="00C1673A"/>
    <w:rsid w:val="00C167AD"/>
    <w:rsid w:val="00C16863"/>
    <w:rsid w:val="00C1686C"/>
    <w:rsid w:val="00C168E9"/>
    <w:rsid w:val="00C16A88"/>
    <w:rsid w:val="00C16AB5"/>
    <w:rsid w:val="00C16B31"/>
    <w:rsid w:val="00C16BAF"/>
    <w:rsid w:val="00C16C1C"/>
    <w:rsid w:val="00C16C5F"/>
    <w:rsid w:val="00C16F3F"/>
    <w:rsid w:val="00C17055"/>
    <w:rsid w:val="00C17084"/>
    <w:rsid w:val="00C1708A"/>
    <w:rsid w:val="00C17288"/>
    <w:rsid w:val="00C17334"/>
    <w:rsid w:val="00C17363"/>
    <w:rsid w:val="00C173ED"/>
    <w:rsid w:val="00C173F1"/>
    <w:rsid w:val="00C17409"/>
    <w:rsid w:val="00C17458"/>
    <w:rsid w:val="00C176D5"/>
    <w:rsid w:val="00C1781B"/>
    <w:rsid w:val="00C17AAC"/>
    <w:rsid w:val="00C17AC8"/>
    <w:rsid w:val="00C17C02"/>
    <w:rsid w:val="00C17C45"/>
    <w:rsid w:val="00C17CC2"/>
    <w:rsid w:val="00C17CD2"/>
    <w:rsid w:val="00C17D50"/>
    <w:rsid w:val="00C17DBA"/>
    <w:rsid w:val="00C17F23"/>
    <w:rsid w:val="00C200B0"/>
    <w:rsid w:val="00C202D5"/>
    <w:rsid w:val="00C202E2"/>
    <w:rsid w:val="00C203AF"/>
    <w:rsid w:val="00C204EF"/>
    <w:rsid w:val="00C2076B"/>
    <w:rsid w:val="00C2083D"/>
    <w:rsid w:val="00C20859"/>
    <w:rsid w:val="00C209E5"/>
    <w:rsid w:val="00C20B22"/>
    <w:rsid w:val="00C20BE7"/>
    <w:rsid w:val="00C20CC9"/>
    <w:rsid w:val="00C20DE2"/>
    <w:rsid w:val="00C20E98"/>
    <w:rsid w:val="00C20F56"/>
    <w:rsid w:val="00C213B4"/>
    <w:rsid w:val="00C213EB"/>
    <w:rsid w:val="00C2141F"/>
    <w:rsid w:val="00C21506"/>
    <w:rsid w:val="00C2167C"/>
    <w:rsid w:val="00C21706"/>
    <w:rsid w:val="00C21829"/>
    <w:rsid w:val="00C2195C"/>
    <w:rsid w:val="00C21A8A"/>
    <w:rsid w:val="00C21AC2"/>
    <w:rsid w:val="00C21B83"/>
    <w:rsid w:val="00C21BA8"/>
    <w:rsid w:val="00C21C31"/>
    <w:rsid w:val="00C21C50"/>
    <w:rsid w:val="00C21C95"/>
    <w:rsid w:val="00C21CE8"/>
    <w:rsid w:val="00C21D0F"/>
    <w:rsid w:val="00C21E48"/>
    <w:rsid w:val="00C21E68"/>
    <w:rsid w:val="00C22154"/>
    <w:rsid w:val="00C221A0"/>
    <w:rsid w:val="00C22299"/>
    <w:rsid w:val="00C22361"/>
    <w:rsid w:val="00C223EE"/>
    <w:rsid w:val="00C22433"/>
    <w:rsid w:val="00C224CF"/>
    <w:rsid w:val="00C2260F"/>
    <w:rsid w:val="00C22649"/>
    <w:rsid w:val="00C229D0"/>
    <w:rsid w:val="00C22BB6"/>
    <w:rsid w:val="00C22C3A"/>
    <w:rsid w:val="00C22C42"/>
    <w:rsid w:val="00C22DA5"/>
    <w:rsid w:val="00C22E0B"/>
    <w:rsid w:val="00C22ECC"/>
    <w:rsid w:val="00C22EFF"/>
    <w:rsid w:val="00C22F52"/>
    <w:rsid w:val="00C232AE"/>
    <w:rsid w:val="00C2335A"/>
    <w:rsid w:val="00C23461"/>
    <w:rsid w:val="00C2349C"/>
    <w:rsid w:val="00C2350C"/>
    <w:rsid w:val="00C235BF"/>
    <w:rsid w:val="00C2367A"/>
    <w:rsid w:val="00C23867"/>
    <w:rsid w:val="00C23887"/>
    <w:rsid w:val="00C23911"/>
    <w:rsid w:val="00C239A7"/>
    <w:rsid w:val="00C23A29"/>
    <w:rsid w:val="00C23A45"/>
    <w:rsid w:val="00C23CE3"/>
    <w:rsid w:val="00C23D43"/>
    <w:rsid w:val="00C23DBD"/>
    <w:rsid w:val="00C23EB6"/>
    <w:rsid w:val="00C23EE5"/>
    <w:rsid w:val="00C23F64"/>
    <w:rsid w:val="00C23F9E"/>
    <w:rsid w:val="00C242AA"/>
    <w:rsid w:val="00C243BF"/>
    <w:rsid w:val="00C24573"/>
    <w:rsid w:val="00C24595"/>
    <w:rsid w:val="00C246B8"/>
    <w:rsid w:val="00C24762"/>
    <w:rsid w:val="00C247BC"/>
    <w:rsid w:val="00C24949"/>
    <w:rsid w:val="00C24ACB"/>
    <w:rsid w:val="00C24B6C"/>
    <w:rsid w:val="00C24BDE"/>
    <w:rsid w:val="00C24DBC"/>
    <w:rsid w:val="00C24E5D"/>
    <w:rsid w:val="00C24FDC"/>
    <w:rsid w:val="00C24FE7"/>
    <w:rsid w:val="00C24FF0"/>
    <w:rsid w:val="00C250CB"/>
    <w:rsid w:val="00C25122"/>
    <w:rsid w:val="00C251A4"/>
    <w:rsid w:val="00C2530D"/>
    <w:rsid w:val="00C2541F"/>
    <w:rsid w:val="00C254CC"/>
    <w:rsid w:val="00C25584"/>
    <w:rsid w:val="00C2569E"/>
    <w:rsid w:val="00C259C7"/>
    <w:rsid w:val="00C259C8"/>
    <w:rsid w:val="00C25A01"/>
    <w:rsid w:val="00C25BD3"/>
    <w:rsid w:val="00C25C0B"/>
    <w:rsid w:val="00C25D0E"/>
    <w:rsid w:val="00C25D5F"/>
    <w:rsid w:val="00C25E78"/>
    <w:rsid w:val="00C2605D"/>
    <w:rsid w:val="00C26173"/>
    <w:rsid w:val="00C26206"/>
    <w:rsid w:val="00C263D1"/>
    <w:rsid w:val="00C26401"/>
    <w:rsid w:val="00C26467"/>
    <w:rsid w:val="00C264BC"/>
    <w:rsid w:val="00C264DA"/>
    <w:rsid w:val="00C2653E"/>
    <w:rsid w:val="00C2656F"/>
    <w:rsid w:val="00C267F8"/>
    <w:rsid w:val="00C26830"/>
    <w:rsid w:val="00C26873"/>
    <w:rsid w:val="00C26970"/>
    <w:rsid w:val="00C26BFF"/>
    <w:rsid w:val="00C26C2B"/>
    <w:rsid w:val="00C26C87"/>
    <w:rsid w:val="00C26D2E"/>
    <w:rsid w:val="00C26D62"/>
    <w:rsid w:val="00C26DAA"/>
    <w:rsid w:val="00C26DE8"/>
    <w:rsid w:val="00C271CF"/>
    <w:rsid w:val="00C2723D"/>
    <w:rsid w:val="00C2734B"/>
    <w:rsid w:val="00C273B4"/>
    <w:rsid w:val="00C27464"/>
    <w:rsid w:val="00C27504"/>
    <w:rsid w:val="00C2752E"/>
    <w:rsid w:val="00C2767D"/>
    <w:rsid w:val="00C27827"/>
    <w:rsid w:val="00C27933"/>
    <w:rsid w:val="00C27A6A"/>
    <w:rsid w:val="00C27C30"/>
    <w:rsid w:val="00C27C97"/>
    <w:rsid w:val="00C27CFA"/>
    <w:rsid w:val="00C27E38"/>
    <w:rsid w:val="00C27F02"/>
    <w:rsid w:val="00C27F50"/>
    <w:rsid w:val="00C30103"/>
    <w:rsid w:val="00C30115"/>
    <w:rsid w:val="00C3014D"/>
    <w:rsid w:val="00C30153"/>
    <w:rsid w:val="00C30323"/>
    <w:rsid w:val="00C305F4"/>
    <w:rsid w:val="00C306D6"/>
    <w:rsid w:val="00C307A8"/>
    <w:rsid w:val="00C3089C"/>
    <w:rsid w:val="00C30928"/>
    <w:rsid w:val="00C3099F"/>
    <w:rsid w:val="00C30C31"/>
    <w:rsid w:val="00C30C67"/>
    <w:rsid w:val="00C30CE9"/>
    <w:rsid w:val="00C30D23"/>
    <w:rsid w:val="00C31110"/>
    <w:rsid w:val="00C31114"/>
    <w:rsid w:val="00C312E1"/>
    <w:rsid w:val="00C3139D"/>
    <w:rsid w:val="00C3140B"/>
    <w:rsid w:val="00C31477"/>
    <w:rsid w:val="00C314C5"/>
    <w:rsid w:val="00C314E7"/>
    <w:rsid w:val="00C31573"/>
    <w:rsid w:val="00C31667"/>
    <w:rsid w:val="00C316DF"/>
    <w:rsid w:val="00C31718"/>
    <w:rsid w:val="00C3189F"/>
    <w:rsid w:val="00C3194A"/>
    <w:rsid w:val="00C31953"/>
    <w:rsid w:val="00C31A15"/>
    <w:rsid w:val="00C31A5C"/>
    <w:rsid w:val="00C31B2D"/>
    <w:rsid w:val="00C31B68"/>
    <w:rsid w:val="00C31B9F"/>
    <w:rsid w:val="00C31BB9"/>
    <w:rsid w:val="00C31CA1"/>
    <w:rsid w:val="00C31CF3"/>
    <w:rsid w:val="00C31EAE"/>
    <w:rsid w:val="00C31F36"/>
    <w:rsid w:val="00C31F3C"/>
    <w:rsid w:val="00C31FE6"/>
    <w:rsid w:val="00C320A7"/>
    <w:rsid w:val="00C3222B"/>
    <w:rsid w:val="00C322C0"/>
    <w:rsid w:val="00C32303"/>
    <w:rsid w:val="00C3245B"/>
    <w:rsid w:val="00C32472"/>
    <w:rsid w:val="00C32598"/>
    <w:rsid w:val="00C3262B"/>
    <w:rsid w:val="00C3267D"/>
    <w:rsid w:val="00C326D3"/>
    <w:rsid w:val="00C32795"/>
    <w:rsid w:val="00C327E4"/>
    <w:rsid w:val="00C32A0D"/>
    <w:rsid w:val="00C32A1C"/>
    <w:rsid w:val="00C32B03"/>
    <w:rsid w:val="00C32B2C"/>
    <w:rsid w:val="00C32BC1"/>
    <w:rsid w:val="00C32C08"/>
    <w:rsid w:val="00C32CD5"/>
    <w:rsid w:val="00C32F41"/>
    <w:rsid w:val="00C32F5F"/>
    <w:rsid w:val="00C330BE"/>
    <w:rsid w:val="00C33108"/>
    <w:rsid w:val="00C3317B"/>
    <w:rsid w:val="00C331A3"/>
    <w:rsid w:val="00C331DB"/>
    <w:rsid w:val="00C33281"/>
    <w:rsid w:val="00C332CC"/>
    <w:rsid w:val="00C33359"/>
    <w:rsid w:val="00C3335C"/>
    <w:rsid w:val="00C33371"/>
    <w:rsid w:val="00C33440"/>
    <w:rsid w:val="00C33484"/>
    <w:rsid w:val="00C33584"/>
    <w:rsid w:val="00C336BF"/>
    <w:rsid w:val="00C33893"/>
    <w:rsid w:val="00C33915"/>
    <w:rsid w:val="00C3394D"/>
    <w:rsid w:val="00C33B82"/>
    <w:rsid w:val="00C33DB6"/>
    <w:rsid w:val="00C33DC2"/>
    <w:rsid w:val="00C33E34"/>
    <w:rsid w:val="00C33EDD"/>
    <w:rsid w:val="00C33F0D"/>
    <w:rsid w:val="00C33F4C"/>
    <w:rsid w:val="00C34091"/>
    <w:rsid w:val="00C340F3"/>
    <w:rsid w:val="00C34221"/>
    <w:rsid w:val="00C34230"/>
    <w:rsid w:val="00C3459E"/>
    <w:rsid w:val="00C3473D"/>
    <w:rsid w:val="00C34968"/>
    <w:rsid w:val="00C349A1"/>
    <w:rsid w:val="00C349EB"/>
    <w:rsid w:val="00C34A10"/>
    <w:rsid w:val="00C34B16"/>
    <w:rsid w:val="00C34B30"/>
    <w:rsid w:val="00C34BC4"/>
    <w:rsid w:val="00C34C8F"/>
    <w:rsid w:val="00C34CC9"/>
    <w:rsid w:val="00C34CCF"/>
    <w:rsid w:val="00C34DE5"/>
    <w:rsid w:val="00C34E9E"/>
    <w:rsid w:val="00C35010"/>
    <w:rsid w:val="00C353AC"/>
    <w:rsid w:val="00C3548B"/>
    <w:rsid w:val="00C354B0"/>
    <w:rsid w:val="00C35573"/>
    <w:rsid w:val="00C35693"/>
    <w:rsid w:val="00C35872"/>
    <w:rsid w:val="00C35895"/>
    <w:rsid w:val="00C359BF"/>
    <w:rsid w:val="00C35A78"/>
    <w:rsid w:val="00C35A95"/>
    <w:rsid w:val="00C35AF9"/>
    <w:rsid w:val="00C35B20"/>
    <w:rsid w:val="00C35CC8"/>
    <w:rsid w:val="00C35CE2"/>
    <w:rsid w:val="00C35CF5"/>
    <w:rsid w:val="00C35F71"/>
    <w:rsid w:val="00C35F97"/>
    <w:rsid w:val="00C35FBA"/>
    <w:rsid w:val="00C3608E"/>
    <w:rsid w:val="00C361A1"/>
    <w:rsid w:val="00C3626E"/>
    <w:rsid w:val="00C3660F"/>
    <w:rsid w:val="00C3663E"/>
    <w:rsid w:val="00C366D9"/>
    <w:rsid w:val="00C36702"/>
    <w:rsid w:val="00C36707"/>
    <w:rsid w:val="00C367DC"/>
    <w:rsid w:val="00C3692E"/>
    <w:rsid w:val="00C369D7"/>
    <w:rsid w:val="00C36AB3"/>
    <w:rsid w:val="00C36ABF"/>
    <w:rsid w:val="00C36B34"/>
    <w:rsid w:val="00C36B91"/>
    <w:rsid w:val="00C36C3B"/>
    <w:rsid w:val="00C36C5C"/>
    <w:rsid w:val="00C36C69"/>
    <w:rsid w:val="00C36DA9"/>
    <w:rsid w:val="00C36DF3"/>
    <w:rsid w:val="00C36E41"/>
    <w:rsid w:val="00C36E89"/>
    <w:rsid w:val="00C36F61"/>
    <w:rsid w:val="00C3703A"/>
    <w:rsid w:val="00C3716E"/>
    <w:rsid w:val="00C373F6"/>
    <w:rsid w:val="00C374C0"/>
    <w:rsid w:val="00C37537"/>
    <w:rsid w:val="00C37761"/>
    <w:rsid w:val="00C37793"/>
    <w:rsid w:val="00C378A1"/>
    <w:rsid w:val="00C37984"/>
    <w:rsid w:val="00C37A4B"/>
    <w:rsid w:val="00C37B45"/>
    <w:rsid w:val="00C37D2D"/>
    <w:rsid w:val="00C37DAA"/>
    <w:rsid w:val="00C37F7C"/>
    <w:rsid w:val="00C37FB9"/>
    <w:rsid w:val="00C37FDE"/>
    <w:rsid w:val="00C400E4"/>
    <w:rsid w:val="00C401A5"/>
    <w:rsid w:val="00C402B5"/>
    <w:rsid w:val="00C40305"/>
    <w:rsid w:val="00C40459"/>
    <w:rsid w:val="00C404D5"/>
    <w:rsid w:val="00C4057E"/>
    <w:rsid w:val="00C406C5"/>
    <w:rsid w:val="00C4080F"/>
    <w:rsid w:val="00C408C0"/>
    <w:rsid w:val="00C409CA"/>
    <w:rsid w:val="00C40BB4"/>
    <w:rsid w:val="00C40BFF"/>
    <w:rsid w:val="00C40C30"/>
    <w:rsid w:val="00C40CC9"/>
    <w:rsid w:val="00C40D20"/>
    <w:rsid w:val="00C40E2D"/>
    <w:rsid w:val="00C40E37"/>
    <w:rsid w:val="00C40F0D"/>
    <w:rsid w:val="00C40FA8"/>
    <w:rsid w:val="00C411D8"/>
    <w:rsid w:val="00C412FA"/>
    <w:rsid w:val="00C41313"/>
    <w:rsid w:val="00C4134E"/>
    <w:rsid w:val="00C4137B"/>
    <w:rsid w:val="00C41661"/>
    <w:rsid w:val="00C41715"/>
    <w:rsid w:val="00C417A9"/>
    <w:rsid w:val="00C417D1"/>
    <w:rsid w:val="00C419A9"/>
    <w:rsid w:val="00C41D64"/>
    <w:rsid w:val="00C41E69"/>
    <w:rsid w:val="00C41F4C"/>
    <w:rsid w:val="00C42001"/>
    <w:rsid w:val="00C420BA"/>
    <w:rsid w:val="00C421BD"/>
    <w:rsid w:val="00C422FD"/>
    <w:rsid w:val="00C42343"/>
    <w:rsid w:val="00C42623"/>
    <w:rsid w:val="00C42638"/>
    <w:rsid w:val="00C42682"/>
    <w:rsid w:val="00C427DC"/>
    <w:rsid w:val="00C42853"/>
    <w:rsid w:val="00C42907"/>
    <w:rsid w:val="00C42916"/>
    <w:rsid w:val="00C4291E"/>
    <w:rsid w:val="00C429F4"/>
    <w:rsid w:val="00C42B73"/>
    <w:rsid w:val="00C42CD7"/>
    <w:rsid w:val="00C42EC0"/>
    <w:rsid w:val="00C43036"/>
    <w:rsid w:val="00C43053"/>
    <w:rsid w:val="00C4310F"/>
    <w:rsid w:val="00C431CA"/>
    <w:rsid w:val="00C432F2"/>
    <w:rsid w:val="00C43302"/>
    <w:rsid w:val="00C434BD"/>
    <w:rsid w:val="00C43531"/>
    <w:rsid w:val="00C43547"/>
    <w:rsid w:val="00C435E2"/>
    <w:rsid w:val="00C438B4"/>
    <w:rsid w:val="00C43937"/>
    <w:rsid w:val="00C43A74"/>
    <w:rsid w:val="00C43B3A"/>
    <w:rsid w:val="00C43C7E"/>
    <w:rsid w:val="00C43CAF"/>
    <w:rsid w:val="00C43E53"/>
    <w:rsid w:val="00C43F30"/>
    <w:rsid w:val="00C43FB6"/>
    <w:rsid w:val="00C44048"/>
    <w:rsid w:val="00C44301"/>
    <w:rsid w:val="00C44412"/>
    <w:rsid w:val="00C4467A"/>
    <w:rsid w:val="00C4483E"/>
    <w:rsid w:val="00C44857"/>
    <w:rsid w:val="00C4495D"/>
    <w:rsid w:val="00C44A0E"/>
    <w:rsid w:val="00C44A1D"/>
    <w:rsid w:val="00C44AA3"/>
    <w:rsid w:val="00C44AEE"/>
    <w:rsid w:val="00C44B0D"/>
    <w:rsid w:val="00C44BB4"/>
    <w:rsid w:val="00C44BDE"/>
    <w:rsid w:val="00C44BEF"/>
    <w:rsid w:val="00C44C7C"/>
    <w:rsid w:val="00C44D10"/>
    <w:rsid w:val="00C44EFA"/>
    <w:rsid w:val="00C44F98"/>
    <w:rsid w:val="00C450F2"/>
    <w:rsid w:val="00C451F3"/>
    <w:rsid w:val="00C452CA"/>
    <w:rsid w:val="00C453BB"/>
    <w:rsid w:val="00C45452"/>
    <w:rsid w:val="00C454A5"/>
    <w:rsid w:val="00C454ED"/>
    <w:rsid w:val="00C45539"/>
    <w:rsid w:val="00C45548"/>
    <w:rsid w:val="00C4560E"/>
    <w:rsid w:val="00C45616"/>
    <w:rsid w:val="00C45683"/>
    <w:rsid w:val="00C45AB6"/>
    <w:rsid w:val="00C45AD7"/>
    <w:rsid w:val="00C45CFE"/>
    <w:rsid w:val="00C45D44"/>
    <w:rsid w:val="00C45E4C"/>
    <w:rsid w:val="00C45F13"/>
    <w:rsid w:val="00C45F4A"/>
    <w:rsid w:val="00C45FA9"/>
    <w:rsid w:val="00C46083"/>
    <w:rsid w:val="00C460C7"/>
    <w:rsid w:val="00C462BB"/>
    <w:rsid w:val="00C4634D"/>
    <w:rsid w:val="00C463F8"/>
    <w:rsid w:val="00C46431"/>
    <w:rsid w:val="00C4648B"/>
    <w:rsid w:val="00C464C7"/>
    <w:rsid w:val="00C464F3"/>
    <w:rsid w:val="00C465D6"/>
    <w:rsid w:val="00C46667"/>
    <w:rsid w:val="00C4670B"/>
    <w:rsid w:val="00C4674A"/>
    <w:rsid w:val="00C467F1"/>
    <w:rsid w:val="00C468FD"/>
    <w:rsid w:val="00C46A15"/>
    <w:rsid w:val="00C46C67"/>
    <w:rsid w:val="00C46E1B"/>
    <w:rsid w:val="00C46F7B"/>
    <w:rsid w:val="00C47052"/>
    <w:rsid w:val="00C47075"/>
    <w:rsid w:val="00C470CC"/>
    <w:rsid w:val="00C470D8"/>
    <w:rsid w:val="00C47108"/>
    <w:rsid w:val="00C471C2"/>
    <w:rsid w:val="00C47275"/>
    <w:rsid w:val="00C4727F"/>
    <w:rsid w:val="00C472F4"/>
    <w:rsid w:val="00C47315"/>
    <w:rsid w:val="00C4741B"/>
    <w:rsid w:val="00C475EA"/>
    <w:rsid w:val="00C47615"/>
    <w:rsid w:val="00C4769F"/>
    <w:rsid w:val="00C47710"/>
    <w:rsid w:val="00C47828"/>
    <w:rsid w:val="00C47833"/>
    <w:rsid w:val="00C478AD"/>
    <w:rsid w:val="00C47AAD"/>
    <w:rsid w:val="00C47B31"/>
    <w:rsid w:val="00C47DC9"/>
    <w:rsid w:val="00C47DDD"/>
    <w:rsid w:val="00C47EA3"/>
    <w:rsid w:val="00C47FB2"/>
    <w:rsid w:val="00C500B1"/>
    <w:rsid w:val="00C500CB"/>
    <w:rsid w:val="00C50246"/>
    <w:rsid w:val="00C50296"/>
    <w:rsid w:val="00C5037F"/>
    <w:rsid w:val="00C5043F"/>
    <w:rsid w:val="00C5054E"/>
    <w:rsid w:val="00C505E5"/>
    <w:rsid w:val="00C50671"/>
    <w:rsid w:val="00C5078C"/>
    <w:rsid w:val="00C50798"/>
    <w:rsid w:val="00C50C80"/>
    <w:rsid w:val="00C50E81"/>
    <w:rsid w:val="00C50EDB"/>
    <w:rsid w:val="00C50F48"/>
    <w:rsid w:val="00C50FD2"/>
    <w:rsid w:val="00C510A5"/>
    <w:rsid w:val="00C510F9"/>
    <w:rsid w:val="00C511FC"/>
    <w:rsid w:val="00C51271"/>
    <w:rsid w:val="00C51275"/>
    <w:rsid w:val="00C5144D"/>
    <w:rsid w:val="00C514B2"/>
    <w:rsid w:val="00C515AD"/>
    <w:rsid w:val="00C516F0"/>
    <w:rsid w:val="00C518A8"/>
    <w:rsid w:val="00C51AAA"/>
    <w:rsid w:val="00C51BF9"/>
    <w:rsid w:val="00C5207E"/>
    <w:rsid w:val="00C5226C"/>
    <w:rsid w:val="00C52280"/>
    <w:rsid w:val="00C5230B"/>
    <w:rsid w:val="00C52340"/>
    <w:rsid w:val="00C5236E"/>
    <w:rsid w:val="00C52375"/>
    <w:rsid w:val="00C524B9"/>
    <w:rsid w:val="00C5254A"/>
    <w:rsid w:val="00C52570"/>
    <w:rsid w:val="00C52677"/>
    <w:rsid w:val="00C526B2"/>
    <w:rsid w:val="00C526B7"/>
    <w:rsid w:val="00C5280C"/>
    <w:rsid w:val="00C52BE3"/>
    <w:rsid w:val="00C52DE6"/>
    <w:rsid w:val="00C52DF8"/>
    <w:rsid w:val="00C52EA5"/>
    <w:rsid w:val="00C52F60"/>
    <w:rsid w:val="00C52F88"/>
    <w:rsid w:val="00C531DF"/>
    <w:rsid w:val="00C5320F"/>
    <w:rsid w:val="00C532E7"/>
    <w:rsid w:val="00C534D0"/>
    <w:rsid w:val="00C53519"/>
    <w:rsid w:val="00C536BC"/>
    <w:rsid w:val="00C53722"/>
    <w:rsid w:val="00C53741"/>
    <w:rsid w:val="00C5382E"/>
    <w:rsid w:val="00C53841"/>
    <w:rsid w:val="00C538B2"/>
    <w:rsid w:val="00C53961"/>
    <w:rsid w:val="00C53B5A"/>
    <w:rsid w:val="00C53BA4"/>
    <w:rsid w:val="00C53D21"/>
    <w:rsid w:val="00C53D71"/>
    <w:rsid w:val="00C53DAC"/>
    <w:rsid w:val="00C53F6E"/>
    <w:rsid w:val="00C53FB2"/>
    <w:rsid w:val="00C53FC9"/>
    <w:rsid w:val="00C54255"/>
    <w:rsid w:val="00C542D0"/>
    <w:rsid w:val="00C54473"/>
    <w:rsid w:val="00C5449F"/>
    <w:rsid w:val="00C5458E"/>
    <w:rsid w:val="00C545E8"/>
    <w:rsid w:val="00C54638"/>
    <w:rsid w:val="00C54846"/>
    <w:rsid w:val="00C549B4"/>
    <w:rsid w:val="00C54A34"/>
    <w:rsid w:val="00C54A4C"/>
    <w:rsid w:val="00C54AA4"/>
    <w:rsid w:val="00C54B5B"/>
    <w:rsid w:val="00C54B5F"/>
    <w:rsid w:val="00C54BDF"/>
    <w:rsid w:val="00C54C05"/>
    <w:rsid w:val="00C54C4B"/>
    <w:rsid w:val="00C54C63"/>
    <w:rsid w:val="00C54D3E"/>
    <w:rsid w:val="00C54D5B"/>
    <w:rsid w:val="00C54F63"/>
    <w:rsid w:val="00C54F64"/>
    <w:rsid w:val="00C55275"/>
    <w:rsid w:val="00C552FE"/>
    <w:rsid w:val="00C553DD"/>
    <w:rsid w:val="00C55542"/>
    <w:rsid w:val="00C55595"/>
    <w:rsid w:val="00C55609"/>
    <w:rsid w:val="00C55624"/>
    <w:rsid w:val="00C55801"/>
    <w:rsid w:val="00C55A52"/>
    <w:rsid w:val="00C55A89"/>
    <w:rsid w:val="00C55AD8"/>
    <w:rsid w:val="00C55B30"/>
    <w:rsid w:val="00C55CA5"/>
    <w:rsid w:val="00C55CCA"/>
    <w:rsid w:val="00C55E8F"/>
    <w:rsid w:val="00C5609C"/>
    <w:rsid w:val="00C5616A"/>
    <w:rsid w:val="00C56344"/>
    <w:rsid w:val="00C563D2"/>
    <w:rsid w:val="00C565F1"/>
    <w:rsid w:val="00C56629"/>
    <w:rsid w:val="00C56638"/>
    <w:rsid w:val="00C56734"/>
    <w:rsid w:val="00C5675F"/>
    <w:rsid w:val="00C56A48"/>
    <w:rsid w:val="00C56A64"/>
    <w:rsid w:val="00C56AC7"/>
    <w:rsid w:val="00C56B0B"/>
    <w:rsid w:val="00C56B23"/>
    <w:rsid w:val="00C56D0A"/>
    <w:rsid w:val="00C56DE5"/>
    <w:rsid w:val="00C56E50"/>
    <w:rsid w:val="00C56EBE"/>
    <w:rsid w:val="00C56EDE"/>
    <w:rsid w:val="00C56F54"/>
    <w:rsid w:val="00C56F88"/>
    <w:rsid w:val="00C5700F"/>
    <w:rsid w:val="00C57157"/>
    <w:rsid w:val="00C571B4"/>
    <w:rsid w:val="00C57226"/>
    <w:rsid w:val="00C57287"/>
    <w:rsid w:val="00C574CE"/>
    <w:rsid w:val="00C574F8"/>
    <w:rsid w:val="00C57623"/>
    <w:rsid w:val="00C57626"/>
    <w:rsid w:val="00C57691"/>
    <w:rsid w:val="00C577CC"/>
    <w:rsid w:val="00C577F7"/>
    <w:rsid w:val="00C577F9"/>
    <w:rsid w:val="00C57A97"/>
    <w:rsid w:val="00C57ACA"/>
    <w:rsid w:val="00C57B23"/>
    <w:rsid w:val="00C57C35"/>
    <w:rsid w:val="00C57CDD"/>
    <w:rsid w:val="00C57D84"/>
    <w:rsid w:val="00C57DA7"/>
    <w:rsid w:val="00C57DE2"/>
    <w:rsid w:val="00C57DFF"/>
    <w:rsid w:val="00C57E1B"/>
    <w:rsid w:val="00C57E6E"/>
    <w:rsid w:val="00C57EBE"/>
    <w:rsid w:val="00C57F4B"/>
    <w:rsid w:val="00C57F81"/>
    <w:rsid w:val="00C57FBC"/>
    <w:rsid w:val="00C60095"/>
    <w:rsid w:val="00C60126"/>
    <w:rsid w:val="00C60158"/>
    <w:rsid w:val="00C601CE"/>
    <w:rsid w:val="00C602E4"/>
    <w:rsid w:val="00C60382"/>
    <w:rsid w:val="00C60458"/>
    <w:rsid w:val="00C60519"/>
    <w:rsid w:val="00C6068A"/>
    <w:rsid w:val="00C60726"/>
    <w:rsid w:val="00C6074F"/>
    <w:rsid w:val="00C6083F"/>
    <w:rsid w:val="00C60930"/>
    <w:rsid w:val="00C60A74"/>
    <w:rsid w:val="00C60A89"/>
    <w:rsid w:val="00C60BC0"/>
    <w:rsid w:val="00C60C33"/>
    <w:rsid w:val="00C60C88"/>
    <w:rsid w:val="00C60C90"/>
    <w:rsid w:val="00C60CA6"/>
    <w:rsid w:val="00C60CE4"/>
    <w:rsid w:val="00C60CE9"/>
    <w:rsid w:val="00C60CF7"/>
    <w:rsid w:val="00C60DD5"/>
    <w:rsid w:val="00C60EE2"/>
    <w:rsid w:val="00C60FAB"/>
    <w:rsid w:val="00C60FDA"/>
    <w:rsid w:val="00C6117A"/>
    <w:rsid w:val="00C61294"/>
    <w:rsid w:val="00C61433"/>
    <w:rsid w:val="00C61448"/>
    <w:rsid w:val="00C615DE"/>
    <w:rsid w:val="00C61604"/>
    <w:rsid w:val="00C6178C"/>
    <w:rsid w:val="00C61982"/>
    <w:rsid w:val="00C61AA4"/>
    <w:rsid w:val="00C61AB9"/>
    <w:rsid w:val="00C61B11"/>
    <w:rsid w:val="00C61C99"/>
    <w:rsid w:val="00C62079"/>
    <w:rsid w:val="00C6213D"/>
    <w:rsid w:val="00C621CD"/>
    <w:rsid w:val="00C62406"/>
    <w:rsid w:val="00C62474"/>
    <w:rsid w:val="00C627E3"/>
    <w:rsid w:val="00C6281C"/>
    <w:rsid w:val="00C629AC"/>
    <w:rsid w:val="00C62B8E"/>
    <w:rsid w:val="00C62B8F"/>
    <w:rsid w:val="00C62F42"/>
    <w:rsid w:val="00C630D4"/>
    <w:rsid w:val="00C63150"/>
    <w:rsid w:val="00C6320A"/>
    <w:rsid w:val="00C632A2"/>
    <w:rsid w:val="00C632BD"/>
    <w:rsid w:val="00C63383"/>
    <w:rsid w:val="00C633D5"/>
    <w:rsid w:val="00C6348E"/>
    <w:rsid w:val="00C634EE"/>
    <w:rsid w:val="00C63589"/>
    <w:rsid w:val="00C63725"/>
    <w:rsid w:val="00C63B5F"/>
    <w:rsid w:val="00C63BFC"/>
    <w:rsid w:val="00C63CAF"/>
    <w:rsid w:val="00C63CF8"/>
    <w:rsid w:val="00C63DA6"/>
    <w:rsid w:val="00C63FFD"/>
    <w:rsid w:val="00C641FE"/>
    <w:rsid w:val="00C64278"/>
    <w:rsid w:val="00C64450"/>
    <w:rsid w:val="00C644CB"/>
    <w:rsid w:val="00C64839"/>
    <w:rsid w:val="00C64B37"/>
    <w:rsid w:val="00C64B81"/>
    <w:rsid w:val="00C64BEF"/>
    <w:rsid w:val="00C64C47"/>
    <w:rsid w:val="00C64DE5"/>
    <w:rsid w:val="00C64E62"/>
    <w:rsid w:val="00C64E8D"/>
    <w:rsid w:val="00C64F9A"/>
    <w:rsid w:val="00C64FFF"/>
    <w:rsid w:val="00C65096"/>
    <w:rsid w:val="00C6539D"/>
    <w:rsid w:val="00C65425"/>
    <w:rsid w:val="00C65429"/>
    <w:rsid w:val="00C6542A"/>
    <w:rsid w:val="00C65568"/>
    <w:rsid w:val="00C656A2"/>
    <w:rsid w:val="00C656B3"/>
    <w:rsid w:val="00C6571D"/>
    <w:rsid w:val="00C657B9"/>
    <w:rsid w:val="00C657C9"/>
    <w:rsid w:val="00C65898"/>
    <w:rsid w:val="00C659D4"/>
    <w:rsid w:val="00C65A34"/>
    <w:rsid w:val="00C65B30"/>
    <w:rsid w:val="00C65B58"/>
    <w:rsid w:val="00C65B6A"/>
    <w:rsid w:val="00C65BD7"/>
    <w:rsid w:val="00C65C80"/>
    <w:rsid w:val="00C65C9C"/>
    <w:rsid w:val="00C65E64"/>
    <w:rsid w:val="00C65EB3"/>
    <w:rsid w:val="00C66227"/>
    <w:rsid w:val="00C663BC"/>
    <w:rsid w:val="00C66487"/>
    <w:rsid w:val="00C66581"/>
    <w:rsid w:val="00C669E3"/>
    <w:rsid w:val="00C669F8"/>
    <w:rsid w:val="00C66A3D"/>
    <w:rsid w:val="00C66AE5"/>
    <w:rsid w:val="00C66BAD"/>
    <w:rsid w:val="00C66CCA"/>
    <w:rsid w:val="00C66D61"/>
    <w:rsid w:val="00C66FD9"/>
    <w:rsid w:val="00C6723C"/>
    <w:rsid w:val="00C6727A"/>
    <w:rsid w:val="00C673E8"/>
    <w:rsid w:val="00C674CE"/>
    <w:rsid w:val="00C67529"/>
    <w:rsid w:val="00C676B2"/>
    <w:rsid w:val="00C6789E"/>
    <w:rsid w:val="00C679E9"/>
    <w:rsid w:val="00C67AB7"/>
    <w:rsid w:val="00C67C2F"/>
    <w:rsid w:val="00C67E19"/>
    <w:rsid w:val="00C67E60"/>
    <w:rsid w:val="00C67E6D"/>
    <w:rsid w:val="00C70173"/>
    <w:rsid w:val="00C70177"/>
    <w:rsid w:val="00C7017E"/>
    <w:rsid w:val="00C701C7"/>
    <w:rsid w:val="00C70249"/>
    <w:rsid w:val="00C7029B"/>
    <w:rsid w:val="00C702A2"/>
    <w:rsid w:val="00C702D7"/>
    <w:rsid w:val="00C7057A"/>
    <w:rsid w:val="00C7057C"/>
    <w:rsid w:val="00C70597"/>
    <w:rsid w:val="00C705AF"/>
    <w:rsid w:val="00C705E1"/>
    <w:rsid w:val="00C708EA"/>
    <w:rsid w:val="00C7093C"/>
    <w:rsid w:val="00C709CE"/>
    <w:rsid w:val="00C70AB5"/>
    <w:rsid w:val="00C70B17"/>
    <w:rsid w:val="00C70B22"/>
    <w:rsid w:val="00C70BE5"/>
    <w:rsid w:val="00C70C1B"/>
    <w:rsid w:val="00C70C49"/>
    <w:rsid w:val="00C70CA4"/>
    <w:rsid w:val="00C70CD1"/>
    <w:rsid w:val="00C70D3C"/>
    <w:rsid w:val="00C70DCA"/>
    <w:rsid w:val="00C7109A"/>
    <w:rsid w:val="00C71145"/>
    <w:rsid w:val="00C7121F"/>
    <w:rsid w:val="00C71320"/>
    <w:rsid w:val="00C71459"/>
    <w:rsid w:val="00C7146E"/>
    <w:rsid w:val="00C71699"/>
    <w:rsid w:val="00C71AFA"/>
    <w:rsid w:val="00C71B33"/>
    <w:rsid w:val="00C71B52"/>
    <w:rsid w:val="00C71C8B"/>
    <w:rsid w:val="00C71D42"/>
    <w:rsid w:val="00C71D52"/>
    <w:rsid w:val="00C71DF4"/>
    <w:rsid w:val="00C71EB8"/>
    <w:rsid w:val="00C72052"/>
    <w:rsid w:val="00C7211B"/>
    <w:rsid w:val="00C7216A"/>
    <w:rsid w:val="00C7239D"/>
    <w:rsid w:val="00C7240B"/>
    <w:rsid w:val="00C7244A"/>
    <w:rsid w:val="00C72548"/>
    <w:rsid w:val="00C72574"/>
    <w:rsid w:val="00C7266C"/>
    <w:rsid w:val="00C727ED"/>
    <w:rsid w:val="00C7282B"/>
    <w:rsid w:val="00C72923"/>
    <w:rsid w:val="00C72925"/>
    <w:rsid w:val="00C72991"/>
    <w:rsid w:val="00C72A3B"/>
    <w:rsid w:val="00C72A59"/>
    <w:rsid w:val="00C72A78"/>
    <w:rsid w:val="00C72A8A"/>
    <w:rsid w:val="00C72A8F"/>
    <w:rsid w:val="00C72CB6"/>
    <w:rsid w:val="00C72D34"/>
    <w:rsid w:val="00C72DB4"/>
    <w:rsid w:val="00C72E74"/>
    <w:rsid w:val="00C72EC4"/>
    <w:rsid w:val="00C72F36"/>
    <w:rsid w:val="00C7305D"/>
    <w:rsid w:val="00C730AC"/>
    <w:rsid w:val="00C73100"/>
    <w:rsid w:val="00C731A3"/>
    <w:rsid w:val="00C7335A"/>
    <w:rsid w:val="00C7370C"/>
    <w:rsid w:val="00C73793"/>
    <w:rsid w:val="00C737B2"/>
    <w:rsid w:val="00C73823"/>
    <w:rsid w:val="00C73828"/>
    <w:rsid w:val="00C73906"/>
    <w:rsid w:val="00C73968"/>
    <w:rsid w:val="00C73B30"/>
    <w:rsid w:val="00C73C7B"/>
    <w:rsid w:val="00C73C98"/>
    <w:rsid w:val="00C73D5B"/>
    <w:rsid w:val="00C73D83"/>
    <w:rsid w:val="00C73DCB"/>
    <w:rsid w:val="00C73DDE"/>
    <w:rsid w:val="00C73DE5"/>
    <w:rsid w:val="00C73E15"/>
    <w:rsid w:val="00C73E41"/>
    <w:rsid w:val="00C73EBC"/>
    <w:rsid w:val="00C73ECF"/>
    <w:rsid w:val="00C73EEF"/>
    <w:rsid w:val="00C73F33"/>
    <w:rsid w:val="00C74152"/>
    <w:rsid w:val="00C74380"/>
    <w:rsid w:val="00C743DA"/>
    <w:rsid w:val="00C74620"/>
    <w:rsid w:val="00C746ED"/>
    <w:rsid w:val="00C74753"/>
    <w:rsid w:val="00C747D2"/>
    <w:rsid w:val="00C74843"/>
    <w:rsid w:val="00C74890"/>
    <w:rsid w:val="00C748CC"/>
    <w:rsid w:val="00C74931"/>
    <w:rsid w:val="00C749E8"/>
    <w:rsid w:val="00C74ADB"/>
    <w:rsid w:val="00C74BDC"/>
    <w:rsid w:val="00C74C9D"/>
    <w:rsid w:val="00C74D13"/>
    <w:rsid w:val="00C74DFC"/>
    <w:rsid w:val="00C74EB7"/>
    <w:rsid w:val="00C74F43"/>
    <w:rsid w:val="00C74F87"/>
    <w:rsid w:val="00C75056"/>
    <w:rsid w:val="00C7510D"/>
    <w:rsid w:val="00C751E6"/>
    <w:rsid w:val="00C751F8"/>
    <w:rsid w:val="00C75264"/>
    <w:rsid w:val="00C752C3"/>
    <w:rsid w:val="00C7544F"/>
    <w:rsid w:val="00C757C0"/>
    <w:rsid w:val="00C7583A"/>
    <w:rsid w:val="00C759C8"/>
    <w:rsid w:val="00C75A28"/>
    <w:rsid w:val="00C75B27"/>
    <w:rsid w:val="00C75B69"/>
    <w:rsid w:val="00C75D2A"/>
    <w:rsid w:val="00C75DE6"/>
    <w:rsid w:val="00C75F19"/>
    <w:rsid w:val="00C75F29"/>
    <w:rsid w:val="00C75F2E"/>
    <w:rsid w:val="00C76303"/>
    <w:rsid w:val="00C76312"/>
    <w:rsid w:val="00C76658"/>
    <w:rsid w:val="00C766AE"/>
    <w:rsid w:val="00C7673E"/>
    <w:rsid w:val="00C76842"/>
    <w:rsid w:val="00C76850"/>
    <w:rsid w:val="00C76923"/>
    <w:rsid w:val="00C76992"/>
    <w:rsid w:val="00C76A18"/>
    <w:rsid w:val="00C76AD2"/>
    <w:rsid w:val="00C76B7F"/>
    <w:rsid w:val="00C76BC3"/>
    <w:rsid w:val="00C76BC8"/>
    <w:rsid w:val="00C76C3D"/>
    <w:rsid w:val="00C76E06"/>
    <w:rsid w:val="00C770B5"/>
    <w:rsid w:val="00C7712B"/>
    <w:rsid w:val="00C771DA"/>
    <w:rsid w:val="00C771EC"/>
    <w:rsid w:val="00C77292"/>
    <w:rsid w:val="00C7734B"/>
    <w:rsid w:val="00C77449"/>
    <w:rsid w:val="00C77642"/>
    <w:rsid w:val="00C77651"/>
    <w:rsid w:val="00C7766D"/>
    <w:rsid w:val="00C776C5"/>
    <w:rsid w:val="00C7777B"/>
    <w:rsid w:val="00C77BBE"/>
    <w:rsid w:val="00C77BDD"/>
    <w:rsid w:val="00C77C4C"/>
    <w:rsid w:val="00C77C62"/>
    <w:rsid w:val="00C77CAA"/>
    <w:rsid w:val="00C77CFC"/>
    <w:rsid w:val="00C77E16"/>
    <w:rsid w:val="00C77F79"/>
    <w:rsid w:val="00C77F88"/>
    <w:rsid w:val="00C800D2"/>
    <w:rsid w:val="00C80145"/>
    <w:rsid w:val="00C80303"/>
    <w:rsid w:val="00C803BE"/>
    <w:rsid w:val="00C803F4"/>
    <w:rsid w:val="00C80634"/>
    <w:rsid w:val="00C807F2"/>
    <w:rsid w:val="00C80A91"/>
    <w:rsid w:val="00C80B6A"/>
    <w:rsid w:val="00C80B8A"/>
    <w:rsid w:val="00C80CCD"/>
    <w:rsid w:val="00C80EA8"/>
    <w:rsid w:val="00C8107B"/>
    <w:rsid w:val="00C810BB"/>
    <w:rsid w:val="00C810E3"/>
    <w:rsid w:val="00C8115F"/>
    <w:rsid w:val="00C81172"/>
    <w:rsid w:val="00C81504"/>
    <w:rsid w:val="00C81631"/>
    <w:rsid w:val="00C816CB"/>
    <w:rsid w:val="00C816D8"/>
    <w:rsid w:val="00C816F4"/>
    <w:rsid w:val="00C81820"/>
    <w:rsid w:val="00C818DA"/>
    <w:rsid w:val="00C81B8E"/>
    <w:rsid w:val="00C81BE4"/>
    <w:rsid w:val="00C81D1F"/>
    <w:rsid w:val="00C81D82"/>
    <w:rsid w:val="00C81D87"/>
    <w:rsid w:val="00C81E65"/>
    <w:rsid w:val="00C81F03"/>
    <w:rsid w:val="00C81F24"/>
    <w:rsid w:val="00C81FDC"/>
    <w:rsid w:val="00C8205D"/>
    <w:rsid w:val="00C820BB"/>
    <w:rsid w:val="00C821CF"/>
    <w:rsid w:val="00C822B6"/>
    <w:rsid w:val="00C823EA"/>
    <w:rsid w:val="00C82429"/>
    <w:rsid w:val="00C82713"/>
    <w:rsid w:val="00C82947"/>
    <w:rsid w:val="00C82A07"/>
    <w:rsid w:val="00C82BFE"/>
    <w:rsid w:val="00C82C13"/>
    <w:rsid w:val="00C82C7D"/>
    <w:rsid w:val="00C82C8A"/>
    <w:rsid w:val="00C83050"/>
    <w:rsid w:val="00C83199"/>
    <w:rsid w:val="00C831D8"/>
    <w:rsid w:val="00C835A0"/>
    <w:rsid w:val="00C835BD"/>
    <w:rsid w:val="00C835FF"/>
    <w:rsid w:val="00C83759"/>
    <w:rsid w:val="00C8399E"/>
    <w:rsid w:val="00C83B49"/>
    <w:rsid w:val="00C83E0D"/>
    <w:rsid w:val="00C83E6F"/>
    <w:rsid w:val="00C83FAC"/>
    <w:rsid w:val="00C84011"/>
    <w:rsid w:val="00C8402F"/>
    <w:rsid w:val="00C840AB"/>
    <w:rsid w:val="00C84235"/>
    <w:rsid w:val="00C8428A"/>
    <w:rsid w:val="00C842D4"/>
    <w:rsid w:val="00C843B6"/>
    <w:rsid w:val="00C84538"/>
    <w:rsid w:val="00C8453A"/>
    <w:rsid w:val="00C84541"/>
    <w:rsid w:val="00C84553"/>
    <w:rsid w:val="00C84575"/>
    <w:rsid w:val="00C84606"/>
    <w:rsid w:val="00C846CA"/>
    <w:rsid w:val="00C84753"/>
    <w:rsid w:val="00C848B9"/>
    <w:rsid w:val="00C84BAD"/>
    <w:rsid w:val="00C84D59"/>
    <w:rsid w:val="00C84F67"/>
    <w:rsid w:val="00C8502D"/>
    <w:rsid w:val="00C8503D"/>
    <w:rsid w:val="00C8516E"/>
    <w:rsid w:val="00C852A5"/>
    <w:rsid w:val="00C8535A"/>
    <w:rsid w:val="00C853AD"/>
    <w:rsid w:val="00C853D1"/>
    <w:rsid w:val="00C8570D"/>
    <w:rsid w:val="00C85936"/>
    <w:rsid w:val="00C859DD"/>
    <w:rsid w:val="00C85AF3"/>
    <w:rsid w:val="00C85C07"/>
    <w:rsid w:val="00C85CB0"/>
    <w:rsid w:val="00C85D9D"/>
    <w:rsid w:val="00C85EB9"/>
    <w:rsid w:val="00C85EFD"/>
    <w:rsid w:val="00C85F23"/>
    <w:rsid w:val="00C85F7B"/>
    <w:rsid w:val="00C86027"/>
    <w:rsid w:val="00C861F5"/>
    <w:rsid w:val="00C861F8"/>
    <w:rsid w:val="00C86214"/>
    <w:rsid w:val="00C8624C"/>
    <w:rsid w:val="00C86312"/>
    <w:rsid w:val="00C864B2"/>
    <w:rsid w:val="00C865A6"/>
    <w:rsid w:val="00C86B31"/>
    <w:rsid w:val="00C86B88"/>
    <w:rsid w:val="00C86BD1"/>
    <w:rsid w:val="00C86C74"/>
    <w:rsid w:val="00C86CD2"/>
    <w:rsid w:val="00C86CF8"/>
    <w:rsid w:val="00C87019"/>
    <w:rsid w:val="00C8716B"/>
    <w:rsid w:val="00C87187"/>
    <w:rsid w:val="00C874C2"/>
    <w:rsid w:val="00C874C6"/>
    <w:rsid w:val="00C874DA"/>
    <w:rsid w:val="00C87549"/>
    <w:rsid w:val="00C87846"/>
    <w:rsid w:val="00C8784B"/>
    <w:rsid w:val="00C879D7"/>
    <w:rsid w:val="00C87ABC"/>
    <w:rsid w:val="00C87AE7"/>
    <w:rsid w:val="00C87C3A"/>
    <w:rsid w:val="00C87C7D"/>
    <w:rsid w:val="00C87D6C"/>
    <w:rsid w:val="00C87EBA"/>
    <w:rsid w:val="00C87ECD"/>
    <w:rsid w:val="00C87FD4"/>
    <w:rsid w:val="00C9002C"/>
    <w:rsid w:val="00C9028F"/>
    <w:rsid w:val="00C9036D"/>
    <w:rsid w:val="00C903F5"/>
    <w:rsid w:val="00C90422"/>
    <w:rsid w:val="00C90476"/>
    <w:rsid w:val="00C90541"/>
    <w:rsid w:val="00C9057E"/>
    <w:rsid w:val="00C90659"/>
    <w:rsid w:val="00C908D5"/>
    <w:rsid w:val="00C9092E"/>
    <w:rsid w:val="00C90A51"/>
    <w:rsid w:val="00C90A7A"/>
    <w:rsid w:val="00C90D66"/>
    <w:rsid w:val="00C90ED4"/>
    <w:rsid w:val="00C90FFF"/>
    <w:rsid w:val="00C9102C"/>
    <w:rsid w:val="00C911B1"/>
    <w:rsid w:val="00C91263"/>
    <w:rsid w:val="00C9135C"/>
    <w:rsid w:val="00C9141C"/>
    <w:rsid w:val="00C9142B"/>
    <w:rsid w:val="00C914FD"/>
    <w:rsid w:val="00C915A4"/>
    <w:rsid w:val="00C91616"/>
    <w:rsid w:val="00C917CD"/>
    <w:rsid w:val="00C91B89"/>
    <w:rsid w:val="00C91BCB"/>
    <w:rsid w:val="00C91BD5"/>
    <w:rsid w:val="00C91C25"/>
    <w:rsid w:val="00C91C9F"/>
    <w:rsid w:val="00C91E12"/>
    <w:rsid w:val="00C92202"/>
    <w:rsid w:val="00C92329"/>
    <w:rsid w:val="00C923B5"/>
    <w:rsid w:val="00C9244C"/>
    <w:rsid w:val="00C92563"/>
    <w:rsid w:val="00C925DE"/>
    <w:rsid w:val="00C92667"/>
    <w:rsid w:val="00C9270C"/>
    <w:rsid w:val="00C929C4"/>
    <w:rsid w:val="00C929DE"/>
    <w:rsid w:val="00C929EA"/>
    <w:rsid w:val="00C92B46"/>
    <w:rsid w:val="00C92B57"/>
    <w:rsid w:val="00C92D48"/>
    <w:rsid w:val="00C92FAB"/>
    <w:rsid w:val="00C92FB4"/>
    <w:rsid w:val="00C930DB"/>
    <w:rsid w:val="00C93143"/>
    <w:rsid w:val="00C93237"/>
    <w:rsid w:val="00C934EA"/>
    <w:rsid w:val="00C9357C"/>
    <w:rsid w:val="00C93856"/>
    <w:rsid w:val="00C93930"/>
    <w:rsid w:val="00C93A2F"/>
    <w:rsid w:val="00C93A68"/>
    <w:rsid w:val="00C93ABE"/>
    <w:rsid w:val="00C93B02"/>
    <w:rsid w:val="00C93B3D"/>
    <w:rsid w:val="00C93BC1"/>
    <w:rsid w:val="00C93D28"/>
    <w:rsid w:val="00C93D90"/>
    <w:rsid w:val="00C93DFB"/>
    <w:rsid w:val="00C93E07"/>
    <w:rsid w:val="00C93F8A"/>
    <w:rsid w:val="00C94464"/>
    <w:rsid w:val="00C9448D"/>
    <w:rsid w:val="00C944B7"/>
    <w:rsid w:val="00C9478A"/>
    <w:rsid w:val="00C94A1D"/>
    <w:rsid w:val="00C94BEF"/>
    <w:rsid w:val="00C94C40"/>
    <w:rsid w:val="00C94C64"/>
    <w:rsid w:val="00C94CDF"/>
    <w:rsid w:val="00C94D72"/>
    <w:rsid w:val="00C94EA8"/>
    <w:rsid w:val="00C95036"/>
    <w:rsid w:val="00C95113"/>
    <w:rsid w:val="00C9516C"/>
    <w:rsid w:val="00C95170"/>
    <w:rsid w:val="00C951CD"/>
    <w:rsid w:val="00C951FB"/>
    <w:rsid w:val="00C9528C"/>
    <w:rsid w:val="00C9533A"/>
    <w:rsid w:val="00C953A5"/>
    <w:rsid w:val="00C953E1"/>
    <w:rsid w:val="00C9540F"/>
    <w:rsid w:val="00C954F1"/>
    <w:rsid w:val="00C955FF"/>
    <w:rsid w:val="00C956B0"/>
    <w:rsid w:val="00C956B3"/>
    <w:rsid w:val="00C956BB"/>
    <w:rsid w:val="00C95872"/>
    <w:rsid w:val="00C958AE"/>
    <w:rsid w:val="00C958FC"/>
    <w:rsid w:val="00C959A2"/>
    <w:rsid w:val="00C959CA"/>
    <w:rsid w:val="00C959EC"/>
    <w:rsid w:val="00C95A7C"/>
    <w:rsid w:val="00C95AE6"/>
    <w:rsid w:val="00C95BA9"/>
    <w:rsid w:val="00C95D23"/>
    <w:rsid w:val="00C95EEB"/>
    <w:rsid w:val="00C96004"/>
    <w:rsid w:val="00C961AA"/>
    <w:rsid w:val="00C961FD"/>
    <w:rsid w:val="00C9622A"/>
    <w:rsid w:val="00C9626C"/>
    <w:rsid w:val="00C962A0"/>
    <w:rsid w:val="00C962FE"/>
    <w:rsid w:val="00C963BD"/>
    <w:rsid w:val="00C963CC"/>
    <w:rsid w:val="00C963F0"/>
    <w:rsid w:val="00C9651F"/>
    <w:rsid w:val="00C965EC"/>
    <w:rsid w:val="00C9671E"/>
    <w:rsid w:val="00C9696A"/>
    <w:rsid w:val="00C96D00"/>
    <w:rsid w:val="00C96D0F"/>
    <w:rsid w:val="00C96F07"/>
    <w:rsid w:val="00C9704D"/>
    <w:rsid w:val="00C9711C"/>
    <w:rsid w:val="00C97128"/>
    <w:rsid w:val="00C97131"/>
    <w:rsid w:val="00C97392"/>
    <w:rsid w:val="00C973FF"/>
    <w:rsid w:val="00C976CB"/>
    <w:rsid w:val="00C97882"/>
    <w:rsid w:val="00C978B3"/>
    <w:rsid w:val="00C97928"/>
    <w:rsid w:val="00C97931"/>
    <w:rsid w:val="00C97981"/>
    <w:rsid w:val="00C97AA3"/>
    <w:rsid w:val="00C97D96"/>
    <w:rsid w:val="00C97D9E"/>
    <w:rsid w:val="00C97DA4"/>
    <w:rsid w:val="00C97DD1"/>
    <w:rsid w:val="00C97EB9"/>
    <w:rsid w:val="00CA0013"/>
    <w:rsid w:val="00CA002C"/>
    <w:rsid w:val="00CA00B0"/>
    <w:rsid w:val="00CA035A"/>
    <w:rsid w:val="00CA03D8"/>
    <w:rsid w:val="00CA0504"/>
    <w:rsid w:val="00CA05E1"/>
    <w:rsid w:val="00CA06B6"/>
    <w:rsid w:val="00CA06E8"/>
    <w:rsid w:val="00CA06EB"/>
    <w:rsid w:val="00CA090D"/>
    <w:rsid w:val="00CA09A6"/>
    <w:rsid w:val="00CA0A68"/>
    <w:rsid w:val="00CA0A96"/>
    <w:rsid w:val="00CA0BE6"/>
    <w:rsid w:val="00CA0D09"/>
    <w:rsid w:val="00CA0DEC"/>
    <w:rsid w:val="00CA0E6D"/>
    <w:rsid w:val="00CA104A"/>
    <w:rsid w:val="00CA1126"/>
    <w:rsid w:val="00CA1257"/>
    <w:rsid w:val="00CA14D3"/>
    <w:rsid w:val="00CA14DC"/>
    <w:rsid w:val="00CA1585"/>
    <w:rsid w:val="00CA1662"/>
    <w:rsid w:val="00CA1717"/>
    <w:rsid w:val="00CA1778"/>
    <w:rsid w:val="00CA178D"/>
    <w:rsid w:val="00CA181C"/>
    <w:rsid w:val="00CA1A65"/>
    <w:rsid w:val="00CA1D7E"/>
    <w:rsid w:val="00CA1DA6"/>
    <w:rsid w:val="00CA1EB5"/>
    <w:rsid w:val="00CA1F61"/>
    <w:rsid w:val="00CA1F6D"/>
    <w:rsid w:val="00CA213B"/>
    <w:rsid w:val="00CA2360"/>
    <w:rsid w:val="00CA2547"/>
    <w:rsid w:val="00CA25D3"/>
    <w:rsid w:val="00CA27C3"/>
    <w:rsid w:val="00CA284C"/>
    <w:rsid w:val="00CA289F"/>
    <w:rsid w:val="00CA29A3"/>
    <w:rsid w:val="00CA29B5"/>
    <w:rsid w:val="00CA29D1"/>
    <w:rsid w:val="00CA2B19"/>
    <w:rsid w:val="00CA2B23"/>
    <w:rsid w:val="00CA2C9C"/>
    <w:rsid w:val="00CA2CB0"/>
    <w:rsid w:val="00CA2EC7"/>
    <w:rsid w:val="00CA2F74"/>
    <w:rsid w:val="00CA2FC2"/>
    <w:rsid w:val="00CA2FCA"/>
    <w:rsid w:val="00CA32DE"/>
    <w:rsid w:val="00CA32F1"/>
    <w:rsid w:val="00CA33B0"/>
    <w:rsid w:val="00CA34EC"/>
    <w:rsid w:val="00CA3653"/>
    <w:rsid w:val="00CA3798"/>
    <w:rsid w:val="00CA3B82"/>
    <w:rsid w:val="00CA3CAB"/>
    <w:rsid w:val="00CA3CF3"/>
    <w:rsid w:val="00CA3FB1"/>
    <w:rsid w:val="00CA4012"/>
    <w:rsid w:val="00CA41B9"/>
    <w:rsid w:val="00CA4336"/>
    <w:rsid w:val="00CA43B9"/>
    <w:rsid w:val="00CA458E"/>
    <w:rsid w:val="00CA4646"/>
    <w:rsid w:val="00CA471C"/>
    <w:rsid w:val="00CA473C"/>
    <w:rsid w:val="00CA47F7"/>
    <w:rsid w:val="00CA486C"/>
    <w:rsid w:val="00CA48E9"/>
    <w:rsid w:val="00CA4A04"/>
    <w:rsid w:val="00CA4B7A"/>
    <w:rsid w:val="00CA4B96"/>
    <w:rsid w:val="00CA4BAA"/>
    <w:rsid w:val="00CA4CAC"/>
    <w:rsid w:val="00CA4CB6"/>
    <w:rsid w:val="00CA4DAF"/>
    <w:rsid w:val="00CA51DE"/>
    <w:rsid w:val="00CA5271"/>
    <w:rsid w:val="00CA5453"/>
    <w:rsid w:val="00CA5467"/>
    <w:rsid w:val="00CA5737"/>
    <w:rsid w:val="00CA5828"/>
    <w:rsid w:val="00CA59C3"/>
    <w:rsid w:val="00CA5A3E"/>
    <w:rsid w:val="00CA5ABF"/>
    <w:rsid w:val="00CA5B69"/>
    <w:rsid w:val="00CA5C26"/>
    <w:rsid w:val="00CA5C29"/>
    <w:rsid w:val="00CA5D70"/>
    <w:rsid w:val="00CA5E51"/>
    <w:rsid w:val="00CA5E8D"/>
    <w:rsid w:val="00CA5EA5"/>
    <w:rsid w:val="00CA60A5"/>
    <w:rsid w:val="00CA60AD"/>
    <w:rsid w:val="00CA6274"/>
    <w:rsid w:val="00CA62DD"/>
    <w:rsid w:val="00CA62E2"/>
    <w:rsid w:val="00CA62FF"/>
    <w:rsid w:val="00CA6374"/>
    <w:rsid w:val="00CA63BD"/>
    <w:rsid w:val="00CA6428"/>
    <w:rsid w:val="00CA64FC"/>
    <w:rsid w:val="00CA661C"/>
    <w:rsid w:val="00CA6740"/>
    <w:rsid w:val="00CA6769"/>
    <w:rsid w:val="00CA67D7"/>
    <w:rsid w:val="00CA6810"/>
    <w:rsid w:val="00CA6B34"/>
    <w:rsid w:val="00CA6BDE"/>
    <w:rsid w:val="00CA6C11"/>
    <w:rsid w:val="00CA6CF3"/>
    <w:rsid w:val="00CA6E4C"/>
    <w:rsid w:val="00CA6FC8"/>
    <w:rsid w:val="00CA73B7"/>
    <w:rsid w:val="00CA747F"/>
    <w:rsid w:val="00CA749D"/>
    <w:rsid w:val="00CA7528"/>
    <w:rsid w:val="00CA752A"/>
    <w:rsid w:val="00CA75AB"/>
    <w:rsid w:val="00CA75BB"/>
    <w:rsid w:val="00CA7628"/>
    <w:rsid w:val="00CA77C7"/>
    <w:rsid w:val="00CA77D7"/>
    <w:rsid w:val="00CA78EE"/>
    <w:rsid w:val="00CA79A5"/>
    <w:rsid w:val="00CA7AAC"/>
    <w:rsid w:val="00CA7AE2"/>
    <w:rsid w:val="00CA7C08"/>
    <w:rsid w:val="00CA7D49"/>
    <w:rsid w:val="00CA7DD6"/>
    <w:rsid w:val="00CA7E76"/>
    <w:rsid w:val="00CA7EA8"/>
    <w:rsid w:val="00CA7EC1"/>
    <w:rsid w:val="00CA7F53"/>
    <w:rsid w:val="00CA7FAC"/>
    <w:rsid w:val="00CB0139"/>
    <w:rsid w:val="00CB014A"/>
    <w:rsid w:val="00CB01AB"/>
    <w:rsid w:val="00CB031B"/>
    <w:rsid w:val="00CB0543"/>
    <w:rsid w:val="00CB06C8"/>
    <w:rsid w:val="00CB0725"/>
    <w:rsid w:val="00CB0779"/>
    <w:rsid w:val="00CB083D"/>
    <w:rsid w:val="00CB083E"/>
    <w:rsid w:val="00CB096C"/>
    <w:rsid w:val="00CB09F5"/>
    <w:rsid w:val="00CB09F8"/>
    <w:rsid w:val="00CB0C61"/>
    <w:rsid w:val="00CB0CBC"/>
    <w:rsid w:val="00CB0E6D"/>
    <w:rsid w:val="00CB0EAE"/>
    <w:rsid w:val="00CB0EE4"/>
    <w:rsid w:val="00CB0F35"/>
    <w:rsid w:val="00CB1072"/>
    <w:rsid w:val="00CB1157"/>
    <w:rsid w:val="00CB1349"/>
    <w:rsid w:val="00CB1358"/>
    <w:rsid w:val="00CB1363"/>
    <w:rsid w:val="00CB13D2"/>
    <w:rsid w:val="00CB142B"/>
    <w:rsid w:val="00CB1451"/>
    <w:rsid w:val="00CB14E0"/>
    <w:rsid w:val="00CB1748"/>
    <w:rsid w:val="00CB177A"/>
    <w:rsid w:val="00CB17DB"/>
    <w:rsid w:val="00CB18D5"/>
    <w:rsid w:val="00CB19CD"/>
    <w:rsid w:val="00CB1A0D"/>
    <w:rsid w:val="00CB1A3C"/>
    <w:rsid w:val="00CB1B2B"/>
    <w:rsid w:val="00CB1B83"/>
    <w:rsid w:val="00CB1B9A"/>
    <w:rsid w:val="00CB1C6E"/>
    <w:rsid w:val="00CB1CF8"/>
    <w:rsid w:val="00CB1EC1"/>
    <w:rsid w:val="00CB20A7"/>
    <w:rsid w:val="00CB20FF"/>
    <w:rsid w:val="00CB2102"/>
    <w:rsid w:val="00CB2163"/>
    <w:rsid w:val="00CB21DC"/>
    <w:rsid w:val="00CB22FE"/>
    <w:rsid w:val="00CB23D7"/>
    <w:rsid w:val="00CB2491"/>
    <w:rsid w:val="00CB24A2"/>
    <w:rsid w:val="00CB26E9"/>
    <w:rsid w:val="00CB2782"/>
    <w:rsid w:val="00CB2D67"/>
    <w:rsid w:val="00CB2D7F"/>
    <w:rsid w:val="00CB2E9B"/>
    <w:rsid w:val="00CB2ED9"/>
    <w:rsid w:val="00CB2F7E"/>
    <w:rsid w:val="00CB2FD2"/>
    <w:rsid w:val="00CB30B7"/>
    <w:rsid w:val="00CB3195"/>
    <w:rsid w:val="00CB3248"/>
    <w:rsid w:val="00CB326F"/>
    <w:rsid w:val="00CB3469"/>
    <w:rsid w:val="00CB348D"/>
    <w:rsid w:val="00CB34F2"/>
    <w:rsid w:val="00CB359A"/>
    <w:rsid w:val="00CB363E"/>
    <w:rsid w:val="00CB36E6"/>
    <w:rsid w:val="00CB37B1"/>
    <w:rsid w:val="00CB38EB"/>
    <w:rsid w:val="00CB3A13"/>
    <w:rsid w:val="00CB3A34"/>
    <w:rsid w:val="00CB3B84"/>
    <w:rsid w:val="00CB3BCF"/>
    <w:rsid w:val="00CB3C1E"/>
    <w:rsid w:val="00CB3D50"/>
    <w:rsid w:val="00CB3E1E"/>
    <w:rsid w:val="00CB3E9E"/>
    <w:rsid w:val="00CB3EF7"/>
    <w:rsid w:val="00CB3F3B"/>
    <w:rsid w:val="00CB3FC8"/>
    <w:rsid w:val="00CB404B"/>
    <w:rsid w:val="00CB41DB"/>
    <w:rsid w:val="00CB4339"/>
    <w:rsid w:val="00CB43A0"/>
    <w:rsid w:val="00CB448D"/>
    <w:rsid w:val="00CB44D5"/>
    <w:rsid w:val="00CB44DA"/>
    <w:rsid w:val="00CB44FA"/>
    <w:rsid w:val="00CB45DF"/>
    <w:rsid w:val="00CB47CD"/>
    <w:rsid w:val="00CB48D5"/>
    <w:rsid w:val="00CB48ED"/>
    <w:rsid w:val="00CB493D"/>
    <w:rsid w:val="00CB4AB0"/>
    <w:rsid w:val="00CB4D15"/>
    <w:rsid w:val="00CB4D5B"/>
    <w:rsid w:val="00CB4DD9"/>
    <w:rsid w:val="00CB4E3A"/>
    <w:rsid w:val="00CB4E41"/>
    <w:rsid w:val="00CB4FD1"/>
    <w:rsid w:val="00CB50AB"/>
    <w:rsid w:val="00CB50D0"/>
    <w:rsid w:val="00CB5230"/>
    <w:rsid w:val="00CB5238"/>
    <w:rsid w:val="00CB5396"/>
    <w:rsid w:val="00CB53DA"/>
    <w:rsid w:val="00CB53DB"/>
    <w:rsid w:val="00CB543F"/>
    <w:rsid w:val="00CB5486"/>
    <w:rsid w:val="00CB55B5"/>
    <w:rsid w:val="00CB5620"/>
    <w:rsid w:val="00CB56E6"/>
    <w:rsid w:val="00CB5739"/>
    <w:rsid w:val="00CB574C"/>
    <w:rsid w:val="00CB576D"/>
    <w:rsid w:val="00CB5A23"/>
    <w:rsid w:val="00CB5A66"/>
    <w:rsid w:val="00CB5B41"/>
    <w:rsid w:val="00CB5DF3"/>
    <w:rsid w:val="00CB5E58"/>
    <w:rsid w:val="00CB6105"/>
    <w:rsid w:val="00CB626A"/>
    <w:rsid w:val="00CB662F"/>
    <w:rsid w:val="00CB67B3"/>
    <w:rsid w:val="00CB67FE"/>
    <w:rsid w:val="00CB69ED"/>
    <w:rsid w:val="00CB6AC3"/>
    <w:rsid w:val="00CB6B4F"/>
    <w:rsid w:val="00CB6BC2"/>
    <w:rsid w:val="00CB6BC6"/>
    <w:rsid w:val="00CB6D55"/>
    <w:rsid w:val="00CB6E4A"/>
    <w:rsid w:val="00CB6FCA"/>
    <w:rsid w:val="00CB707F"/>
    <w:rsid w:val="00CB7181"/>
    <w:rsid w:val="00CB71E5"/>
    <w:rsid w:val="00CB735A"/>
    <w:rsid w:val="00CB73D7"/>
    <w:rsid w:val="00CB74A3"/>
    <w:rsid w:val="00CB74C8"/>
    <w:rsid w:val="00CB74E1"/>
    <w:rsid w:val="00CB7584"/>
    <w:rsid w:val="00CB75B5"/>
    <w:rsid w:val="00CB7651"/>
    <w:rsid w:val="00CB78B9"/>
    <w:rsid w:val="00CB79D1"/>
    <w:rsid w:val="00CB7A71"/>
    <w:rsid w:val="00CB7AAE"/>
    <w:rsid w:val="00CB7BB7"/>
    <w:rsid w:val="00CB7DB6"/>
    <w:rsid w:val="00CB7DEE"/>
    <w:rsid w:val="00CBAB16"/>
    <w:rsid w:val="00CC0093"/>
    <w:rsid w:val="00CC0111"/>
    <w:rsid w:val="00CC01C7"/>
    <w:rsid w:val="00CC0492"/>
    <w:rsid w:val="00CC04AA"/>
    <w:rsid w:val="00CC067F"/>
    <w:rsid w:val="00CC06CE"/>
    <w:rsid w:val="00CC0753"/>
    <w:rsid w:val="00CC0BCD"/>
    <w:rsid w:val="00CC0CB9"/>
    <w:rsid w:val="00CC0D6A"/>
    <w:rsid w:val="00CC0D78"/>
    <w:rsid w:val="00CC0EA7"/>
    <w:rsid w:val="00CC104E"/>
    <w:rsid w:val="00CC11CC"/>
    <w:rsid w:val="00CC12FF"/>
    <w:rsid w:val="00CC1354"/>
    <w:rsid w:val="00CC143A"/>
    <w:rsid w:val="00CC1475"/>
    <w:rsid w:val="00CC14FD"/>
    <w:rsid w:val="00CC164B"/>
    <w:rsid w:val="00CC172A"/>
    <w:rsid w:val="00CC17EF"/>
    <w:rsid w:val="00CC1829"/>
    <w:rsid w:val="00CC1844"/>
    <w:rsid w:val="00CC19D4"/>
    <w:rsid w:val="00CC1ABA"/>
    <w:rsid w:val="00CC1D1F"/>
    <w:rsid w:val="00CC1D29"/>
    <w:rsid w:val="00CC1DAB"/>
    <w:rsid w:val="00CC1E13"/>
    <w:rsid w:val="00CC1E25"/>
    <w:rsid w:val="00CC1F1A"/>
    <w:rsid w:val="00CC2066"/>
    <w:rsid w:val="00CC22DE"/>
    <w:rsid w:val="00CC23F6"/>
    <w:rsid w:val="00CC24CB"/>
    <w:rsid w:val="00CC24F1"/>
    <w:rsid w:val="00CC2605"/>
    <w:rsid w:val="00CC2643"/>
    <w:rsid w:val="00CC265A"/>
    <w:rsid w:val="00CC2964"/>
    <w:rsid w:val="00CC2ADB"/>
    <w:rsid w:val="00CC2C3D"/>
    <w:rsid w:val="00CC2D26"/>
    <w:rsid w:val="00CC2DFC"/>
    <w:rsid w:val="00CC2E0D"/>
    <w:rsid w:val="00CC2F12"/>
    <w:rsid w:val="00CC302F"/>
    <w:rsid w:val="00CC3053"/>
    <w:rsid w:val="00CC3071"/>
    <w:rsid w:val="00CC31CC"/>
    <w:rsid w:val="00CC326E"/>
    <w:rsid w:val="00CC32AD"/>
    <w:rsid w:val="00CC3367"/>
    <w:rsid w:val="00CC341F"/>
    <w:rsid w:val="00CC34AC"/>
    <w:rsid w:val="00CC3581"/>
    <w:rsid w:val="00CC3585"/>
    <w:rsid w:val="00CC3678"/>
    <w:rsid w:val="00CC370E"/>
    <w:rsid w:val="00CC37D2"/>
    <w:rsid w:val="00CC3942"/>
    <w:rsid w:val="00CC3AFE"/>
    <w:rsid w:val="00CC3B2F"/>
    <w:rsid w:val="00CC3BDA"/>
    <w:rsid w:val="00CC3E05"/>
    <w:rsid w:val="00CC3F34"/>
    <w:rsid w:val="00CC3FE4"/>
    <w:rsid w:val="00CC40D6"/>
    <w:rsid w:val="00CC4189"/>
    <w:rsid w:val="00CC42C7"/>
    <w:rsid w:val="00CC42D2"/>
    <w:rsid w:val="00CC4448"/>
    <w:rsid w:val="00CC44A6"/>
    <w:rsid w:val="00CC450E"/>
    <w:rsid w:val="00CC4537"/>
    <w:rsid w:val="00CC45CF"/>
    <w:rsid w:val="00CC45FE"/>
    <w:rsid w:val="00CC4615"/>
    <w:rsid w:val="00CC46E9"/>
    <w:rsid w:val="00CC47FB"/>
    <w:rsid w:val="00CC4D5C"/>
    <w:rsid w:val="00CC4DD6"/>
    <w:rsid w:val="00CC4E1E"/>
    <w:rsid w:val="00CC4F27"/>
    <w:rsid w:val="00CC5128"/>
    <w:rsid w:val="00CC5188"/>
    <w:rsid w:val="00CC5313"/>
    <w:rsid w:val="00CC5326"/>
    <w:rsid w:val="00CC5417"/>
    <w:rsid w:val="00CC5536"/>
    <w:rsid w:val="00CC556B"/>
    <w:rsid w:val="00CC5626"/>
    <w:rsid w:val="00CC5715"/>
    <w:rsid w:val="00CC5722"/>
    <w:rsid w:val="00CC57AA"/>
    <w:rsid w:val="00CC58CB"/>
    <w:rsid w:val="00CC5990"/>
    <w:rsid w:val="00CC5BB1"/>
    <w:rsid w:val="00CC5BF5"/>
    <w:rsid w:val="00CC5C19"/>
    <w:rsid w:val="00CC5CA6"/>
    <w:rsid w:val="00CC5DC5"/>
    <w:rsid w:val="00CC5F33"/>
    <w:rsid w:val="00CC5F3A"/>
    <w:rsid w:val="00CC61D1"/>
    <w:rsid w:val="00CC62D4"/>
    <w:rsid w:val="00CC6662"/>
    <w:rsid w:val="00CC6673"/>
    <w:rsid w:val="00CC688A"/>
    <w:rsid w:val="00CC68E8"/>
    <w:rsid w:val="00CC6904"/>
    <w:rsid w:val="00CC697C"/>
    <w:rsid w:val="00CC6A33"/>
    <w:rsid w:val="00CC6B75"/>
    <w:rsid w:val="00CC6BD0"/>
    <w:rsid w:val="00CC6C21"/>
    <w:rsid w:val="00CC6D00"/>
    <w:rsid w:val="00CC6F79"/>
    <w:rsid w:val="00CC6F90"/>
    <w:rsid w:val="00CC724F"/>
    <w:rsid w:val="00CC726B"/>
    <w:rsid w:val="00CC7284"/>
    <w:rsid w:val="00CC7384"/>
    <w:rsid w:val="00CC741C"/>
    <w:rsid w:val="00CC7420"/>
    <w:rsid w:val="00CC7564"/>
    <w:rsid w:val="00CC757A"/>
    <w:rsid w:val="00CC7585"/>
    <w:rsid w:val="00CC75A1"/>
    <w:rsid w:val="00CC7829"/>
    <w:rsid w:val="00CC7932"/>
    <w:rsid w:val="00CC7990"/>
    <w:rsid w:val="00CC79A8"/>
    <w:rsid w:val="00CC79FD"/>
    <w:rsid w:val="00CC7BFD"/>
    <w:rsid w:val="00CD014B"/>
    <w:rsid w:val="00CD0266"/>
    <w:rsid w:val="00CD03A7"/>
    <w:rsid w:val="00CD050D"/>
    <w:rsid w:val="00CD06DA"/>
    <w:rsid w:val="00CD085C"/>
    <w:rsid w:val="00CD09F5"/>
    <w:rsid w:val="00CD0ABA"/>
    <w:rsid w:val="00CD0B41"/>
    <w:rsid w:val="00CD0B54"/>
    <w:rsid w:val="00CD0C9D"/>
    <w:rsid w:val="00CD0CFF"/>
    <w:rsid w:val="00CD0D19"/>
    <w:rsid w:val="00CD0D33"/>
    <w:rsid w:val="00CD0E11"/>
    <w:rsid w:val="00CD0F4D"/>
    <w:rsid w:val="00CD1024"/>
    <w:rsid w:val="00CD10C1"/>
    <w:rsid w:val="00CD10D6"/>
    <w:rsid w:val="00CD137B"/>
    <w:rsid w:val="00CD144E"/>
    <w:rsid w:val="00CD146D"/>
    <w:rsid w:val="00CD1704"/>
    <w:rsid w:val="00CD1753"/>
    <w:rsid w:val="00CD19D0"/>
    <w:rsid w:val="00CD1DDF"/>
    <w:rsid w:val="00CD1E8E"/>
    <w:rsid w:val="00CD1EC2"/>
    <w:rsid w:val="00CD1F30"/>
    <w:rsid w:val="00CD1F36"/>
    <w:rsid w:val="00CD21BC"/>
    <w:rsid w:val="00CD21CB"/>
    <w:rsid w:val="00CD222D"/>
    <w:rsid w:val="00CD2471"/>
    <w:rsid w:val="00CD24B5"/>
    <w:rsid w:val="00CD256E"/>
    <w:rsid w:val="00CD25A3"/>
    <w:rsid w:val="00CD26BC"/>
    <w:rsid w:val="00CD2850"/>
    <w:rsid w:val="00CD2A37"/>
    <w:rsid w:val="00CD2B61"/>
    <w:rsid w:val="00CD2C35"/>
    <w:rsid w:val="00CD2F4D"/>
    <w:rsid w:val="00CD2F66"/>
    <w:rsid w:val="00CD3147"/>
    <w:rsid w:val="00CD31E0"/>
    <w:rsid w:val="00CD3305"/>
    <w:rsid w:val="00CD33C5"/>
    <w:rsid w:val="00CD3534"/>
    <w:rsid w:val="00CD35B7"/>
    <w:rsid w:val="00CD374D"/>
    <w:rsid w:val="00CD3782"/>
    <w:rsid w:val="00CD37E1"/>
    <w:rsid w:val="00CD3907"/>
    <w:rsid w:val="00CD3914"/>
    <w:rsid w:val="00CD39D6"/>
    <w:rsid w:val="00CD3A28"/>
    <w:rsid w:val="00CD3AA9"/>
    <w:rsid w:val="00CD3DF1"/>
    <w:rsid w:val="00CD4058"/>
    <w:rsid w:val="00CD40DD"/>
    <w:rsid w:val="00CD4156"/>
    <w:rsid w:val="00CD4166"/>
    <w:rsid w:val="00CD42FD"/>
    <w:rsid w:val="00CD434C"/>
    <w:rsid w:val="00CD440B"/>
    <w:rsid w:val="00CD46D5"/>
    <w:rsid w:val="00CD47B0"/>
    <w:rsid w:val="00CD4A2C"/>
    <w:rsid w:val="00CD4A4D"/>
    <w:rsid w:val="00CD4BF5"/>
    <w:rsid w:val="00CD4D5F"/>
    <w:rsid w:val="00CD4D6E"/>
    <w:rsid w:val="00CD4DD0"/>
    <w:rsid w:val="00CD4DD5"/>
    <w:rsid w:val="00CD4EDF"/>
    <w:rsid w:val="00CD4F71"/>
    <w:rsid w:val="00CD5091"/>
    <w:rsid w:val="00CD50C2"/>
    <w:rsid w:val="00CD512C"/>
    <w:rsid w:val="00CD5229"/>
    <w:rsid w:val="00CD52F1"/>
    <w:rsid w:val="00CD53B8"/>
    <w:rsid w:val="00CD53E1"/>
    <w:rsid w:val="00CD558B"/>
    <w:rsid w:val="00CD565D"/>
    <w:rsid w:val="00CD56AD"/>
    <w:rsid w:val="00CD5722"/>
    <w:rsid w:val="00CD57B2"/>
    <w:rsid w:val="00CD5904"/>
    <w:rsid w:val="00CD5959"/>
    <w:rsid w:val="00CD5963"/>
    <w:rsid w:val="00CD59B0"/>
    <w:rsid w:val="00CD5A1C"/>
    <w:rsid w:val="00CD5B24"/>
    <w:rsid w:val="00CD5BEA"/>
    <w:rsid w:val="00CD5C64"/>
    <w:rsid w:val="00CD5DE5"/>
    <w:rsid w:val="00CD5E6B"/>
    <w:rsid w:val="00CD5F5A"/>
    <w:rsid w:val="00CD5FD9"/>
    <w:rsid w:val="00CD611B"/>
    <w:rsid w:val="00CD6224"/>
    <w:rsid w:val="00CD62F7"/>
    <w:rsid w:val="00CD637A"/>
    <w:rsid w:val="00CD63B8"/>
    <w:rsid w:val="00CD63E5"/>
    <w:rsid w:val="00CD6483"/>
    <w:rsid w:val="00CD6485"/>
    <w:rsid w:val="00CD6517"/>
    <w:rsid w:val="00CD6621"/>
    <w:rsid w:val="00CD66AB"/>
    <w:rsid w:val="00CD674B"/>
    <w:rsid w:val="00CD68BB"/>
    <w:rsid w:val="00CD6956"/>
    <w:rsid w:val="00CD6B49"/>
    <w:rsid w:val="00CD6C47"/>
    <w:rsid w:val="00CD6D26"/>
    <w:rsid w:val="00CD6E14"/>
    <w:rsid w:val="00CD6F9F"/>
    <w:rsid w:val="00CD6FB0"/>
    <w:rsid w:val="00CD7008"/>
    <w:rsid w:val="00CD717E"/>
    <w:rsid w:val="00CD71A3"/>
    <w:rsid w:val="00CD71CD"/>
    <w:rsid w:val="00CD72B8"/>
    <w:rsid w:val="00CD7609"/>
    <w:rsid w:val="00CD764C"/>
    <w:rsid w:val="00CD7713"/>
    <w:rsid w:val="00CD7729"/>
    <w:rsid w:val="00CD785D"/>
    <w:rsid w:val="00CD789A"/>
    <w:rsid w:val="00CD7A81"/>
    <w:rsid w:val="00CD7A82"/>
    <w:rsid w:val="00CD7A94"/>
    <w:rsid w:val="00CD7AFB"/>
    <w:rsid w:val="00CD7C27"/>
    <w:rsid w:val="00CD7C3D"/>
    <w:rsid w:val="00CD7D4E"/>
    <w:rsid w:val="00CD7F53"/>
    <w:rsid w:val="00CD7F8E"/>
    <w:rsid w:val="00CE00E6"/>
    <w:rsid w:val="00CE03B7"/>
    <w:rsid w:val="00CE057D"/>
    <w:rsid w:val="00CE05A5"/>
    <w:rsid w:val="00CE05FB"/>
    <w:rsid w:val="00CE06CE"/>
    <w:rsid w:val="00CE0736"/>
    <w:rsid w:val="00CE0848"/>
    <w:rsid w:val="00CE091D"/>
    <w:rsid w:val="00CE0A37"/>
    <w:rsid w:val="00CE0A7B"/>
    <w:rsid w:val="00CE0B21"/>
    <w:rsid w:val="00CE0BCB"/>
    <w:rsid w:val="00CE0CAA"/>
    <w:rsid w:val="00CE0CE3"/>
    <w:rsid w:val="00CE0D46"/>
    <w:rsid w:val="00CE0E97"/>
    <w:rsid w:val="00CE0EAA"/>
    <w:rsid w:val="00CE0F1F"/>
    <w:rsid w:val="00CE0F45"/>
    <w:rsid w:val="00CE0F6B"/>
    <w:rsid w:val="00CE0FFF"/>
    <w:rsid w:val="00CE1113"/>
    <w:rsid w:val="00CE125C"/>
    <w:rsid w:val="00CE12B9"/>
    <w:rsid w:val="00CE12E8"/>
    <w:rsid w:val="00CE149E"/>
    <w:rsid w:val="00CE14A4"/>
    <w:rsid w:val="00CE1519"/>
    <w:rsid w:val="00CE15CD"/>
    <w:rsid w:val="00CE15DD"/>
    <w:rsid w:val="00CE1646"/>
    <w:rsid w:val="00CE18E5"/>
    <w:rsid w:val="00CE1B2B"/>
    <w:rsid w:val="00CE1E02"/>
    <w:rsid w:val="00CE1EA9"/>
    <w:rsid w:val="00CE1EC6"/>
    <w:rsid w:val="00CE1EEC"/>
    <w:rsid w:val="00CE1F35"/>
    <w:rsid w:val="00CE1FEE"/>
    <w:rsid w:val="00CE2349"/>
    <w:rsid w:val="00CE2550"/>
    <w:rsid w:val="00CE267A"/>
    <w:rsid w:val="00CE27DD"/>
    <w:rsid w:val="00CE2859"/>
    <w:rsid w:val="00CE285C"/>
    <w:rsid w:val="00CE292A"/>
    <w:rsid w:val="00CE2B56"/>
    <w:rsid w:val="00CE2BAF"/>
    <w:rsid w:val="00CE2D4E"/>
    <w:rsid w:val="00CE2DD0"/>
    <w:rsid w:val="00CE2DE7"/>
    <w:rsid w:val="00CE2DFF"/>
    <w:rsid w:val="00CE2E6F"/>
    <w:rsid w:val="00CE3018"/>
    <w:rsid w:val="00CE30F6"/>
    <w:rsid w:val="00CE32A1"/>
    <w:rsid w:val="00CE34CC"/>
    <w:rsid w:val="00CE3532"/>
    <w:rsid w:val="00CE3566"/>
    <w:rsid w:val="00CE357E"/>
    <w:rsid w:val="00CE35B8"/>
    <w:rsid w:val="00CE3635"/>
    <w:rsid w:val="00CE382F"/>
    <w:rsid w:val="00CE38AE"/>
    <w:rsid w:val="00CE3A35"/>
    <w:rsid w:val="00CE3BE3"/>
    <w:rsid w:val="00CE3CB6"/>
    <w:rsid w:val="00CE3D22"/>
    <w:rsid w:val="00CE3D8D"/>
    <w:rsid w:val="00CE3E82"/>
    <w:rsid w:val="00CE3ED6"/>
    <w:rsid w:val="00CE3F2B"/>
    <w:rsid w:val="00CE414C"/>
    <w:rsid w:val="00CE423D"/>
    <w:rsid w:val="00CE42A0"/>
    <w:rsid w:val="00CE435F"/>
    <w:rsid w:val="00CE4700"/>
    <w:rsid w:val="00CE4A16"/>
    <w:rsid w:val="00CE4B05"/>
    <w:rsid w:val="00CE4CC4"/>
    <w:rsid w:val="00CE4CF4"/>
    <w:rsid w:val="00CE5021"/>
    <w:rsid w:val="00CE5088"/>
    <w:rsid w:val="00CE50AD"/>
    <w:rsid w:val="00CE50FD"/>
    <w:rsid w:val="00CE5233"/>
    <w:rsid w:val="00CE56D3"/>
    <w:rsid w:val="00CE5800"/>
    <w:rsid w:val="00CE58AC"/>
    <w:rsid w:val="00CE5953"/>
    <w:rsid w:val="00CE59EA"/>
    <w:rsid w:val="00CE5B68"/>
    <w:rsid w:val="00CE5D24"/>
    <w:rsid w:val="00CE5FC4"/>
    <w:rsid w:val="00CE5FE5"/>
    <w:rsid w:val="00CE6033"/>
    <w:rsid w:val="00CE60BA"/>
    <w:rsid w:val="00CE61B5"/>
    <w:rsid w:val="00CE6234"/>
    <w:rsid w:val="00CE62B4"/>
    <w:rsid w:val="00CE645F"/>
    <w:rsid w:val="00CE648C"/>
    <w:rsid w:val="00CE6598"/>
    <w:rsid w:val="00CE660A"/>
    <w:rsid w:val="00CE67AE"/>
    <w:rsid w:val="00CE67BE"/>
    <w:rsid w:val="00CE69C7"/>
    <w:rsid w:val="00CE69F5"/>
    <w:rsid w:val="00CE6B8F"/>
    <w:rsid w:val="00CE6D0F"/>
    <w:rsid w:val="00CE6E69"/>
    <w:rsid w:val="00CE6FD3"/>
    <w:rsid w:val="00CE7074"/>
    <w:rsid w:val="00CE71FA"/>
    <w:rsid w:val="00CE7320"/>
    <w:rsid w:val="00CE73A1"/>
    <w:rsid w:val="00CE74ED"/>
    <w:rsid w:val="00CE7582"/>
    <w:rsid w:val="00CE75C6"/>
    <w:rsid w:val="00CE77E6"/>
    <w:rsid w:val="00CE7923"/>
    <w:rsid w:val="00CE792F"/>
    <w:rsid w:val="00CE7A28"/>
    <w:rsid w:val="00CE7A83"/>
    <w:rsid w:val="00CE7AD7"/>
    <w:rsid w:val="00CE7C1C"/>
    <w:rsid w:val="00CE7C5A"/>
    <w:rsid w:val="00CE7CF6"/>
    <w:rsid w:val="00CE7D45"/>
    <w:rsid w:val="00CE7DD3"/>
    <w:rsid w:val="00CEC2E3"/>
    <w:rsid w:val="00CF008D"/>
    <w:rsid w:val="00CF00CD"/>
    <w:rsid w:val="00CF0292"/>
    <w:rsid w:val="00CF02A6"/>
    <w:rsid w:val="00CF032F"/>
    <w:rsid w:val="00CF0383"/>
    <w:rsid w:val="00CF03A5"/>
    <w:rsid w:val="00CF0453"/>
    <w:rsid w:val="00CF0538"/>
    <w:rsid w:val="00CF057E"/>
    <w:rsid w:val="00CF05C0"/>
    <w:rsid w:val="00CF06CE"/>
    <w:rsid w:val="00CF07AB"/>
    <w:rsid w:val="00CF0827"/>
    <w:rsid w:val="00CF0925"/>
    <w:rsid w:val="00CF0975"/>
    <w:rsid w:val="00CF09CE"/>
    <w:rsid w:val="00CF0A1C"/>
    <w:rsid w:val="00CF0A1E"/>
    <w:rsid w:val="00CF0B9D"/>
    <w:rsid w:val="00CF0BBD"/>
    <w:rsid w:val="00CF0C6D"/>
    <w:rsid w:val="00CF0DD0"/>
    <w:rsid w:val="00CF0DFE"/>
    <w:rsid w:val="00CF0EE5"/>
    <w:rsid w:val="00CF1083"/>
    <w:rsid w:val="00CF13C6"/>
    <w:rsid w:val="00CF140E"/>
    <w:rsid w:val="00CF17B1"/>
    <w:rsid w:val="00CF17F7"/>
    <w:rsid w:val="00CF19B6"/>
    <w:rsid w:val="00CF19BB"/>
    <w:rsid w:val="00CF1A23"/>
    <w:rsid w:val="00CF1A2B"/>
    <w:rsid w:val="00CF1A73"/>
    <w:rsid w:val="00CF1ABD"/>
    <w:rsid w:val="00CF1B19"/>
    <w:rsid w:val="00CF1B6D"/>
    <w:rsid w:val="00CF1C99"/>
    <w:rsid w:val="00CF1D1B"/>
    <w:rsid w:val="00CF1D4B"/>
    <w:rsid w:val="00CF1DBE"/>
    <w:rsid w:val="00CF1E0F"/>
    <w:rsid w:val="00CF1F4D"/>
    <w:rsid w:val="00CF2488"/>
    <w:rsid w:val="00CF2554"/>
    <w:rsid w:val="00CF256D"/>
    <w:rsid w:val="00CF278E"/>
    <w:rsid w:val="00CF280C"/>
    <w:rsid w:val="00CF29C3"/>
    <w:rsid w:val="00CF2A7A"/>
    <w:rsid w:val="00CF2BE5"/>
    <w:rsid w:val="00CF2CEC"/>
    <w:rsid w:val="00CF2FF6"/>
    <w:rsid w:val="00CF314D"/>
    <w:rsid w:val="00CF31AB"/>
    <w:rsid w:val="00CF3213"/>
    <w:rsid w:val="00CF3257"/>
    <w:rsid w:val="00CF329F"/>
    <w:rsid w:val="00CF3305"/>
    <w:rsid w:val="00CF3426"/>
    <w:rsid w:val="00CF366C"/>
    <w:rsid w:val="00CF36AB"/>
    <w:rsid w:val="00CF3841"/>
    <w:rsid w:val="00CF3874"/>
    <w:rsid w:val="00CF38C3"/>
    <w:rsid w:val="00CF3927"/>
    <w:rsid w:val="00CF39BE"/>
    <w:rsid w:val="00CF39F0"/>
    <w:rsid w:val="00CF3A04"/>
    <w:rsid w:val="00CF3B56"/>
    <w:rsid w:val="00CF3C15"/>
    <w:rsid w:val="00CF3CDF"/>
    <w:rsid w:val="00CF3CE2"/>
    <w:rsid w:val="00CF3DD5"/>
    <w:rsid w:val="00CF3E17"/>
    <w:rsid w:val="00CF3F23"/>
    <w:rsid w:val="00CF4184"/>
    <w:rsid w:val="00CF41D8"/>
    <w:rsid w:val="00CF42AF"/>
    <w:rsid w:val="00CF42BE"/>
    <w:rsid w:val="00CF4348"/>
    <w:rsid w:val="00CF43C8"/>
    <w:rsid w:val="00CF449D"/>
    <w:rsid w:val="00CF4589"/>
    <w:rsid w:val="00CF467E"/>
    <w:rsid w:val="00CF4698"/>
    <w:rsid w:val="00CF470D"/>
    <w:rsid w:val="00CF4838"/>
    <w:rsid w:val="00CF4890"/>
    <w:rsid w:val="00CF48B1"/>
    <w:rsid w:val="00CF4961"/>
    <w:rsid w:val="00CF4B54"/>
    <w:rsid w:val="00CF4B6C"/>
    <w:rsid w:val="00CF4D3F"/>
    <w:rsid w:val="00CF4D98"/>
    <w:rsid w:val="00CF4F8D"/>
    <w:rsid w:val="00CF4F97"/>
    <w:rsid w:val="00CF5041"/>
    <w:rsid w:val="00CF5242"/>
    <w:rsid w:val="00CF5289"/>
    <w:rsid w:val="00CF56CF"/>
    <w:rsid w:val="00CF5943"/>
    <w:rsid w:val="00CF5C61"/>
    <w:rsid w:val="00CF5C70"/>
    <w:rsid w:val="00CF5D70"/>
    <w:rsid w:val="00CF5DE2"/>
    <w:rsid w:val="00CF5EB0"/>
    <w:rsid w:val="00CF5F41"/>
    <w:rsid w:val="00CF60A5"/>
    <w:rsid w:val="00CF60CA"/>
    <w:rsid w:val="00CF6287"/>
    <w:rsid w:val="00CF6294"/>
    <w:rsid w:val="00CF62C2"/>
    <w:rsid w:val="00CF6335"/>
    <w:rsid w:val="00CF63D9"/>
    <w:rsid w:val="00CF63EA"/>
    <w:rsid w:val="00CF6402"/>
    <w:rsid w:val="00CF6565"/>
    <w:rsid w:val="00CF66C3"/>
    <w:rsid w:val="00CF671B"/>
    <w:rsid w:val="00CF673C"/>
    <w:rsid w:val="00CF6744"/>
    <w:rsid w:val="00CF678B"/>
    <w:rsid w:val="00CF684A"/>
    <w:rsid w:val="00CF69D5"/>
    <w:rsid w:val="00CF69FB"/>
    <w:rsid w:val="00CF6CBD"/>
    <w:rsid w:val="00CF6D1D"/>
    <w:rsid w:val="00CF6F2C"/>
    <w:rsid w:val="00CF6FB9"/>
    <w:rsid w:val="00CF7017"/>
    <w:rsid w:val="00CF7027"/>
    <w:rsid w:val="00CF7093"/>
    <w:rsid w:val="00CF71BB"/>
    <w:rsid w:val="00CF720B"/>
    <w:rsid w:val="00CF7236"/>
    <w:rsid w:val="00CF75F7"/>
    <w:rsid w:val="00CF7676"/>
    <w:rsid w:val="00CF76E7"/>
    <w:rsid w:val="00CF778E"/>
    <w:rsid w:val="00CF782B"/>
    <w:rsid w:val="00CF7885"/>
    <w:rsid w:val="00CF78D0"/>
    <w:rsid w:val="00CF78D2"/>
    <w:rsid w:val="00CF7951"/>
    <w:rsid w:val="00CF799F"/>
    <w:rsid w:val="00CF7A16"/>
    <w:rsid w:val="00CF7C54"/>
    <w:rsid w:val="00CF7D8C"/>
    <w:rsid w:val="00CF7EE1"/>
    <w:rsid w:val="00CF7EEF"/>
    <w:rsid w:val="00CF7FAB"/>
    <w:rsid w:val="00D002A3"/>
    <w:rsid w:val="00D002B9"/>
    <w:rsid w:val="00D00433"/>
    <w:rsid w:val="00D0068C"/>
    <w:rsid w:val="00D00695"/>
    <w:rsid w:val="00D0090C"/>
    <w:rsid w:val="00D00946"/>
    <w:rsid w:val="00D009DD"/>
    <w:rsid w:val="00D00C23"/>
    <w:rsid w:val="00D00C5C"/>
    <w:rsid w:val="00D00C7D"/>
    <w:rsid w:val="00D00D0A"/>
    <w:rsid w:val="00D0107A"/>
    <w:rsid w:val="00D01107"/>
    <w:rsid w:val="00D01375"/>
    <w:rsid w:val="00D015AD"/>
    <w:rsid w:val="00D015C4"/>
    <w:rsid w:val="00D016CA"/>
    <w:rsid w:val="00D01707"/>
    <w:rsid w:val="00D018E2"/>
    <w:rsid w:val="00D019D1"/>
    <w:rsid w:val="00D01B2E"/>
    <w:rsid w:val="00D01D83"/>
    <w:rsid w:val="00D01F0E"/>
    <w:rsid w:val="00D0206B"/>
    <w:rsid w:val="00D0210E"/>
    <w:rsid w:val="00D02141"/>
    <w:rsid w:val="00D0226D"/>
    <w:rsid w:val="00D022C0"/>
    <w:rsid w:val="00D02603"/>
    <w:rsid w:val="00D02634"/>
    <w:rsid w:val="00D02661"/>
    <w:rsid w:val="00D027D9"/>
    <w:rsid w:val="00D028A3"/>
    <w:rsid w:val="00D028DD"/>
    <w:rsid w:val="00D02906"/>
    <w:rsid w:val="00D02A00"/>
    <w:rsid w:val="00D02A07"/>
    <w:rsid w:val="00D02A6E"/>
    <w:rsid w:val="00D02B8A"/>
    <w:rsid w:val="00D02BC5"/>
    <w:rsid w:val="00D02D6F"/>
    <w:rsid w:val="00D02E5B"/>
    <w:rsid w:val="00D02E9F"/>
    <w:rsid w:val="00D02FBA"/>
    <w:rsid w:val="00D03040"/>
    <w:rsid w:val="00D03043"/>
    <w:rsid w:val="00D03074"/>
    <w:rsid w:val="00D03159"/>
    <w:rsid w:val="00D032CC"/>
    <w:rsid w:val="00D03305"/>
    <w:rsid w:val="00D03673"/>
    <w:rsid w:val="00D039B0"/>
    <w:rsid w:val="00D03A84"/>
    <w:rsid w:val="00D03A95"/>
    <w:rsid w:val="00D03AA0"/>
    <w:rsid w:val="00D03AE6"/>
    <w:rsid w:val="00D03BEB"/>
    <w:rsid w:val="00D03EA3"/>
    <w:rsid w:val="00D04183"/>
    <w:rsid w:val="00D041E5"/>
    <w:rsid w:val="00D041E8"/>
    <w:rsid w:val="00D0422E"/>
    <w:rsid w:val="00D042D9"/>
    <w:rsid w:val="00D043BC"/>
    <w:rsid w:val="00D0449B"/>
    <w:rsid w:val="00D044AD"/>
    <w:rsid w:val="00D046A7"/>
    <w:rsid w:val="00D0472A"/>
    <w:rsid w:val="00D047BF"/>
    <w:rsid w:val="00D047EA"/>
    <w:rsid w:val="00D0483D"/>
    <w:rsid w:val="00D049E7"/>
    <w:rsid w:val="00D04A98"/>
    <w:rsid w:val="00D04B81"/>
    <w:rsid w:val="00D04B85"/>
    <w:rsid w:val="00D04BDA"/>
    <w:rsid w:val="00D04BF2"/>
    <w:rsid w:val="00D04CAF"/>
    <w:rsid w:val="00D04DA9"/>
    <w:rsid w:val="00D04E94"/>
    <w:rsid w:val="00D051A8"/>
    <w:rsid w:val="00D0526D"/>
    <w:rsid w:val="00D05453"/>
    <w:rsid w:val="00D056D2"/>
    <w:rsid w:val="00D057A2"/>
    <w:rsid w:val="00D057E1"/>
    <w:rsid w:val="00D05845"/>
    <w:rsid w:val="00D058EF"/>
    <w:rsid w:val="00D05958"/>
    <w:rsid w:val="00D05A13"/>
    <w:rsid w:val="00D05A1E"/>
    <w:rsid w:val="00D05B43"/>
    <w:rsid w:val="00D05BBE"/>
    <w:rsid w:val="00D05EF4"/>
    <w:rsid w:val="00D05F66"/>
    <w:rsid w:val="00D05F6A"/>
    <w:rsid w:val="00D06098"/>
    <w:rsid w:val="00D0624C"/>
    <w:rsid w:val="00D062C5"/>
    <w:rsid w:val="00D063AC"/>
    <w:rsid w:val="00D063E6"/>
    <w:rsid w:val="00D0644A"/>
    <w:rsid w:val="00D0645C"/>
    <w:rsid w:val="00D0653D"/>
    <w:rsid w:val="00D06548"/>
    <w:rsid w:val="00D0656B"/>
    <w:rsid w:val="00D06651"/>
    <w:rsid w:val="00D06791"/>
    <w:rsid w:val="00D068A0"/>
    <w:rsid w:val="00D06A21"/>
    <w:rsid w:val="00D06A57"/>
    <w:rsid w:val="00D06A99"/>
    <w:rsid w:val="00D06ABC"/>
    <w:rsid w:val="00D06BAD"/>
    <w:rsid w:val="00D06BF7"/>
    <w:rsid w:val="00D06D52"/>
    <w:rsid w:val="00D0702B"/>
    <w:rsid w:val="00D070D9"/>
    <w:rsid w:val="00D0730A"/>
    <w:rsid w:val="00D073A0"/>
    <w:rsid w:val="00D0746F"/>
    <w:rsid w:val="00D0767D"/>
    <w:rsid w:val="00D07719"/>
    <w:rsid w:val="00D078C3"/>
    <w:rsid w:val="00D078FE"/>
    <w:rsid w:val="00D07A0F"/>
    <w:rsid w:val="00D07A95"/>
    <w:rsid w:val="00D07AAE"/>
    <w:rsid w:val="00D07AE8"/>
    <w:rsid w:val="00D07BE3"/>
    <w:rsid w:val="00D07C6B"/>
    <w:rsid w:val="00D07CC3"/>
    <w:rsid w:val="00D07D2A"/>
    <w:rsid w:val="00D07E2D"/>
    <w:rsid w:val="00D07FBA"/>
    <w:rsid w:val="00D10073"/>
    <w:rsid w:val="00D100BA"/>
    <w:rsid w:val="00D10237"/>
    <w:rsid w:val="00D1034A"/>
    <w:rsid w:val="00D1038A"/>
    <w:rsid w:val="00D10397"/>
    <w:rsid w:val="00D104E8"/>
    <w:rsid w:val="00D10675"/>
    <w:rsid w:val="00D106C9"/>
    <w:rsid w:val="00D10784"/>
    <w:rsid w:val="00D10799"/>
    <w:rsid w:val="00D10803"/>
    <w:rsid w:val="00D1081C"/>
    <w:rsid w:val="00D10962"/>
    <w:rsid w:val="00D10A66"/>
    <w:rsid w:val="00D10AA6"/>
    <w:rsid w:val="00D10B3B"/>
    <w:rsid w:val="00D10CC2"/>
    <w:rsid w:val="00D10D1D"/>
    <w:rsid w:val="00D10E86"/>
    <w:rsid w:val="00D1134A"/>
    <w:rsid w:val="00D1136A"/>
    <w:rsid w:val="00D11400"/>
    <w:rsid w:val="00D114F3"/>
    <w:rsid w:val="00D115B8"/>
    <w:rsid w:val="00D115D7"/>
    <w:rsid w:val="00D11706"/>
    <w:rsid w:val="00D11A30"/>
    <w:rsid w:val="00D11A36"/>
    <w:rsid w:val="00D11BF9"/>
    <w:rsid w:val="00D11CCA"/>
    <w:rsid w:val="00D11E18"/>
    <w:rsid w:val="00D11F11"/>
    <w:rsid w:val="00D12224"/>
    <w:rsid w:val="00D1229D"/>
    <w:rsid w:val="00D122EB"/>
    <w:rsid w:val="00D123A4"/>
    <w:rsid w:val="00D12468"/>
    <w:rsid w:val="00D124A3"/>
    <w:rsid w:val="00D124C1"/>
    <w:rsid w:val="00D1255A"/>
    <w:rsid w:val="00D125AC"/>
    <w:rsid w:val="00D126BB"/>
    <w:rsid w:val="00D126E3"/>
    <w:rsid w:val="00D12710"/>
    <w:rsid w:val="00D12958"/>
    <w:rsid w:val="00D12B0F"/>
    <w:rsid w:val="00D12B58"/>
    <w:rsid w:val="00D12C8C"/>
    <w:rsid w:val="00D12CCE"/>
    <w:rsid w:val="00D12D3F"/>
    <w:rsid w:val="00D12DD7"/>
    <w:rsid w:val="00D12E46"/>
    <w:rsid w:val="00D12E93"/>
    <w:rsid w:val="00D12E9C"/>
    <w:rsid w:val="00D12EAE"/>
    <w:rsid w:val="00D12ECC"/>
    <w:rsid w:val="00D13031"/>
    <w:rsid w:val="00D1305A"/>
    <w:rsid w:val="00D13161"/>
    <w:rsid w:val="00D131B1"/>
    <w:rsid w:val="00D13260"/>
    <w:rsid w:val="00D132BB"/>
    <w:rsid w:val="00D13436"/>
    <w:rsid w:val="00D1344A"/>
    <w:rsid w:val="00D13486"/>
    <w:rsid w:val="00D1356E"/>
    <w:rsid w:val="00D13626"/>
    <w:rsid w:val="00D1369F"/>
    <w:rsid w:val="00D1372F"/>
    <w:rsid w:val="00D1375C"/>
    <w:rsid w:val="00D13772"/>
    <w:rsid w:val="00D137BD"/>
    <w:rsid w:val="00D137EE"/>
    <w:rsid w:val="00D13A9C"/>
    <w:rsid w:val="00D13CBC"/>
    <w:rsid w:val="00D13E45"/>
    <w:rsid w:val="00D13EDF"/>
    <w:rsid w:val="00D1405C"/>
    <w:rsid w:val="00D14137"/>
    <w:rsid w:val="00D1422B"/>
    <w:rsid w:val="00D14257"/>
    <w:rsid w:val="00D14267"/>
    <w:rsid w:val="00D14275"/>
    <w:rsid w:val="00D1430F"/>
    <w:rsid w:val="00D14413"/>
    <w:rsid w:val="00D14444"/>
    <w:rsid w:val="00D14453"/>
    <w:rsid w:val="00D14499"/>
    <w:rsid w:val="00D1450A"/>
    <w:rsid w:val="00D14559"/>
    <w:rsid w:val="00D14570"/>
    <w:rsid w:val="00D1460F"/>
    <w:rsid w:val="00D1471D"/>
    <w:rsid w:val="00D1478D"/>
    <w:rsid w:val="00D14834"/>
    <w:rsid w:val="00D1494A"/>
    <w:rsid w:val="00D14B81"/>
    <w:rsid w:val="00D14E21"/>
    <w:rsid w:val="00D1512E"/>
    <w:rsid w:val="00D152BA"/>
    <w:rsid w:val="00D152D1"/>
    <w:rsid w:val="00D15357"/>
    <w:rsid w:val="00D155A3"/>
    <w:rsid w:val="00D155D1"/>
    <w:rsid w:val="00D155E8"/>
    <w:rsid w:val="00D1560E"/>
    <w:rsid w:val="00D15681"/>
    <w:rsid w:val="00D159FD"/>
    <w:rsid w:val="00D15A37"/>
    <w:rsid w:val="00D15A4B"/>
    <w:rsid w:val="00D15ABE"/>
    <w:rsid w:val="00D15B17"/>
    <w:rsid w:val="00D15B36"/>
    <w:rsid w:val="00D15E41"/>
    <w:rsid w:val="00D15FE2"/>
    <w:rsid w:val="00D1600A"/>
    <w:rsid w:val="00D16050"/>
    <w:rsid w:val="00D16114"/>
    <w:rsid w:val="00D16177"/>
    <w:rsid w:val="00D162CE"/>
    <w:rsid w:val="00D1634A"/>
    <w:rsid w:val="00D1637F"/>
    <w:rsid w:val="00D163B1"/>
    <w:rsid w:val="00D16503"/>
    <w:rsid w:val="00D165DE"/>
    <w:rsid w:val="00D16627"/>
    <w:rsid w:val="00D16638"/>
    <w:rsid w:val="00D1674D"/>
    <w:rsid w:val="00D1679F"/>
    <w:rsid w:val="00D1684B"/>
    <w:rsid w:val="00D16876"/>
    <w:rsid w:val="00D168F0"/>
    <w:rsid w:val="00D16912"/>
    <w:rsid w:val="00D16925"/>
    <w:rsid w:val="00D169F3"/>
    <w:rsid w:val="00D16A07"/>
    <w:rsid w:val="00D16B3E"/>
    <w:rsid w:val="00D16DAE"/>
    <w:rsid w:val="00D16DF5"/>
    <w:rsid w:val="00D16F30"/>
    <w:rsid w:val="00D16FAD"/>
    <w:rsid w:val="00D17281"/>
    <w:rsid w:val="00D172E7"/>
    <w:rsid w:val="00D1739A"/>
    <w:rsid w:val="00D174DB"/>
    <w:rsid w:val="00D1776D"/>
    <w:rsid w:val="00D177AA"/>
    <w:rsid w:val="00D177F0"/>
    <w:rsid w:val="00D177F7"/>
    <w:rsid w:val="00D178B7"/>
    <w:rsid w:val="00D17936"/>
    <w:rsid w:val="00D17981"/>
    <w:rsid w:val="00D17A9B"/>
    <w:rsid w:val="00D17AB1"/>
    <w:rsid w:val="00D17AEC"/>
    <w:rsid w:val="00D17BB8"/>
    <w:rsid w:val="00D17BCC"/>
    <w:rsid w:val="00D17BF6"/>
    <w:rsid w:val="00D17E4B"/>
    <w:rsid w:val="00D17EDE"/>
    <w:rsid w:val="00D17FA1"/>
    <w:rsid w:val="00D17FA7"/>
    <w:rsid w:val="00D2000A"/>
    <w:rsid w:val="00D20010"/>
    <w:rsid w:val="00D20069"/>
    <w:rsid w:val="00D2012B"/>
    <w:rsid w:val="00D201E7"/>
    <w:rsid w:val="00D20370"/>
    <w:rsid w:val="00D2038E"/>
    <w:rsid w:val="00D203C8"/>
    <w:rsid w:val="00D2043A"/>
    <w:rsid w:val="00D20442"/>
    <w:rsid w:val="00D20446"/>
    <w:rsid w:val="00D20545"/>
    <w:rsid w:val="00D20592"/>
    <w:rsid w:val="00D205A4"/>
    <w:rsid w:val="00D205C6"/>
    <w:rsid w:val="00D205D9"/>
    <w:rsid w:val="00D20641"/>
    <w:rsid w:val="00D20775"/>
    <w:rsid w:val="00D207C5"/>
    <w:rsid w:val="00D207F3"/>
    <w:rsid w:val="00D20938"/>
    <w:rsid w:val="00D209D5"/>
    <w:rsid w:val="00D20A2B"/>
    <w:rsid w:val="00D20A8B"/>
    <w:rsid w:val="00D20AB1"/>
    <w:rsid w:val="00D20B05"/>
    <w:rsid w:val="00D20B78"/>
    <w:rsid w:val="00D20BA5"/>
    <w:rsid w:val="00D20BAF"/>
    <w:rsid w:val="00D20CA5"/>
    <w:rsid w:val="00D20D18"/>
    <w:rsid w:val="00D20E61"/>
    <w:rsid w:val="00D20F2E"/>
    <w:rsid w:val="00D2116B"/>
    <w:rsid w:val="00D21288"/>
    <w:rsid w:val="00D212B7"/>
    <w:rsid w:val="00D21406"/>
    <w:rsid w:val="00D21482"/>
    <w:rsid w:val="00D214FA"/>
    <w:rsid w:val="00D215B4"/>
    <w:rsid w:val="00D21662"/>
    <w:rsid w:val="00D217B4"/>
    <w:rsid w:val="00D21861"/>
    <w:rsid w:val="00D218FE"/>
    <w:rsid w:val="00D2194F"/>
    <w:rsid w:val="00D21993"/>
    <w:rsid w:val="00D219D5"/>
    <w:rsid w:val="00D21B52"/>
    <w:rsid w:val="00D21C70"/>
    <w:rsid w:val="00D21C87"/>
    <w:rsid w:val="00D21E30"/>
    <w:rsid w:val="00D21E7F"/>
    <w:rsid w:val="00D22035"/>
    <w:rsid w:val="00D22036"/>
    <w:rsid w:val="00D220D3"/>
    <w:rsid w:val="00D22147"/>
    <w:rsid w:val="00D221CC"/>
    <w:rsid w:val="00D221D5"/>
    <w:rsid w:val="00D223D4"/>
    <w:rsid w:val="00D22464"/>
    <w:rsid w:val="00D2256B"/>
    <w:rsid w:val="00D225E7"/>
    <w:rsid w:val="00D22627"/>
    <w:rsid w:val="00D22738"/>
    <w:rsid w:val="00D22740"/>
    <w:rsid w:val="00D227CC"/>
    <w:rsid w:val="00D229EF"/>
    <w:rsid w:val="00D22A39"/>
    <w:rsid w:val="00D22D1E"/>
    <w:rsid w:val="00D22D54"/>
    <w:rsid w:val="00D22DF0"/>
    <w:rsid w:val="00D22DF5"/>
    <w:rsid w:val="00D22ECE"/>
    <w:rsid w:val="00D22F82"/>
    <w:rsid w:val="00D22FE7"/>
    <w:rsid w:val="00D2321C"/>
    <w:rsid w:val="00D23452"/>
    <w:rsid w:val="00D234EA"/>
    <w:rsid w:val="00D2362C"/>
    <w:rsid w:val="00D2363A"/>
    <w:rsid w:val="00D23688"/>
    <w:rsid w:val="00D237D0"/>
    <w:rsid w:val="00D23845"/>
    <w:rsid w:val="00D239D2"/>
    <w:rsid w:val="00D23A14"/>
    <w:rsid w:val="00D23A78"/>
    <w:rsid w:val="00D23BF8"/>
    <w:rsid w:val="00D23C27"/>
    <w:rsid w:val="00D23CBA"/>
    <w:rsid w:val="00D23CFA"/>
    <w:rsid w:val="00D23D47"/>
    <w:rsid w:val="00D23F31"/>
    <w:rsid w:val="00D23F5D"/>
    <w:rsid w:val="00D24115"/>
    <w:rsid w:val="00D24221"/>
    <w:rsid w:val="00D242B6"/>
    <w:rsid w:val="00D24422"/>
    <w:rsid w:val="00D24493"/>
    <w:rsid w:val="00D24533"/>
    <w:rsid w:val="00D24545"/>
    <w:rsid w:val="00D2484B"/>
    <w:rsid w:val="00D249E7"/>
    <w:rsid w:val="00D24C12"/>
    <w:rsid w:val="00D24C7B"/>
    <w:rsid w:val="00D24D8B"/>
    <w:rsid w:val="00D24DD9"/>
    <w:rsid w:val="00D24EF1"/>
    <w:rsid w:val="00D25008"/>
    <w:rsid w:val="00D25175"/>
    <w:rsid w:val="00D251C3"/>
    <w:rsid w:val="00D251CE"/>
    <w:rsid w:val="00D25293"/>
    <w:rsid w:val="00D2533A"/>
    <w:rsid w:val="00D2565E"/>
    <w:rsid w:val="00D257A3"/>
    <w:rsid w:val="00D25857"/>
    <w:rsid w:val="00D259F5"/>
    <w:rsid w:val="00D25BAD"/>
    <w:rsid w:val="00D25DA9"/>
    <w:rsid w:val="00D25DD2"/>
    <w:rsid w:val="00D25E0C"/>
    <w:rsid w:val="00D25EA0"/>
    <w:rsid w:val="00D260AC"/>
    <w:rsid w:val="00D2616A"/>
    <w:rsid w:val="00D26179"/>
    <w:rsid w:val="00D26192"/>
    <w:rsid w:val="00D2625F"/>
    <w:rsid w:val="00D26287"/>
    <w:rsid w:val="00D263AD"/>
    <w:rsid w:val="00D26410"/>
    <w:rsid w:val="00D26443"/>
    <w:rsid w:val="00D26474"/>
    <w:rsid w:val="00D26658"/>
    <w:rsid w:val="00D2668A"/>
    <w:rsid w:val="00D267E1"/>
    <w:rsid w:val="00D2680A"/>
    <w:rsid w:val="00D26A38"/>
    <w:rsid w:val="00D26AE4"/>
    <w:rsid w:val="00D26C33"/>
    <w:rsid w:val="00D26DAF"/>
    <w:rsid w:val="00D26E72"/>
    <w:rsid w:val="00D26F23"/>
    <w:rsid w:val="00D27070"/>
    <w:rsid w:val="00D270C4"/>
    <w:rsid w:val="00D27124"/>
    <w:rsid w:val="00D271D1"/>
    <w:rsid w:val="00D2727D"/>
    <w:rsid w:val="00D2738B"/>
    <w:rsid w:val="00D27413"/>
    <w:rsid w:val="00D27634"/>
    <w:rsid w:val="00D27651"/>
    <w:rsid w:val="00D276BC"/>
    <w:rsid w:val="00D277A1"/>
    <w:rsid w:val="00D2782D"/>
    <w:rsid w:val="00D27834"/>
    <w:rsid w:val="00D278EF"/>
    <w:rsid w:val="00D27949"/>
    <w:rsid w:val="00D2794F"/>
    <w:rsid w:val="00D27A31"/>
    <w:rsid w:val="00D27AF8"/>
    <w:rsid w:val="00D27B1A"/>
    <w:rsid w:val="00D27B22"/>
    <w:rsid w:val="00D27C1C"/>
    <w:rsid w:val="00D27CC7"/>
    <w:rsid w:val="00D27CE1"/>
    <w:rsid w:val="00D27EA2"/>
    <w:rsid w:val="00D3009F"/>
    <w:rsid w:val="00D301EB"/>
    <w:rsid w:val="00D301ED"/>
    <w:rsid w:val="00D30259"/>
    <w:rsid w:val="00D302F2"/>
    <w:rsid w:val="00D3043E"/>
    <w:rsid w:val="00D30615"/>
    <w:rsid w:val="00D307EF"/>
    <w:rsid w:val="00D30915"/>
    <w:rsid w:val="00D309F8"/>
    <w:rsid w:val="00D30A0B"/>
    <w:rsid w:val="00D30A2C"/>
    <w:rsid w:val="00D30B5D"/>
    <w:rsid w:val="00D30C02"/>
    <w:rsid w:val="00D30FEA"/>
    <w:rsid w:val="00D3121A"/>
    <w:rsid w:val="00D3132A"/>
    <w:rsid w:val="00D31344"/>
    <w:rsid w:val="00D31371"/>
    <w:rsid w:val="00D31428"/>
    <w:rsid w:val="00D31466"/>
    <w:rsid w:val="00D314A8"/>
    <w:rsid w:val="00D31AF2"/>
    <w:rsid w:val="00D31C20"/>
    <w:rsid w:val="00D31D62"/>
    <w:rsid w:val="00D31E74"/>
    <w:rsid w:val="00D31EBC"/>
    <w:rsid w:val="00D31FF8"/>
    <w:rsid w:val="00D32039"/>
    <w:rsid w:val="00D32114"/>
    <w:rsid w:val="00D32158"/>
    <w:rsid w:val="00D323FF"/>
    <w:rsid w:val="00D32448"/>
    <w:rsid w:val="00D325C9"/>
    <w:rsid w:val="00D32634"/>
    <w:rsid w:val="00D3284C"/>
    <w:rsid w:val="00D328F9"/>
    <w:rsid w:val="00D32903"/>
    <w:rsid w:val="00D3299F"/>
    <w:rsid w:val="00D329CF"/>
    <w:rsid w:val="00D329D4"/>
    <w:rsid w:val="00D32ABA"/>
    <w:rsid w:val="00D32C08"/>
    <w:rsid w:val="00D32C56"/>
    <w:rsid w:val="00D32E65"/>
    <w:rsid w:val="00D32E85"/>
    <w:rsid w:val="00D3318A"/>
    <w:rsid w:val="00D331B6"/>
    <w:rsid w:val="00D331C6"/>
    <w:rsid w:val="00D334B6"/>
    <w:rsid w:val="00D335FB"/>
    <w:rsid w:val="00D337D5"/>
    <w:rsid w:val="00D33AF0"/>
    <w:rsid w:val="00D33C01"/>
    <w:rsid w:val="00D33C5B"/>
    <w:rsid w:val="00D33C5E"/>
    <w:rsid w:val="00D33CAE"/>
    <w:rsid w:val="00D33CC1"/>
    <w:rsid w:val="00D33E7C"/>
    <w:rsid w:val="00D33E7D"/>
    <w:rsid w:val="00D33EF7"/>
    <w:rsid w:val="00D33FAF"/>
    <w:rsid w:val="00D34052"/>
    <w:rsid w:val="00D34107"/>
    <w:rsid w:val="00D34320"/>
    <w:rsid w:val="00D34385"/>
    <w:rsid w:val="00D34707"/>
    <w:rsid w:val="00D34789"/>
    <w:rsid w:val="00D3479B"/>
    <w:rsid w:val="00D347C0"/>
    <w:rsid w:val="00D349E5"/>
    <w:rsid w:val="00D34BA0"/>
    <w:rsid w:val="00D34C51"/>
    <w:rsid w:val="00D34CEB"/>
    <w:rsid w:val="00D34D1F"/>
    <w:rsid w:val="00D34F6A"/>
    <w:rsid w:val="00D35052"/>
    <w:rsid w:val="00D351A2"/>
    <w:rsid w:val="00D351C6"/>
    <w:rsid w:val="00D351FB"/>
    <w:rsid w:val="00D3550E"/>
    <w:rsid w:val="00D35637"/>
    <w:rsid w:val="00D35817"/>
    <w:rsid w:val="00D35898"/>
    <w:rsid w:val="00D35926"/>
    <w:rsid w:val="00D3598F"/>
    <w:rsid w:val="00D3599D"/>
    <w:rsid w:val="00D35A77"/>
    <w:rsid w:val="00D35ACA"/>
    <w:rsid w:val="00D35C95"/>
    <w:rsid w:val="00D35D4F"/>
    <w:rsid w:val="00D35F7C"/>
    <w:rsid w:val="00D3608F"/>
    <w:rsid w:val="00D360C5"/>
    <w:rsid w:val="00D3611A"/>
    <w:rsid w:val="00D361B6"/>
    <w:rsid w:val="00D36255"/>
    <w:rsid w:val="00D36341"/>
    <w:rsid w:val="00D3634A"/>
    <w:rsid w:val="00D36360"/>
    <w:rsid w:val="00D3661A"/>
    <w:rsid w:val="00D367E7"/>
    <w:rsid w:val="00D368A7"/>
    <w:rsid w:val="00D36A1D"/>
    <w:rsid w:val="00D36A96"/>
    <w:rsid w:val="00D36B8B"/>
    <w:rsid w:val="00D36C50"/>
    <w:rsid w:val="00D36DB4"/>
    <w:rsid w:val="00D36DFA"/>
    <w:rsid w:val="00D36E4E"/>
    <w:rsid w:val="00D36EF0"/>
    <w:rsid w:val="00D36F7C"/>
    <w:rsid w:val="00D3722E"/>
    <w:rsid w:val="00D373D8"/>
    <w:rsid w:val="00D37430"/>
    <w:rsid w:val="00D375F8"/>
    <w:rsid w:val="00D379AA"/>
    <w:rsid w:val="00D37AF1"/>
    <w:rsid w:val="00D37B1C"/>
    <w:rsid w:val="00D37BE2"/>
    <w:rsid w:val="00D37CBB"/>
    <w:rsid w:val="00D37CC1"/>
    <w:rsid w:val="00D37DB2"/>
    <w:rsid w:val="00D37DD8"/>
    <w:rsid w:val="00D37E97"/>
    <w:rsid w:val="00D37F17"/>
    <w:rsid w:val="00D400DC"/>
    <w:rsid w:val="00D4011E"/>
    <w:rsid w:val="00D40187"/>
    <w:rsid w:val="00D40262"/>
    <w:rsid w:val="00D40315"/>
    <w:rsid w:val="00D4031F"/>
    <w:rsid w:val="00D4044D"/>
    <w:rsid w:val="00D40466"/>
    <w:rsid w:val="00D4057C"/>
    <w:rsid w:val="00D405BB"/>
    <w:rsid w:val="00D405EA"/>
    <w:rsid w:val="00D406D4"/>
    <w:rsid w:val="00D40736"/>
    <w:rsid w:val="00D40A19"/>
    <w:rsid w:val="00D40BF4"/>
    <w:rsid w:val="00D40DAC"/>
    <w:rsid w:val="00D40ED0"/>
    <w:rsid w:val="00D40F36"/>
    <w:rsid w:val="00D41167"/>
    <w:rsid w:val="00D4117E"/>
    <w:rsid w:val="00D41331"/>
    <w:rsid w:val="00D41350"/>
    <w:rsid w:val="00D41607"/>
    <w:rsid w:val="00D417C9"/>
    <w:rsid w:val="00D41849"/>
    <w:rsid w:val="00D4187D"/>
    <w:rsid w:val="00D4188A"/>
    <w:rsid w:val="00D4190F"/>
    <w:rsid w:val="00D41958"/>
    <w:rsid w:val="00D41999"/>
    <w:rsid w:val="00D419E0"/>
    <w:rsid w:val="00D41A1D"/>
    <w:rsid w:val="00D41A96"/>
    <w:rsid w:val="00D41C2C"/>
    <w:rsid w:val="00D41C95"/>
    <w:rsid w:val="00D41D0D"/>
    <w:rsid w:val="00D41E4F"/>
    <w:rsid w:val="00D41EE1"/>
    <w:rsid w:val="00D42161"/>
    <w:rsid w:val="00D421C4"/>
    <w:rsid w:val="00D4237A"/>
    <w:rsid w:val="00D423BB"/>
    <w:rsid w:val="00D42407"/>
    <w:rsid w:val="00D424F4"/>
    <w:rsid w:val="00D4255D"/>
    <w:rsid w:val="00D427DC"/>
    <w:rsid w:val="00D428A5"/>
    <w:rsid w:val="00D429CB"/>
    <w:rsid w:val="00D429F3"/>
    <w:rsid w:val="00D42A1A"/>
    <w:rsid w:val="00D42A8F"/>
    <w:rsid w:val="00D42B95"/>
    <w:rsid w:val="00D42BEC"/>
    <w:rsid w:val="00D42CD0"/>
    <w:rsid w:val="00D42DD7"/>
    <w:rsid w:val="00D42E23"/>
    <w:rsid w:val="00D42F4A"/>
    <w:rsid w:val="00D42FAC"/>
    <w:rsid w:val="00D4304F"/>
    <w:rsid w:val="00D430C4"/>
    <w:rsid w:val="00D430DF"/>
    <w:rsid w:val="00D43195"/>
    <w:rsid w:val="00D432B9"/>
    <w:rsid w:val="00D433DA"/>
    <w:rsid w:val="00D435B8"/>
    <w:rsid w:val="00D435CA"/>
    <w:rsid w:val="00D4370C"/>
    <w:rsid w:val="00D4373C"/>
    <w:rsid w:val="00D437EF"/>
    <w:rsid w:val="00D43C09"/>
    <w:rsid w:val="00D43C3B"/>
    <w:rsid w:val="00D43D01"/>
    <w:rsid w:val="00D43FBC"/>
    <w:rsid w:val="00D43FDD"/>
    <w:rsid w:val="00D441E8"/>
    <w:rsid w:val="00D4421B"/>
    <w:rsid w:val="00D4434A"/>
    <w:rsid w:val="00D44358"/>
    <w:rsid w:val="00D44385"/>
    <w:rsid w:val="00D4441A"/>
    <w:rsid w:val="00D4456F"/>
    <w:rsid w:val="00D44580"/>
    <w:rsid w:val="00D44631"/>
    <w:rsid w:val="00D44839"/>
    <w:rsid w:val="00D449BA"/>
    <w:rsid w:val="00D44A5B"/>
    <w:rsid w:val="00D44AC3"/>
    <w:rsid w:val="00D44B53"/>
    <w:rsid w:val="00D44BC8"/>
    <w:rsid w:val="00D44E20"/>
    <w:rsid w:val="00D44EBD"/>
    <w:rsid w:val="00D44FBB"/>
    <w:rsid w:val="00D44FCD"/>
    <w:rsid w:val="00D450C5"/>
    <w:rsid w:val="00D451A3"/>
    <w:rsid w:val="00D451D1"/>
    <w:rsid w:val="00D45228"/>
    <w:rsid w:val="00D4531F"/>
    <w:rsid w:val="00D453DC"/>
    <w:rsid w:val="00D4545B"/>
    <w:rsid w:val="00D454D2"/>
    <w:rsid w:val="00D4554B"/>
    <w:rsid w:val="00D455ED"/>
    <w:rsid w:val="00D456C7"/>
    <w:rsid w:val="00D458E6"/>
    <w:rsid w:val="00D4590E"/>
    <w:rsid w:val="00D45AF9"/>
    <w:rsid w:val="00D45C26"/>
    <w:rsid w:val="00D45C30"/>
    <w:rsid w:val="00D45D56"/>
    <w:rsid w:val="00D45EC6"/>
    <w:rsid w:val="00D45F06"/>
    <w:rsid w:val="00D45F0C"/>
    <w:rsid w:val="00D46097"/>
    <w:rsid w:val="00D4619B"/>
    <w:rsid w:val="00D4625D"/>
    <w:rsid w:val="00D46271"/>
    <w:rsid w:val="00D46283"/>
    <w:rsid w:val="00D4629A"/>
    <w:rsid w:val="00D4631C"/>
    <w:rsid w:val="00D4633B"/>
    <w:rsid w:val="00D464B3"/>
    <w:rsid w:val="00D466EA"/>
    <w:rsid w:val="00D467BA"/>
    <w:rsid w:val="00D467E1"/>
    <w:rsid w:val="00D46845"/>
    <w:rsid w:val="00D469CD"/>
    <w:rsid w:val="00D46CBD"/>
    <w:rsid w:val="00D46DE8"/>
    <w:rsid w:val="00D46E3E"/>
    <w:rsid w:val="00D47125"/>
    <w:rsid w:val="00D47206"/>
    <w:rsid w:val="00D472C1"/>
    <w:rsid w:val="00D47328"/>
    <w:rsid w:val="00D4733C"/>
    <w:rsid w:val="00D473DF"/>
    <w:rsid w:val="00D473F9"/>
    <w:rsid w:val="00D47588"/>
    <w:rsid w:val="00D476FE"/>
    <w:rsid w:val="00D477B2"/>
    <w:rsid w:val="00D47808"/>
    <w:rsid w:val="00D4787D"/>
    <w:rsid w:val="00D478EB"/>
    <w:rsid w:val="00D4799D"/>
    <w:rsid w:val="00D47B3F"/>
    <w:rsid w:val="00D47E07"/>
    <w:rsid w:val="00D47E2B"/>
    <w:rsid w:val="00D47E2C"/>
    <w:rsid w:val="00D47E40"/>
    <w:rsid w:val="00D47EE8"/>
    <w:rsid w:val="00D50023"/>
    <w:rsid w:val="00D50092"/>
    <w:rsid w:val="00D500D3"/>
    <w:rsid w:val="00D500DB"/>
    <w:rsid w:val="00D5020C"/>
    <w:rsid w:val="00D5038D"/>
    <w:rsid w:val="00D50407"/>
    <w:rsid w:val="00D50448"/>
    <w:rsid w:val="00D50497"/>
    <w:rsid w:val="00D5049D"/>
    <w:rsid w:val="00D50640"/>
    <w:rsid w:val="00D50732"/>
    <w:rsid w:val="00D50861"/>
    <w:rsid w:val="00D5097F"/>
    <w:rsid w:val="00D509AA"/>
    <w:rsid w:val="00D509BD"/>
    <w:rsid w:val="00D50A62"/>
    <w:rsid w:val="00D50AF6"/>
    <w:rsid w:val="00D50C13"/>
    <w:rsid w:val="00D50DF6"/>
    <w:rsid w:val="00D50E90"/>
    <w:rsid w:val="00D50FBF"/>
    <w:rsid w:val="00D50FE4"/>
    <w:rsid w:val="00D510DC"/>
    <w:rsid w:val="00D510F4"/>
    <w:rsid w:val="00D51151"/>
    <w:rsid w:val="00D5116F"/>
    <w:rsid w:val="00D5123F"/>
    <w:rsid w:val="00D512F3"/>
    <w:rsid w:val="00D51341"/>
    <w:rsid w:val="00D514A9"/>
    <w:rsid w:val="00D5151E"/>
    <w:rsid w:val="00D515B6"/>
    <w:rsid w:val="00D5164C"/>
    <w:rsid w:val="00D51650"/>
    <w:rsid w:val="00D51730"/>
    <w:rsid w:val="00D51945"/>
    <w:rsid w:val="00D51A5F"/>
    <w:rsid w:val="00D51A79"/>
    <w:rsid w:val="00D51AE4"/>
    <w:rsid w:val="00D51B9B"/>
    <w:rsid w:val="00D51E5A"/>
    <w:rsid w:val="00D51F66"/>
    <w:rsid w:val="00D51FB3"/>
    <w:rsid w:val="00D52050"/>
    <w:rsid w:val="00D520B4"/>
    <w:rsid w:val="00D520B6"/>
    <w:rsid w:val="00D522DB"/>
    <w:rsid w:val="00D52384"/>
    <w:rsid w:val="00D524E5"/>
    <w:rsid w:val="00D52617"/>
    <w:rsid w:val="00D5280A"/>
    <w:rsid w:val="00D52826"/>
    <w:rsid w:val="00D52950"/>
    <w:rsid w:val="00D5298F"/>
    <w:rsid w:val="00D529EC"/>
    <w:rsid w:val="00D52A06"/>
    <w:rsid w:val="00D52BC2"/>
    <w:rsid w:val="00D52C0C"/>
    <w:rsid w:val="00D52CFA"/>
    <w:rsid w:val="00D52E71"/>
    <w:rsid w:val="00D52F59"/>
    <w:rsid w:val="00D52F92"/>
    <w:rsid w:val="00D52FD4"/>
    <w:rsid w:val="00D530F9"/>
    <w:rsid w:val="00D53122"/>
    <w:rsid w:val="00D531B7"/>
    <w:rsid w:val="00D531E6"/>
    <w:rsid w:val="00D53510"/>
    <w:rsid w:val="00D53760"/>
    <w:rsid w:val="00D537DB"/>
    <w:rsid w:val="00D539CB"/>
    <w:rsid w:val="00D539EA"/>
    <w:rsid w:val="00D53AB6"/>
    <w:rsid w:val="00D53E65"/>
    <w:rsid w:val="00D53F18"/>
    <w:rsid w:val="00D54018"/>
    <w:rsid w:val="00D54103"/>
    <w:rsid w:val="00D54114"/>
    <w:rsid w:val="00D54169"/>
    <w:rsid w:val="00D541B3"/>
    <w:rsid w:val="00D541EB"/>
    <w:rsid w:val="00D542BC"/>
    <w:rsid w:val="00D54367"/>
    <w:rsid w:val="00D54384"/>
    <w:rsid w:val="00D54427"/>
    <w:rsid w:val="00D54430"/>
    <w:rsid w:val="00D5445F"/>
    <w:rsid w:val="00D544F9"/>
    <w:rsid w:val="00D54533"/>
    <w:rsid w:val="00D5459E"/>
    <w:rsid w:val="00D54691"/>
    <w:rsid w:val="00D548E3"/>
    <w:rsid w:val="00D549EA"/>
    <w:rsid w:val="00D54A1A"/>
    <w:rsid w:val="00D54B02"/>
    <w:rsid w:val="00D54B68"/>
    <w:rsid w:val="00D54BE0"/>
    <w:rsid w:val="00D54C2F"/>
    <w:rsid w:val="00D54CAB"/>
    <w:rsid w:val="00D54E01"/>
    <w:rsid w:val="00D54EA4"/>
    <w:rsid w:val="00D54EFC"/>
    <w:rsid w:val="00D55020"/>
    <w:rsid w:val="00D55189"/>
    <w:rsid w:val="00D55475"/>
    <w:rsid w:val="00D5547C"/>
    <w:rsid w:val="00D55498"/>
    <w:rsid w:val="00D554C3"/>
    <w:rsid w:val="00D55565"/>
    <w:rsid w:val="00D55586"/>
    <w:rsid w:val="00D555E6"/>
    <w:rsid w:val="00D55608"/>
    <w:rsid w:val="00D556E1"/>
    <w:rsid w:val="00D55799"/>
    <w:rsid w:val="00D558BF"/>
    <w:rsid w:val="00D5596E"/>
    <w:rsid w:val="00D559E9"/>
    <w:rsid w:val="00D55A83"/>
    <w:rsid w:val="00D55B61"/>
    <w:rsid w:val="00D55B65"/>
    <w:rsid w:val="00D55D0B"/>
    <w:rsid w:val="00D55D76"/>
    <w:rsid w:val="00D55D89"/>
    <w:rsid w:val="00D5601D"/>
    <w:rsid w:val="00D56062"/>
    <w:rsid w:val="00D5608B"/>
    <w:rsid w:val="00D56098"/>
    <w:rsid w:val="00D5610B"/>
    <w:rsid w:val="00D561FA"/>
    <w:rsid w:val="00D563B8"/>
    <w:rsid w:val="00D56404"/>
    <w:rsid w:val="00D56491"/>
    <w:rsid w:val="00D56570"/>
    <w:rsid w:val="00D56633"/>
    <w:rsid w:val="00D567EC"/>
    <w:rsid w:val="00D5684A"/>
    <w:rsid w:val="00D568A7"/>
    <w:rsid w:val="00D56989"/>
    <w:rsid w:val="00D56BA8"/>
    <w:rsid w:val="00D56C71"/>
    <w:rsid w:val="00D56CAF"/>
    <w:rsid w:val="00D56D45"/>
    <w:rsid w:val="00D56E8F"/>
    <w:rsid w:val="00D56F7D"/>
    <w:rsid w:val="00D5723D"/>
    <w:rsid w:val="00D5728B"/>
    <w:rsid w:val="00D5734F"/>
    <w:rsid w:val="00D5746A"/>
    <w:rsid w:val="00D57658"/>
    <w:rsid w:val="00D57663"/>
    <w:rsid w:val="00D57834"/>
    <w:rsid w:val="00D5784C"/>
    <w:rsid w:val="00D57853"/>
    <w:rsid w:val="00D5790B"/>
    <w:rsid w:val="00D5790C"/>
    <w:rsid w:val="00D57A29"/>
    <w:rsid w:val="00D57E84"/>
    <w:rsid w:val="00D57F2A"/>
    <w:rsid w:val="00D60174"/>
    <w:rsid w:val="00D6019E"/>
    <w:rsid w:val="00D60224"/>
    <w:rsid w:val="00D60251"/>
    <w:rsid w:val="00D6025D"/>
    <w:rsid w:val="00D60274"/>
    <w:rsid w:val="00D602D1"/>
    <w:rsid w:val="00D60329"/>
    <w:rsid w:val="00D604AB"/>
    <w:rsid w:val="00D604FB"/>
    <w:rsid w:val="00D60512"/>
    <w:rsid w:val="00D605AE"/>
    <w:rsid w:val="00D60791"/>
    <w:rsid w:val="00D6098B"/>
    <w:rsid w:val="00D609A4"/>
    <w:rsid w:val="00D60B6A"/>
    <w:rsid w:val="00D60D10"/>
    <w:rsid w:val="00D60EE6"/>
    <w:rsid w:val="00D60F27"/>
    <w:rsid w:val="00D60F28"/>
    <w:rsid w:val="00D60F7D"/>
    <w:rsid w:val="00D6121E"/>
    <w:rsid w:val="00D612E1"/>
    <w:rsid w:val="00D612F7"/>
    <w:rsid w:val="00D6133D"/>
    <w:rsid w:val="00D61381"/>
    <w:rsid w:val="00D613B9"/>
    <w:rsid w:val="00D614C6"/>
    <w:rsid w:val="00D614CA"/>
    <w:rsid w:val="00D6169E"/>
    <w:rsid w:val="00D61769"/>
    <w:rsid w:val="00D617B5"/>
    <w:rsid w:val="00D61833"/>
    <w:rsid w:val="00D61883"/>
    <w:rsid w:val="00D61895"/>
    <w:rsid w:val="00D61919"/>
    <w:rsid w:val="00D61A53"/>
    <w:rsid w:val="00D61B61"/>
    <w:rsid w:val="00D61C8E"/>
    <w:rsid w:val="00D61D8A"/>
    <w:rsid w:val="00D61D91"/>
    <w:rsid w:val="00D61E48"/>
    <w:rsid w:val="00D61FCB"/>
    <w:rsid w:val="00D62025"/>
    <w:rsid w:val="00D62062"/>
    <w:rsid w:val="00D620D3"/>
    <w:rsid w:val="00D62179"/>
    <w:rsid w:val="00D622FC"/>
    <w:rsid w:val="00D62350"/>
    <w:rsid w:val="00D6235C"/>
    <w:rsid w:val="00D623D2"/>
    <w:rsid w:val="00D62422"/>
    <w:rsid w:val="00D6250B"/>
    <w:rsid w:val="00D62696"/>
    <w:rsid w:val="00D62777"/>
    <w:rsid w:val="00D62903"/>
    <w:rsid w:val="00D62A7F"/>
    <w:rsid w:val="00D62A8E"/>
    <w:rsid w:val="00D62B9B"/>
    <w:rsid w:val="00D62B9D"/>
    <w:rsid w:val="00D62E17"/>
    <w:rsid w:val="00D62F1A"/>
    <w:rsid w:val="00D62FA7"/>
    <w:rsid w:val="00D631DB"/>
    <w:rsid w:val="00D6325A"/>
    <w:rsid w:val="00D63354"/>
    <w:rsid w:val="00D6338C"/>
    <w:rsid w:val="00D633B9"/>
    <w:rsid w:val="00D633D9"/>
    <w:rsid w:val="00D63425"/>
    <w:rsid w:val="00D63508"/>
    <w:rsid w:val="00D635F4"/>
    <w:rsid w:val="00D63707"/>
    <w:rsid w:val="00D6378D"/>
    <w:rsid w:val="00D637B2"/>
    <w:rsid w:val="00D63811"/>
    <w:rsid w:val="00D63821"/>
    <w:rsid w:val="00D63844"/>
    <w:rsid w:val="00D638EE"/>
    <w:rsid w:val="00D63B98"/>
    <w:rsid w:val="00D63BBD"/>
    <w:rsid w:val="00D63D68"/>
    <w:rsid w:val="00D63D95"/>
    <w:rsid w:val="00D63E60"/>
    <w:rsid w:val="00D63ED3"/>
    <w:rsid w:val="00D640B7"/>
    <w:rsid w:val="00D64191"/>
    <w:rsid w:val="00D64389"/>
    <w:rsid w:val="00D6439E"/>
    <w:rsid w:val="00D643FF"/>
    <w:rsid w:val="00D644A3"/>
    <w:rsid w:val="00D64569"/>
    <w:rsid w:val="00D646E9"/>
    <w:rsid w:val="00D648B8"/>
    <w:rsid w:val="00D64913"/>
    <w:rsid w:val="00D64B14"/>
    <w:rsid w:val="00D64D26"/>
    <w:rsid w:val="00D64DBA"/>
    <w:rsid w:val="00D64E29"/>
    <w:rsid w:val="00D64F5A"/>
    <w:rsid w:val="00D650AE"/>
    <w:rsid w:val="00D65101"/>
    <w:rsid w:val="00D65174"/>
    <w:rsid w:val="00D652B6"/>
    <w:rsid w:val="00D655E0"/>
    <w:rsid w:val="00D656E6"/>
    <w:rsid w:val="00D65767"/>
    <w:rsid w:val="00D658F3"/>
    <w:rsid w:val="00D65A39"/>
    <w:rsid w:val="00D65A62"/>
    <w:rsid w:val="00D65AF1"/>
    <w:rsid w:val="00D65C0E"/>
    <w:rsid w:val="00D65DE6"/>
    <w:rsid w:val="00D6619A"/>
    <w:rsid w:val="00D6634E"/>
    <w:rsid w:val="00D666A4"/>
    <w:rsid w:val="00D666FF"/>
    <w:rsid w:val="00D66829"/>
    <w:rsid w:val="00D66944"/>
    <w:rsid w:val="00D669EF"/>
    <w:rsid w:val="00D66BBD"/>
    <w:rsid w:val="00D66D1E"/>
    <w:rsid w:val="00D66D83"/>
    <w:rsid w:val="00D66E8B"/>
    <w:rsid w:val="00D66EFB"/>
    <w:rsid w:val="00D670C8"/>
    <w:rsid w:val="00D67144"/>
    <w:rsid w:val="00D67147"/>
    <w:rsid w:val="00D67170"/>
    <w:rsid w:val="00D67187"/>
    <w:rsid w:val="00D673A9"/>
    <w:rsid w:val="00D673DB"/>
    <w:rsid w:val="00D675CA"/>
    <w:rsid w:val="00D6760C"/>
    <w:rsid w:val="00D676EB"/>
    <w:rsid w:val="00D6792A"/>
    <w:rsid w:val="00D6796B"/>
    <w:rsid w:val="00D67985"/>
    <w:rsid w:val="00D67A95"/>
    <w:rsid w:val="00D67BD7"/>
    <w:rsid w:val="00D67BE3"/>
    <w:rsid w:val="00D67C0C"/>
    <w:rsid w:val="00D67D93"/>
    <w:rsid w:val="00D67DFF"/>
    <w:rsid w:val="00D67E7D"/>
    <w:rsid w:val="00D67F47"/>
    <w:rsid w:val="00D67F9E"/>
    <w:rsid w:val="00D7002F"/>
    <w:rsid w:val="00D7009B"/>
    <w:rsid w:val="00D700C3"/>
    <w:rsid w:val="00D700EB"/>
    <w:rsid w:val="00D70108"/>
    <w:rsid w:val="00D70161"/>
    <w:rsid w:val="00D7044F"/>
    <w:rsid w:val="00D7063C"/>
    <w:rsid w:val="00D70884"/>
    <w:rsid w:val="00D709B5"/>
    <w:rsid w:val="00D70C17"/>
    <w:rsid w:val="00D70C8D"/>
    <w:rsid w:val="00D70CC7"/>
    <w:rsid w:val="00D70DD7"/>
    <w:rsid w:val="00D70E63"/>
    <w:rsid w:val="00D70F46"/>
    <w:rsid w:val="00D710B1"/>
    <w:rsid w:val="00D71137"/>
    <w:rsid w:val="00D711DD"/>
    <w:rsid w:val="00D7128B"/>
    <w:rsid w:val="00D71475"/>
    <w:rsid w:val="00D714DF"/>
    <w:rsid w:val="00D714F3"/>
    <w:rsid w:val="00D71557"/>
    <w:rsid w:val="00D71591"/>
    <w:rsid w:val="00D715C8"/>
    <w:rsid w:val="00D716B6"/>
    <w:rsid w:val="00D718DF"/>
    <w:rsid w:val="00D718EA"/>
    <w:rsid w:val="00D71987"/>
    <w:rsid w:val="00D719D8"/>
    <w:rsid w:val="00D71A11"/>
    <w:rsid w:val="00D71AF6"/>
    <w:rsid w:val="00D71C25"/>
    <w:rsid w:val="00D71CAF"/>
    <w:rsid w:val="00D71E30"/>
    <w:rsid w:val="00D71FA9"/>
    <w:rsid w:val="00D72082"/>
    <w:rsid w:val="00D720F6"/>
    <w:rsid w:val="00D7226E"/>
    <w:rsid w:val="00D72325"/>
    <w:rsid w:val="00D7232C"/>
    <w:rsid w:val="00D7246A"/>
    <w:rsid w:val="00D724A8"/>
    <w:rsid w:val="00D7261C"/>
    <w:rsid w:val="00D72668"/>
    <w:rsid w:val="00D726B3"/>
    <w:rsid w:val="00D72712"/>
    <w:rsid w:val="00D728BB"/>
    <w:rsid w:val="00D728FC"/>
    <w:rsid w:val="00D72A0D"/>
    <w:rsid w:val="00D72A0E"/>
    <w:rsid w:val="00D72AB6"/>
    <w:rsid w:val="00D72BB1"/>
    <w:rsid w:val="00D72CBB"/>
    <w:rsid w:val="00D72CFB"/>
    <w:rsid w:val="00D72DF9"/>
    <w:rsid w:val="00D72F44"/>
    <w:rsid w:val="00D72FC3"/>
    <w:rsid w:val="00D732A2"/>
    <w:rsid w:val="00D732C8"/>
    <w:rsid w:val="00D73343"/>
    <w:rsid w:val="00D73406"/>
    <w:rsid w:val="00D734C5"/>
    <w:rsid w:val="00D73505"/>
    <w:rsid w:val="00D73540"/>
    <w:rsid w:val="00D736A3"/>
    <w:rsid w:val="00D738D2"/>
    <w:rsid w:val="00D739D8"/>
    <w:rsid w:val="00D73A94"/>
    <w:rsid w:val="00D73B1A"/>
    <w:rsid w:val="00D73B8B"/>
    <w:rsid w:val="00D73C5B"/>
    <w:rsid w:val="00D73C6D"/>
    <w:rsid w:val="00D73C82"/>
    <w:rsid w:val="00D73CB2"/>
    <w:rsid w:val="00D73CD5"/>
    <w:rsid w:val="00D73CF4"/>
    <w:rsid w:val="00D73D35"/>
    <w:rsid w:val="00D73D63"/>
    <w:rsid w:val="00D73E35"/>
    <w:rsid w:val="00D73EE4"/>
    <w:rsid w:val="00D73EF8"/>
    <w:rsid w:val="00D73F0A"/>
    <w:rsid w:val="00D73F83"/>
    <w:rsid w:val="00D73FFD"/>
    <w:rsid w:val="00D7401F"/>
    <w:rsid w:val="00D740D3"/>
    <w:rsid w:val="00D740DE"/>
    <w:rsid w:val="00D741E5"/>
    <w:rsid w:val="00D741F9"/>
    <w:rsid w:val="00D74308"/>
    <w:rsid w:val="00D74461"/>
    <w:rsid w:val="00D744B3"/>
    <w:rsid w:val="00D74595"/>
    <w:rsid w:val="00D7459F"/>
    <w:rsid w:val="00D746D2"/>
    <w:rsid w:val="00D74712"/>
    <w:rsid w:val="00D74733"/>
    <w:rsid w:val="00D74861"/>
    <w:rsid w:val="00D74AF5"/>
    <w:rsid w:val="00D74B38"/>
    <w:rsid w:val="00D74C63"/>
    <w:rsid w:val="00D74C71"/>
    <w:rsid w:val="00D74DA0"/>
    <w:rsid w:val="00D74EB5"/>
    <w:rsid w:val="00D74EFA"/>
    <w:rsid w:val="00D75112"/>
    <w:rsid w:val="00D752E0"/>
    <w:rsid w:val="00D7537C"/>
    <w:rsid w:val="00D753F7"/>
    <w:rsid w:val="00D7551C"/>
    <w:rsid w:val="00D755DF"/>
    <w:rsid w:val="00D75650"/>
    <w:rsid w:val="00D75664"/>
    <w:rsid w:val="00D757ED"/>
    <w:rsid w:val="00D7587F"/>
    <w:rsid w:val="00D75986"/>
    <w:rsid w:val="00D759EE"/>
    <w:rsid w:val="00D75A2B"/>
    <w:rsid w:val="00D75B9E"/>
    <w:rsid w:val="00D75C22"/>
    <w:rsid w:val="00D75C5F"/>
    <w:rsid w:val="00D75CE4"/>
    <w:rsid w:val="00D75D64"/>
    <w:rsid w:val="00D75E24"/>
    <w:rsid w:val="00D75F54"/>
    <w:rsid w:val="00D75FE4"/>
    <w:rsid w:val="00D7601B"/>
    <w:rsid w:val="00D76071"/>
    <w:rsid w:val="00D76095"/>
    <w:rsid w:val="00D763AE"/>
    <w:rsid w:val="00D763F6"/>
    <w:rsid w:val="00D7640E"/>
    <w:rsid w:val="00D7660D"/>
    <w:rsid w:val="00D76656"/>
    <w:rsid w:val="00D767AC"/>
    <w:rsid w:val="00D767AD"/>
    <w:rsid w:val="00D76990"/>
    <w:rsid w:val="00D76B33"/>
    <w:rsid w:val="00D76D58"/>
    <w:rsid w:val="00D76EF9"/>
    <w:rsid w:val="00D76F45"/>
    <w:rsid w:val="00D76F5B"/>
    <w:rsid w:val="00D77003"/>
    <w:rsid w:val="00D7709E"/>
    <w:rsid w:val="00D7711F"/>
    <w:rsid w:val="00D771E7"/>
    <w:rsid w:val="00D77293"/>
    <w:rsid w:val="00D772A3"/>
    <w:rsid w:val="00D7745E"/>
    <w:rsid w:val="00D775B5"/>
    <w:rsid w:val="00D7762A"/>
    <w:rsid w:val="00D7763E"/>
    <w:rsid w:val="00D77894"/>
    <w:rsid w:val="00D77B2A"/>
    <w:rsid w:val="00D77DDD"/>
    <w:rsid w:val="00D77E93"/>
    <w:rsid w:val="00D77F08"/>
    <w:rsid w:val="00D77F1A"/>
    <w:rsid w:val="00D8006A"/>
    <w:rsid w:val="00D8016D"/>
    <w:rsid w:val="00D801B2"/>
    <w:rsid w:val="00D8037A"/>
    <w:rsid w:val="00D80427"/>
    <w:rsid w:val="00D806A5"/>
    <w:rsid w:val="00D80888"/>
    <w:rsid w:val="00D808C6"/>
    <w:rsid w:val="00D808D3"/>
    <w:rsid w:val="00D80A93"/>
    <w:rsid w:val="00D80A95"/>
    <w:rsid w:val="00D80BB5"/>
    <w:rsid w:val="00D80C1A"/>
    <w:rsid w:val="00D80C50"/>
    <w:rsid w:val="00D80E26"/>
    <w:rsid w:val="00D81198"/>
    <w:rsid w:val="00D811FD"/>
    <w:rsid w:val="00D81277"/>
    <w:rsid w:val="00D81311"/>
    <w:rsid w:val="00D81463"/>
    <w:rsid w:val="00D814A9"/>
    <w:rsid w:val="00D814AE"/>
    <w:rsid w:val="00D814B3"/>
    <w:rsid w:val="00D814BC"/>
    <w:rsid w:val="00D8153F"/>
    <w:rsid w:val="00D81687"/>
    <w:rsid w:val="00D816BA"/>
    <w:rsid w:val="00D816D3"/>
    <w:rsid w:val="00D81850"/>
    <w:rsid w:val="00D818A9"/>
    <w:rsid w:val="00D818B4"/>
    <w:rsid w:val="00D81B59"/>
    <w:rsid w:val="00D81C9A"/>
    <w:rsid w:val="00D81CD8"/>
    <w:rsid w:val="00D81E54"/>
    <w:rsid w:val="00D81E7F"/>
    <w:rsid w:val="00D81EFF"/>
    <w:rsid w:val="00D820DF"/>
    <w:rsid w:val="00D82266"/>
    <w:rsid w:val="00D8248E"/>
    <w:rsid w:val="00D825C9"/>
    <w:rsid w:val="00D82673"/>
    <w:rsid w:val="00D82735"/>
    <w:rsid w:val="00D82776"/>
    <w:rsid w:val="00D827CB"/>
    <w:rsid w:val="00D82845"/>
    <w:rsid w:val="00D82957"/>
    <w:rsid w:val="00D82A10"/>
    <w:rsid w:val="00D82A5B"/>
    <w:rsid w:val="00D82AC1"/>
    <w:rsid w:val="00D82AF4"/>
    <w:rsid w:val="00D82B40"/>
    <w:rsid w:val="00D82DA0"/>
    <w:rsid w:val="00D82EA2"/>
    <w:rsid w:val="00D82F90"/>
    <w:rsid w:val="00D82FCE"/>
    <w:rsid w:val="00D83357"/>
    <w:rsid w:val="00D833C1"/>
    <w:rsid w:val="00D83712"/>
    <w:rsid w:val="00D8383C"/>
    <w:rsid w:val="00D838DC"/>
    <w:rsid w:val="00D8390C"/>
    <w:rsid w:val="00D83950"/>
    <w:rsid w:val="00D83ACD"/>
    <w:rsid w:val="00D83B3D"/>
    <w:rsid w:val="00D83C32"/>
    <w:rsid w:val="00D83D65"/>
    <w:rsid w:val="00D8409E"/>
    <w:rsid w:val="00D8414F"/>
    <w:rsid w:val="00D84317"/>
    <w:rsid w:val="00D843DE"/>
    <w:rsid w:val="00D843E6"/>
    <w:rsid w:val="00D84505"/>
    <w:rsid w:val="00D8472C"/>
    <w:rsid w:val="00D84744"/>
    <w:rsid w:val="00D8493F"/>
    <w:rsid w:val="00D84CB7"/>
    <w:rsid w:val="00D84F09"/>
    <w:rsid w:val="00D84FA7"/>
    <w:rsid w:val="00D8503A"/>
    <w:rsid w:val="00D8503B"/>
    <w:rsid w:val="00D8504A"/>
    <w:rsid w:val="00D85076"/>
    <w:rsid w:val="00D85158"/>
    <w:rsid w:val="00D85162"/>
    <w:rsid w:val="00D85163"/>
    <w:rsid w:val="00D85310"/>
    <w:rsid w:val="00D853B0"/>
    <w:rsid w:val="00D85410"/>
    <w:rsid w:val="00D8545B"/>
    <w:rsid w:val="00D85586"/>
    <w:rsid w:val="00D85717"/>
    <w:rsid w:val="00D8580D"/>
    <w:rsid w:val="00D859D0"/>
    <w:rsid w:val="00D859DA"/>
    <w:rsid w:val="00D85ADC"/>
    <w:rsid w:val="00D85F35"/>
    <w:rsid w:val="00D85FC7"/>
    <w:rsid w:val="00D85FCD"/>
    <w:rsid w:val="00D86282"/>
    <w:rsid w:val="00D863E2"/>
    <w:rsid w:val="00D86637"/>
    <w:rsid w:val="00D8665B"/>
    <w:rsid w:val="00D867E5"/>
    <w:rsid w:val="00D86869"/>
    <w:rsid w:val="00D8689D"/>
    <w:rsid w:val="00D86902"/>
    <w:rsid w:val="00D86A67"/>
    <w:rsid w:val="00D86BB2"/>
    <w:rsid w:val="00D86BD2"/>
    <w:rsid w:val="00D86C14"/>
    <w:rsid w:val="00D86C98"/>
    <w:rsid w:val="00D86D69"/>
    <w:rsid w:val="00D86E14"/>
    <w:rsid w:val="00D86EC0"/>
    <w:rsid w:val="00D86ED1"/>
    <w:rsid w:val="00D86F6B"/>
    <w:rsid w:val="00D87086"/>
    <w:rsid w:val="00D870D4"/>
    <w:rsid w:val="00D870EA"/>
    <w:rsid w:val="00D8719F"/>
    <w:rsid w:val="00D87306"/>
    <w:rsid w:val="00D8737E"/>
    <w:rsid w:val="00D87509"/>
    <w:rsid w:val="00D8765E"/>
    <w:rsid w:val="00D87685"/>
    <w:rsid w:val="00D877F8"/>
    <w:rsid w:val="00D87815"/>
    <w:rsid w:val="00D8781B"/>
    <w:rsid w:val="00D8781E"/>
    <w:rsid w:val="00D8783C"/>
    <w:rsid w:val="00D87852"/>
    <w:rsid w:val="00D87892"/>
    <w:rsid w:val="00D87970"/>
    <w:rsid w:val="00D879E8"/>
    <w:rsid w:val="00D87C1F"/>
    <w:rsid w:val="00D87F41"/>
    <w:rsid w:val="00D9021B"/>
    <w:rsid w:val="00D902B0"/>
    <w:rsid w:val="00D902F4"/>
    <w:rsid w:val="00D903D4"/>
    <w:rsid w:val="00D90405"/>
    <w:rsid w:val="00D904D3"/>
    <w:rsid w:val="00D904DC"/>
    <w:rsid w:val="00D905EF"/>
    <w:rsid w:val="00D90622"/>
    <w:rsid w:val="00D906B2"/>
    <w:rsid w:val="00D9076E"/>
    <w:rsid w:val="00D907F5"/>
    <w:rsid w:val="00D908A0"/>
    <w:rsid w:val="00D90A88"/>
    <w:rsid w:val="00D90B01"/>
    <w:rsid w:val="00D90CEE"/>
    <w:rsid w:val="00D90D02"/>
    <w:rsid w:val="00D90DBB"/>
    <w:rsid w:val="00D90E0F"/>
    <w:rsid w:val="00D90E34"/>
    <w:rsid w:val="00D90E6D"/>
    <w:rsid w:val="00D91380"/>
    <w:rsid w:val="00D913DB"/>
    <w:rsid w:val="00D91409"/>
    <w:rsid w:val="00D91432"/>
    <w:rsid w:val="00D914C1"/>
    <w:rsid w:val="00D915EB"/>
    <w:rsid w:val="00D91633"/>
    <w:rsid w:val="00D91752"/>
    <w:rsid w:val="00D9175C"/>
    <w:rsid w:val="00D9177E"/>
    <w:rsid w:val="00D91963"/>
    <w:rsid w:val="00D91A02"/>
    <w:rsid w:val="00D91CBA"/>
    <w:rsid w:val="00D91CFE"/>
    <w:rsid w:val="00D91D38"/>
    <w:rsid w:val="00D91D8B"/>
    <w:rsid w:val="00D91F51"/>
    <w:rsid w:val="00D92128"/>
    <w:rsid w:val="00D9221D"/>
    <w:rsid w:val="00D92403"/>
    <w:rsid w:val="00D9240C"/>
    <w:rsid w:val="00D9245F"/>
    <w:rsid w:val="00D92492"/>
    <w:rsid w:val="00D92653"/>
    <w:rsid w:val="00D92672"/>
    <w:rsid w:val="00D92742"/>
    <w:rsid w:val="00D92776"/>
    <w:rsid w:val="00D928AC"/>
    <w:rsid w:val="00D92938"/>
    <w:rsid w:val="00D92984"/>
    <w:rsid w:val="00D92A22"/>
    <w:rsid w:val="00D92A7E"/>
    <w:rsid w:val="00D92AA3"/>
    <w:rsid w:val="00D92AB2"/>
    <w:rsid w:val="00D92ADF"/>
    <w:rsid w:val="00D92B48"/>
    <w:rsid w:val="00D92C16"/>
    <w:rsid w:val="00D92D09"/>
    <w:rsid w:val="00D92E9F"/>
    <w:rsid w:val="00D9306F"/>
    <w:rsid w:val="00D93433"/>
    <w:rsid w:val="00D93440"/>
    <w:rsid w:val="00D9348C"/>
    <w:rsid w:val="00D934DE"/>
    <w:rsid w:val="00D934E6"/>
    <w:rsid w:val="00D934EF"/>
    <w:rsid w:val="00D93652"/>
    <w:rsid w:val="00D936CB"/>
    <w:rsid w:val="00D93719"/>
    <w:rsid w:val="00D93916"/>
    <w:rsid w:val="00D93957"/>
    <w:rsid w:val="00D939A3"/>
    <w:rsid w:val="00D93B20"/>
    <w:rsid w:val="00D93C33"/>
    <w:rsid w:val="00D93C35"/>
    <w:rsid w:val="00D93CBB"/>
    <w:rsid w:val="00D93D24"/>
    <w:rsid w:val="00D93E0D"/>
    <w:rsid w:val="00D93F30"/>
    <w:rsid w:val="00D93FE3"/>
    <w:rsid w:val="00D94175"/>
    <w:rsid w:val="00D94383"/>
    <w:rsid w:val="00D9440A"/>
    <w:rsid w:val="00D94577"/>
    <w:rsid w:val="00D946D1"/>
    <w:rsid w:val="00D947A6"/>
    <w:rsid w:val="00D9489B"/>
    <w:rsid w:val="00D948E3"/>
    <w:rsid w:val="00D94B5D"/>
    <w:rsid w:val="00D94BF6"/>
    <w:rsid w:val="00D94D67"/>
    <w:rsid w:val="00D94EBC"/>
    <w:rsid w:val="00D94EEE"/>
    <w:rsid w:val="00D94F23"/>
    <w:rsid w:val="00D9516E"/>
    <w:rsid w:val="00D951A0"/>
    <w:rsid w:val="00D957B2"/>
    <w:rsid w:val="00D9581B"/>
    <w:rsid w:val="00D95909"/>
    <w:rsid w:val="00D95960"/>
    <w:rsid w:val="00D95974"/>
    <w:rsid w:val="00D95BF3"/>
    <w:rsid w:val="00D95D8C"/>
    <w:rsid w:val="00D95E27"/>
    <w:rsid w:val="00D96114"/>
    <w:rsid w:val="00D96189"/>
    <w:rsid w:val="00D961E4"/>
    <w:rsid w:val="00D9648A"/>
    <w:rsid w:val="00D96505"/>
    <w:rsid w:val="00D96552"/>
    <w:rsid w:val="00D965C5"/>
    <w:rsid w:val="00D968E8"/>
    <w:rsid w:val="00D9698A"/>
    <w:rsid w:val="00D969AE"/>
    <w:rsid w:val="00D96A03"/>
    <w:rsid w:val="00D96A72"/>
    <w:rsid w:val="00D96BCB"/>
    <w:rsid w:val="00D96C3A"/>
    <w:rsid w:val="00D96D3A"/>
    <w:rsid w:val="00D96D87"/>
    <w:rsid w:val="00D96E51"/>
    <w:rsid w:val="00D97019"/>
    <w:rsid w:val="00D97051"/>
    <w:rsid w:val="00D970A2"/>
    <w:rsid w:val="00D972B4"/>
    <w:rsid w:val="00D97385"/>
    <w:rsid w:val="00D973D2"/>
    <w:rsid w:val="00D97412"/>
    <w:rsid w:val="00D9762B"/>
    <w:rsid w:val="00D97695"/>
    <w:rsid w:val="00D977EE"/>
    <w:rsid w:val="00D97811"/>
    <w:rsid w:val="00D97847"/>
    <w:rsid w:val="00D97864"/>
    <w:rsid w:val="00D97939"/>
    <w:rsid w:val="00D97A17"/>
    <w:rsid w:val="00D97C2B"/>
    <w:rsid w:val="00D97D26"/>
    <w:rsid w:val="00D97D8A"/>
    <w:rsid w:val="00D97E91"/>
    <w:rsid w:val="00D97EBE"/>
    <w:rsid w:val="00D97F2D"/>
    <w:rsid w:val="00D97FAC"/>
    <w:rsid w:val="00DA003B"/>
    <w:rsid w:val="00DA01F2"/>
    <w:rsid w:val="00DA0214"/>
    <w:rsid w:val="00DA06AF"/>
    <w:rsid w:val="00DA07F1"/>
    <w:rsid w:val="00DA0910"/>
    <w:rsid w:val="00DA0945"/>
    <w:rsid w:val="00DA0AFC"/>
    <w:rsid w:val="00DA0BC6"/>
    <w:rsid w:val="00DA0C42"/>
    <w:rsid w:val="00DA0CD2"/>
    <w:rsid w:val="00DA1156"/>
    <w:rsid w:val="00DA1198"/>
    <w:rsid w:val="00DA11E7"/>
    <w:rsid w:val="00DA13B2"/>
    <w:rsid w:val="00DA13DC"/>
    <w:rsid w:val="00DA1412"/>
    <w:rsid w:val="00DA146F"/>
    <w:rsid w:val="00DA147C"/>
    <w:rsid w:val="00DA14C4"/>
    <w:rsid w:val="00DA19F1"/>
    <w:rsid w:val="00DA1ADF"/>
    <w:rsid w:val="00DA1B4F"/>
    <w:rsid w:val="00DA1CE9"/>
    <w:rsid w:val="00DA1D70"/>
    <w:rsid w:val="00DA2355"/>
    <w:rsid w:val="00DA236F"/>
    <w:rsid w:val="00DA25CA"/>
    <w:rsid w:val="00DA267B"/>
    <w:rsid w:val="00DA28F3"/>
    <w:rsid w:val="00DA28FB"/>
    <w:rsid w:val="00DA298E"/>
    <w:rsid w:val="00DA2A53"/>
    <w:rsid w:val="00DA2A94"/>
    <w:rsid w:val="00DA2B16"/>
    <w:rsid w:val="00DA2B74"/>
    <w:rsid w:val="00DA2FA1"/>
    <w:rsid w:val="00DA2FB8"/>
    <w:rsid w:val="00DA3090"/>
    <w:rsid w:val="00DA313D"/>
    <w:rsid w:val="00DA31B8"/>
    <w:rsid w:val="00DA32FB"/>
    <w:rsid w:val="00DA332F"/>
    <w:rsid w:val="00DA337A"/>
    <w:rsid w:val="00DA34C0"/>
    <w:rsid w:val="00DA34C3"/>
    <w:rsid w:val="00DA364E"/>
    <w:rsid w:val="00DA3717"/>
    <w:rsid w:val="00DA3825"/>
    <w:rsid w:val="00DA39F3"/>
    <w:rsid w:val="00DA3A29"/>
    <w:rsid w:val="00DA3A61"/>
    <w:rsid w:val="00DA3B9A"/>
    <w:rsid w:val="00DA3BDA"/>
    <w:rsid w:val="00DA3C91"/>
    <w:rsid w:val="00DA3C9B"/>
    <w:rsid w:val="00DA3CEB"/>
    <w:rsid w:val="00DA3FF0"/>
    <w:rsid w:val="00DA4146"/>
    <w:rsid w:val="00DA4238"/>
    <w:rsid w:val="00DA4693"/>
    <w:rsid w:val="00DA47A2"/>
    <w:rsid w:val="00DA47D0"/>
    <w:rsid w:val="00DA486C"/>
    <w:rsid w:val="00DA494A"/>
    <w:rsid w:val="00DA4A01"/>
    <w:rsid w:val="00DA4B14"/>
    <w:rsid w:val="00DA4B4D"/>
    <w:rsid w:val="00DA4B97"/>
    <w:rsid w:val="00DA4BD6"/>
    <w:rsid w:val="00DA4C07"/>
    <w:rsid w:val="00DA4D77"/>
    <w:rsid w:val="00DA4DFC"/>
    <w:rsid w:val="00DA4E17"/>
    <w:rsid w:val="00DA4ED8"/>
    <w:rsid w:val="00DA50A3"/>
    <w:rsid w:val="00DA5164"/>
    <w:rsid w:val="00DA5386"/>
    <w:rsid w:val="00DA53A6"/>
    <w:rsid w:val="00DA544F"/>
    <w:rsid w:val="00DA5546"/>
    <w:rsid w:val="00DA5576"/>
    <w:rsid w:val="00DA566C"/>
    <w:rsid w:val="00DA566E"/>
    <w:rsid w:val="00DA56F7"/>
    <w:rsid w:val="00DA57DD"/>
    <w:rsid w:val="00DA57DF"/>
    <w:rsid w:val="00DA5975"/>
    <w:rsid w:val="00DA59F0"/>
    <w:rsid w:val="00DA59FE"/>
    <w:rsid w:val="00DA5AC7"/>
    <w:rsid w:val="00DA5AF5"/>
    <w:rsid w:val="00DA5B42"/>
    <w:rsid w:val="00DA5B6A"/>
    <w:rsid w:val="00DA5D14"/>
    <w:rsid w:val="00DA5DE0"/>
    <w:rsid w:val="00DA5F4B"/>
    <w:rsid w:val="00DA5FFD"/>
    <w:rsid w:val="00DA6006"/>
    <w:rsid w:val="00DA6073"/>
    <w:rsid w:val="00DA623E"/>
    <w:rsid w:val="00DA626D"/>
    <w:rsid w:val="00DA6410"/>
    <w:rsid w:val="00DA64F2"/>
    <w:rsid w:val="00DA6569"/>
    <w:rsid w:val="00DA6910"/>
    <w:rsid w:val="00DA6930"/>
    <w:rsid w:val="00DA6AAA"/>
    <w:rsid w:val="00DA6ADA"/>
    <w:rsid w:val="00DA6ADD"/>
    <w:rsid w:val="00DA6B24"/>
    <w:rsid w:val="00DA6CBA"/>
    <w:rsid w:val="00DA6CC5"/>
    <w:rsid w:val="00DA6D0B"/>
    <w:rsid w:val="00DA6F43"/>
    <w:rsid w:val="00DA6FF6"/>
    <w:rsid w:val="00DA73E9"/>
    <w:rsid w:val="00DA73EA"/>
    <w:rsid w:val="00DA780B"/>
    <w:rsid w:val="00DA78D9"/>
    <w:rsid w:val="00DA7B76"/>
    <w:rsid w:val="00DA7ECC"/>
    <w:rsid w:val="00DA7FA7"/>
    <w:rsid w:val="00DB001E"/>
    <w:rsid w:val="00DB003B"/>
    <w:rsid w:val="00DB00EC"/>
    <w:rsid w:val="00DB0216"/>
    <w:rsid w:val="00DB023A"/>
    <w:rsid w:val="00DB0363"/>
    <w:rsid w:val="00DB03D4"/>
    <w:rsid w:val="00DB0476"/>
    <w:rsid w:val="00DB048B"/>
    <w:rsid w:val="00DB0570"/>
    <w:rsid w:val="00DB068A"/>
    <w:rsid w:val="00DB06D0"/>
    <w:rsid w:val="00DB0733"/>
    <w:rsid w:val="00DB07B5"/>
    <w:rsid w:val="00DB0A0A"/>
    <w:rsid w:val="00DB0A46"/>
    <w:rsid w:val="00DB0C46"/>
    <w:rsid w:val="00DB1056"/>
    <w:rsid w:val="00DB117B"/>
    <w:rsid w:val="00DB11CC"/>
    <w:rsid w:val="00DB11E2"/>
    <w:rsid w:val="00DB11FE"/>
    <w:rsid w:val="00DB133F"/>
    <w:rsid w:val="00DB15A2"/>
    <w:rsid w:val="00DB17EF"/>
    <w:rsid w:val="00DB1810"/>
    <w:rsid w:val="00DB1AE4"/>
    <w:rsid w:val="00DB1C47"/>
    <w:rsid w:val="00DB1D17"/>
    <w:rsid w:val="00DB1DB1"/>
    <w:rsid w:val="00DB1DB7"/>
    <w:rsid w:val="00DB1E31"/>
    <w:rsid w:val="00DB1EC3"/>
    <w:rsid w:val="00DB1F26"/>
    <w:rsid w:val="00DB1FBB"/>
    <w:rsid w:val="00DB245F"/>
    <w:rsid w:val="00DB249D"/>
    <w:rsid w:val="00DB28DD"/>
    <w:rsid w:val="00DB2B1B"/>
    <w:rsid w:val="00DB2B5B"/>
    <w:rsid w:val="00DB2B80"/>
    <w:rsid w:val="00DB2D92"/>
    <w:rsid w:val="00DB2E9D"/>
    <w:rsid w:val="00DB2F0D"/>
    <w:rsid w:val="00DB2FF3"/>
    <w:rsid w:val="00DB304A"/>
    <w:rsid w:val="00DB312C"/>
    <w:rsid w:val="00DB31E0"/>
    <w:rsid w:val="00DB328F"/>
    <w:rsid w:val="00DB3341"/>
    <w:rsid w:val="00DB3441"/>
    <w:rsid w:val="00DB357F"/>
    <w:rsid w:val="00DB36D2"/>
    <w:rsid w:val="00DB38EF"/>
    <w:rsid w:val="00DB394B"/>
    <w:rsid w:val="00DB39B3"/>
    <w:rsid w:val="00DB3A35"/>
    <w:rsid w:val="00DB3CFF"/>
    <w:rsid w:val="00DB4050"/>
    <w:rsid w:val="00DB4110"/>
    <w:rsid w:val="00DB4142"/>
    <w:rsid w:val="00DB4519"/>
    <w:rsid w:val="00DB460B"/>
    <w:rsid w:val="00DB4710"/>
    <w:rsid w:val="00DB478A"/>
    <w:rsid w:val="00DB4879"/>
    <w:rsid w:val="00DB4912"/>
    <w:rsid w:val="00DB4927"/>
    <w:rsid w:val="00DB4A2C"/>
    <w:rsid w:val="00DB4D39"/>
    <w:rsid w:val="00DB5007"/>
    <w:rsid w:val="00DB512D"/>
    <w:rsid w:val="00DB5155"/>
    <w:rsid w:val="00DB51EA"/>
    <w:rsid w:val="00DB5213"/>
    <w:rsid w:val="00DB5788"/>
    <w:rsid w:val="00DB57C3"/>
    <w:rsid w:val="00DB5902"/>
    <w:rsid w:val="00DB595D"/>
    <w:rsid w:val="00DB5974"/>
    <w:rsid w:val="00DB5AA5"/>
    <w:rsid w:val="00DB5ACB"/>
    <w:rsid w:val="00DB5B76"/>
    <w:rsid w:val="00DB5C62"/>
    <w:rsid w:val="00DB5D9F"/>
    <w:rsid w:val="00DB5DFD"/>
    <w:rsid w:val="00DB5F03"/>
    <w:rsid w:val="00DB5F1C"/>
    <w:rsid w:val="00DB5F53"/>
    <w:rsid w:val="00DB6090"/>
    <w:rsid w:val="00DB623D"/>
    <w:rsid w:val="00DB6256"/>
    <w:rsid w:val="00DB626E"/>
    <w:rsid w:val="00DB62A5"/>
    <w:rsid w:val="00DB62F3"/>
    <w:rsid w:val="00DB6392"/>
    <w:rsid w:val="00DB63AA"/>
    <w:rsid w:val="00DB63F2"/>
    <w:rsid w:val="00DB640F"/>
    <w:rsid w:val="00DB6523"/>
    <w:rsid w:val="00DB6701"/>
    <w:rsid w:val="00DB67CA"/>
    <w:rsid w:val="00DB69D0"/>
    <w:rsid w:val="00DB6A92"/>
    <w:rsid w:val="00DB6AAD"/>
    <w:rsid w:val="00DB6BBA"/>
    <w:rsid w:val="00DB6CBA"/>
    <w:rsid w:val="00DB6D9C"/>
    <w:rsid w:val="00DB6EC3"/>
    <w:rsid w:val="00DB6F1E"/>
    <w:rsid w:val="00DB6F68"/>
    <w:rsid w:val="00DB6F9F"/>
    <w:rsid w:val="00DB70A1"/>
    <w:rsid w:val="00DB71A3"/>
    <w:rsid w:val="00DB7244"/>
    <w:rsid w:val="00DB72C4"/>
    <w:rsid w:val="00DB754E"/>
    <w:rsid w:val="00DB75AB"/>
    <w:rsid w:val="00DB760E"/>
    <w:rsid w:val="00DB767B"/>
    <w:rsid w:val="00DB76F4"/>
    <w:rsid w:val="00DB77E1"/>
    <w:rsid w:val="00DB785E"/>
    <w:rsid w:val="00DB787C"/>
    <w:rsid w:val="00DB7A5A"/>
    <w:rsid w:val="00DB7B19"/>
    <w:rsid w:val="00DB7BBB"/>
    <w:rsid w:val="00DB7BCA"/>
    <w:rsid w:val="00DB7C57"/>
    <w:rsid w:val="00DB7D30"/>
    <w:rsid w:val="00DB7F38"/>
    <w:rsid w:val="00DC007E"/>
    <w:rsid w:val="00DC0124"/>
    <w:rsid w:val="00DC0157"/>
    <w:rsid w:val="00DC0160"/>
    <w:rsid w:val="00DC01A2"/>
    <w:rsid w:val="00DC021C"/>
    <w:rsid w:val="00DC0300"/>
    <w:rsid w:val="00DC0391"/>
    <w:rsid w:val="00DC03CA"/>
    <w:rsid w:val="00DC03EE"/>
    <w:rsid w:val="00DC043B"/>
    <w:rsid w:val="00DC04B0"/>
    <w:rsid w:val="00DC0583"/>
    <w:rsid w:val="00DC0898"/>
    <w:rsid w:val="00DC08B0"/>
    <w:rsid w:val="00DC08C2"/>
    <w:rsid w:val="00DC0B29"/>
    <w:rsid w:val="00DC0C5F"/>
    <w:rsid w:val="00DC0C7F"/>
    <w:rsid w:val="00DC0CAC"/>
    <w:rsid w:val="00DC0D8B"/>
    <w:rsid w:val="00DC0DAE"/>
    <w:rsid w:val="00DC0DD0"/>
    <w:rsid w:val="00DC0F2E"/>
    <w:rsid w:val="00DC0F79"/>
    <w:rsid w:val="00DC0FDE"/>
    <w:rsid w:val="00DC10FE"/>
    <w:rsid w:val="00DC123B"/>
    <w:rsid w:val="00DC12DE"/>
    <w:rsid w:val="00DC12E3"/>
    <w:rsid w:val="00DC13BA"/>
    <w:rsid w:val="00DC1425"/>
    <w:rsid w:val="00DC1719"/>
    <w:rsid w:val="00DC1769"/>
    <w:rsid w:val="00DC19A7"/>
    <w:rsid w:val="00DC1A4C"/>
    <w:rsid w:val="00DC1B3E"/>
    <w:rsid w:val="00DC1DE9"/>
    <w:rsid w:val="00DC1E46"/>
    <w:rsid w:val="00DC1EF0"/>
    <w:rsid w:val="00DC1F96"/>
    <w:rsid w:val="00DC1FB5"/>
    <w:rsid w:val="00DC2081"/>
    <w:rsid w:val="00DC2334"/>
    <w:rsid w:val="00DC25C0"/>
    <w:rsid w:val="00DC2723"/>
    <w:rsid w:val="00DC27C1"/>
    <w:rsid w:val="00DC2878"/>
    <w:rsid w:val="00DC2B11"/>
    <w:rsid w:val="00DC2B23"/>
    <w:rsid w:val="00DC2BFE"/>
    <w:rsid w:val="00DC2C6C"/>
    <w:rsid w:val="00DC2CA6"/>
    <w:rsid w:val="00DC2CBA"/>
    <w:rsid w:val="00DC2E8B"/>
    <w:rsid w:val="00DC2E91"/>
    <w:rsid w:val="00DC2F57"/>
    <w:rsid w:val="00DC30C9"/>
    <w:rsid w:val="00DC3153"/>
    <w:rsid w:val="00DC31C4"/>
    <w:rsid w:val="00DC31FA"/>
    <w:rsid w:val="00DC33C2"/>
    <w:rsid w:val="00DC341A"/>
    <w:rsid w:val="00DC3437"/>
    <w:rsid w:val="00DC34B3"/>
    <w:rsid w:val="00DC3585"/>
    <w:rsid w:val="00DC3D92"/>
    <w:rsid w:val="00DC3E0E"/>
    <w:rsid w:val="00DC3E1A"/>
    <w:rsid w:val="00DC3F34"/>
    <w:rsid w:val="00DC3F80"/>
    <w:rsid w:val="00DC3FA6"/>
    <w:rsid w:val="00DC3FC4"/>
    <w:rsid w:val="00DC4054"/>
    <w:rsid w:val="00DC44A0"/>
    <w:rsid w:val="00DC46FD"/>
    <w:rsid w:val="00DC4826"/>
    <w:rsid w:val="00DC48B3"/>
    <w:rsid w:val="00DC48D4"/>
    <w:rsid w:val="00DC490B"/>
    <w:rsid w:val="00DC4920"/>
    <w:rsid w:val="00DC4ACE"/>
    <w:rsid w:val="00DC4B8F"/>
    <w:rsid w:val="00DC4C0F"/>
    <w:rsid w:val="00DC4C19"/>
    <w:rsid w:val="00DC4DCA"/>
    <w:rsid w:val="00DC5020"/>
    <w:rsid w:val="00DC5153"/>
    <w:rsid w:val="00DC5406"/>
    <w:rsid w:val="00DC546E"/>
    <w:rsid w:val="00DC5509"/>
    <w:rsid w:val="00DC5516"/>
    <w:rsid w:val="00DC5553"/>
    <w:rsid w:val="00DC558D"/>
    <w:rsid w:val="00DC5706"/>
    <w:rsid w:val="00DC579A"/>
    <w:rsid w:val="00DC587C"/>
    <w:rsid w:val="00DC5995"/>
    <w:rsid w:val="00DC5A1F"/>
    <w:rsid w:val="00DC5A69"/>
    <w:rsid w:val="00DC5C44"/>
    <w:rsid w:val="00DC5C61"/>
    <w:rsid w:val="00DC60B0"/>
    <w:rsid w:val="00DC6169"/>
    <w:rsid w:val="00DC61A7"/>
    <w:rsid w:val="00DC622F"/>
    <w:rsid w:val="00DC6296"/>
    <w:rsid w:val="00DC62DB"/>
    <w:rsid w:val="00DC62E7"/>
    <w:rsid w:val="00DC634D"/>
    <w:rsid w:val="00DC6359"/>
    <w:rsid w:val="00DC635B"/>
    <w:rsid w:val="00DC654E"/>
    <w:rsid w:val="00DC665A"/>
    <w:rsid w:val="00DC6697"/>
    <w:rsid w:val="00DC678B"/>
    <w:rsid w:val="00DC69B8"/>
    <w:rsid w:val="00DC6A4C"/>
    <w:rsid w:val="00DC6B4A"/>
    <w:rsid w:val="00DC6BB9"/>
    <w:rsid w:val="00DC6EEC"/>
    <w:rsid w:val="00DC70DF"/>
    <w:rsid w:val="00DC71EB"/>
    <w:rsid w:val="00DC72C1"/>
    <w:rsid w:val="00DC72DD"/>
    <w:rsid w:val="00DC7369"/>
    <w:rsid w:val="00DC75BA"/>
    <w:rsid w:val="00DC793C"/>
    <w:rsid w:val="00DC7948"/>
    <w:rsid w:val="00DC799A"/>
    <w:rsid w:val="00DC7A5C"/>
    <w:rsid w:val="00DC7AF0"/>
    <w:rsid w:val="00DC7AF7"/>
    <w:rsid w:val="00DC7B87"/>
    <w:rsid w:val="00DC7B8E"/>
    <w:rsid w:val="00DC7C6B"/>
    <w:rsid w:val="00DC7D37"/>
    <w:rsid w:val="00DC7D3D"/>
    <w:rsid w:val="00DC7F42"/>
    <w:rsid w:val="00DC9954"/>
    <w:rsid w:val="00DD0000"/>
    <w:rsid w:val="00DD0093"/>
    <w:rsid w:val="00DD00B4"/>
    <w:rsid w:val="00DD0134"/>
    <w:rsid w:val="00DD01DA"/>
    <w:rsid w:val="00DD0294"/>
    <w:rsid w:val="00DD0344"/>
    <w:rsid w:val="00DD0349"/>
    <w:rsid w:val="00DD0453"/>
    <w:rsid w:val="00DD069B"/>
    <w:rsid w:val="00DD0768"/>
    <w:rsid w:val="00DD07C5"/>
    <w:rsid w:val="00DD07DC"/>
    <w:rsid w:val="00DD080C"/>
    <w:rsid w:val="00DD0A1C"/>
    <w:rsid w:val="00DD0ADC"/>
    <w:rsid w:val="00DD0C2E"/>
    <w:rsid w:val="00DD0C81"/>
    <w:rsid w:val="00DD0C89"/>
    <w:rsid w:val="00DD0D28"/>
    <w:rsid w:val="00DD0F27"/>
    <w:rsid w:val="00DD1183"/>
    <w:rsid w:val="00DD1234"/>
    <w:rsid w:val="00DD1360"/>
    <w:rsid w:val="00DD13AB"/>
    <w:rsid w:val="00DD146A"/>
    <w:rsid w:val="00DD1531"/>
    <w:rsid w:val="00DD16E0"/>
    <w:rsid w:val="00DD18B0"/>
    <w:rsid w:val="00DD18B5"/>
    <w:rsid w:val="00DD19AC"/>
    <w:rsid w:val="00DD19EA"/>
    <w:rsid w:val="00DD1A48"/>
    <w:rsid w:val="00DD1C9C"/>
    <w:rsid w:val="00DD1DC2"/>
    <w:rsid w:val="00DD1DD9"/>
    <w:rsid w:val="00DD1E42"/>
    <w:rsid w:val="00DD1EAF"/>
    <w:rsid w:val="00DD1EDD"/>
    <w:rsid w:val="00DD1EFD"/>
    <w:rsid w:val="00DD1F2C"/>
    <w:rsid w:val="00DD1F39"/>
    <w:rsid w:val="00DD21D7"/>
    <w:rsid w:val="00DD2246"/>
    <w:rsid w:val="00DD2499"/>
    <w:rsid w:val="00DD25A9"/>
    <w:rsid w:val="00DD25DC"/>
    <w:rsid w:val="00DD2743"/>
    <w:rsid w:val="00DD2776"/>
    <w:rsid w:val="00DD278E"/>
    <w:rsid w:val="00DD28E1"/>
    <w:rsid w:val="00DD28F7"/>
    <w:rsid w:val="00DD294B"/>
    <w:rsid w:val="00DD29A1"/>
    <w:rsid w:val="00DD29A9"/>
    <w:rsid w:val="00DD29DA"/>
    <w:rsid w:val="00DD29DB"/>
    <w:rsid w:val="00DD2AFA"/>
    <w:rsid w:val="00DD2CBE"/>
    <w:rsid w:val="00DD2D48"/>
    <w:rsid w:val="00DD2D6A"/>
    <w:rsid w:val="00DD2D9C"/>
    <w:rsid w:val="00DD2DA5"/>
    <w:rsid w:val="00DD2DE1"/>
    <w:rsid w:val="00DD2E48"/>
    <w:rsid w:val="00DD3565"/>
    <w:rsid w:val="00DD35D4"/>
    <w:rsid w:val="00DD3769"/>
    <w:rsid w:val="00DD3AA3"/>
    <w:rsid w:val="00DD3B07"/>
    <w:rsid w:val="00DD3C75"/>
    <w:rsid w:val="00DD3D97"/>
    <w:rsid w:val="00DD3EF4"/>
    <w:rsid w:val="00DD3EF9"/>
    <w:rsid w:val="00DD4114"/>
    <w:rsid w:val="00DD414A"/>
    <w:rsid w:val="00DD4278"/>
    <w:rsid w:val="00DD42F9"/>
    <w:rsid w:val="00DD4350"/>
    <w:rsid w:val="00DD43BE"/>
    <w:rsid w:val="00DD43C9"/>
    <w:rsid w:val="00DD4457"/>
    <w:rsid w:val="00DD44A2"/>
    <w:rsid w:val="00DD4755"/>
    <w:rsid w:val="00DD47A0"/>
    <w:rsid w:val="00DD47B9"/>
    <w:rsid w:val="00DD485C"/>
    <w:rsid w:val="00DD4DEB"/>
    <w:rsid w:val="00DD4E06"/>
    <w:rsid w:val="00DD4E84"/>
    <w:rsid w:val="00DD4EBA"/>
    <w:rsid w:val="00DD5001"/>
    <w:rsid w:val="00DD503E"/>
    <w:rsid w:val="00DD52C0"/>
    <w:rsid w:val="00DD5358"/>
    <w:rsid w:val="00DD5405"/>
    <w:rsid w:val="00DD5565"/>
    <w:rsid w:val="00DD56D2"/>
    <w:rsid w:val="00DD583B"/>
    <w:rsid w:val="00DD58A8"/>
    <w:rsid w:val="00DD58E5"/>
    <w:rsid w:val="00DD592F"/>
    <w:rsid w:val="00DD5934"/>
    <w:rsid w:val="00DD5AA1"/>
    <w:rsid w:val="00DD5AED"/>
    <w:rsid w:val="00DD5B61"/>
    <w:rsid w:val="00DD5C15"/>
    <w:rsid w:val="00DD5CB8"/>
    <w:rsid w:val="00DD5CBD"/>
    <w:rsid w:val="00DD5DAD"/>
    <w:rsid w:val="00DD5DB1"/>
    <w:rsid w:val="00DD5DD1"/>
    <w:rsid w:val="00DD5F2F"/>
    <w:rsid w:val="00DD5FD1"/>
    <w:rsid w:val="00DD605F"/>
    <w:rsid w:val="00DD60BF"/>
    <w:rsid w:val="00DD6108"/>
    <w:rsid w:val="00DD637A"/>
    <w:rsid w:val="00DD6427"/>
    <w:rsid w:val="00DD650C"/>
    <w:rsid w:val="00DD656F"/>
    <w:rsid w:val="00DD6652"/>
    <w:rsid w:val="00DD66BD"/>
    <w:rsid w:val="00DD678B"/>
    <w:rsid w:val="00DD68AA"/>
    <w:rsid w:val="00DD690A"/>
    <w:rsid w:val="00DD6AA7"/>
    <w:rsid w:val="00DD6B0B"/>
    <w:rsid w:val="00DD6B49"/>
    <w:rsid w:val="00DD6BA3"/>
    <w:rsid w:val="00DD6BB6"/>
    <w:rsid w:val="00DD6C19"/>
    <w:rsid w:val="00DD6DFF"/>
    <w:rsid w:val="00DD6F14"/>
    <w:rsid w:val="00DD6F9A"/>
    <w:rsid w:val="00DD7089"/>
    <w:rsid w:val="00DD7136"/>
    <w:rsid w:val="00DD7183"/>
    <w:rsid w:val="00DD72F0"/>
    <w:rsid w:val="00DD7333"/>
    <w:rsid w:val="00DD7428"/>
    <w:rsid w:val="00DD7453"/>
    <w:rsid w:val="00DD75CE"/>
    <w:rsid w:val="00DD75EA"/>
    <w:rsid w:val="00DD7665"/>
    <w:rsid w:val="00DD766B"/>
    <w:rsid w:val="00DD76A2"/>
    <w:rsid w:val="00DD76D7"/>
    <w:rsid w:val="00DD7895"/>
    <w:rsid w:val="00DD7925"/>
    <w:rsid w:val="00DD7B15"/>
    <w:rsid w:val="00DD7C08"/>
    <w:rsid w:val="00DD7C22"/>
    <w:rsid w:val="00DD7E6E"/>
    <w:rsid w:val="00DD7F52"/>
    <w:rsid w:val="00DE00C6"/>
    <w:rsid w:val="00DE00D7"/>
    <w:rsid w:val="00DE0112"/>
    <w:rsid w:val="00DE0298"/>
    <w:rsid w:val="00DE0303"/>
    <w:rsid w:val="00DE0369"/>
    <w:rsid w:val="00DE0409"/>
    <w:rsid w:val="00DE0461"/>
    <w:rsid w:val="00DE058D"/>
    <w:rsid w:val="00DE05DB"/>
    <w:rsid w:val="00DE0631"/>
    <w:rsid w:val="00DE09BE"/>
    <w:rsid w:val="00DE09E5"/>
    <w:rsid w:val="00DE0A09"/>
    <w:rsid w:val="00DE0A27"/>
    <w:rsid w:val="00DE0A43"/>
    <w:rsid w:val="00DE0AAF"/>
    <w:rsid w:val="00DE0AC2"/>
    <w:rsid w:val="00DE0AD9"/>
    <w:rsid w:val="00DE0AF3"/>
    <w:rsid w:val="00DE0B2F"/>
    <w:rsid w:val="00DE0C4F"/>
    <w:rsid w:val="00DE0DC9"/>
    <w:rsid w:val="00DE0DD8"/>
    <w:rsid w:val="00DE0E66"/>
    <w:rsid w:val="00DE0F7E"/>
    <w:rsid w:val="00DE1002"/>
    <w:rsid w:val="00DE1211"/>
    <w:rsid w:val="00DE126C"/>
    <w:rsid w:val="00DE1426"/>
    <w:rsid w:val="00DE1437"/>
    <w:rsid w:val="00DE146E"/>
    <w:rsid w:val="00DE147C"/>
    <w:rsid w:val="00DE14D1"/>
    <w:rsid w:val="00DE1563"/>
    <w:rsid w:val="00DE16AC"/>
    <w:rsid w:val="00DE179C"/>
    <w:rsid w:val="00DE17B3"/>
    <w:rsid w:val="00DE187C"/>
    <w:rsid w:val="00DE196F"/>
    <w:rsid w:val="00DE1A2B"/>
    <w:rsid w:val="00DE1AE2"/>
    <w:rsid w:val="00DE1B95"/>
    <w:rsid w:val="00DE1BAF"/>
    <w:rsid w:val="00DE1C0E"/>
    <w:rsid w:val="00DE1C36"/>
    <w:rsid w:val="00DE1E42"/>
    <w:rsid w:val="00DE1EAB"/>
    <w:rsid w:val="00DE2094"/>
    <w:rsid w:val="00DE238D"/>
    <w:rsid w:val="00DE247F"/>
    <w:rsid w:val="00DE2526"/>
    <w:rsid w:val="00DE259C"/>
    <w:rsid w:val="00DE25BF"/>
    <w:rsid w:val="00DE262B"/>
    <w:rsid w:val="00DE26C6"/>
    <w:rsid w:val="00DE27BA"/>
    <w:rsid w:val="00DE29A9"/>
    <w:rsid w:val="00DE2BFF"/>
    <w:rsid w:val="00DE2CFA"/>
    <w:rsid w:val="00DE2F9D"/>
    <w:rsid w:val="00DE3020"/>
    <w:rsid w:val="00DE307A"/>
    <w:rsid w:val="00DE30FE"/>
    <w:rsid w:val="00DE31EC"/>
    <w:rsid w:val="00DE324F"/>
    <w:rsid w:val="00DE325A"/>
    <w:rsid w:val="00DE32FE"/>
    <w:rsid w:val="00DE3443"/>
    <w:rsid w:val="00DE34B6"/>
    <w:rsid w:val="00DE3534"/>
    <w:rsid w:val="00DE356A"/>
    <w:rsid w:val="00DE3684"/>
    <w:rsid w:val="00DE3893"/>
    <w:rsid w:val="00DE3909"/>
    <w:rsid w:val="00DE3944"/>
    <w:rsid w:val="00DE39B8"/>
    <w:rsid w:val="00DE3C1F"/>
    <w:rsid w:val="00DE3E15"/>
    <w:rsid w:val="00DE3E3C"/>
    <w:rsid w:val="00DE41BA"/>
    <w:rsid w:val="00DE425B"/>
    <w:rsid w:val="00DE4359"/>
    <w:rsid w:val="00DE43E9"/>
    <w:rsid w:val="00DE44D9"/>
    <w:rsid w:val="00DE44FE"/>
    <w:rsid w:val="00DE4520"/>
    <w:rsid w:val="00DE4542"/>
    <w:rsid w:val="00DE45E2"/>
    <w:rsid w:val="00DE46C2"/>
    <w:rsid w:val="00DE4946"/>
    <w:rsid w:val="00DE495E"/>
    <w:rsid w:val="00DE4A26"/>
    <w:rsid w:val="00DE4A94"/>
    <w:rsid w:val="00DE4ADB"/>
    <w:rsid w:val="00DE4B16"/>
    <w:rsid w:val="00DE4B25"/>
    <w:rsid w:val="00DE4BC6"/>
    <w:rsid w:val="00DE4BF5"/>
    <w:rsid w:val="00DE4FDD"/>
    <w:rsid w:val="00DE51EF"/>
    <w:rsid w:val="00DE53A3"/>
    <w:rsid w:val="00DE5427"/>
    <w:rsid w:val="00DE54D2"/>
    <w:rsid w:val="00DE5688"/>
    <w:rsid w:val="00DE57B1"/>
    <w:rsid w:val="00DE57D3"/>
    <w:rsid w:val="00DE57D4"/>
    <w:rsid w:val="00DE59B0"/>
    <w:rsid w:val="00DE59ED"/>
    <w:rsid w:val="00DE59F7"/>
    <w:rsid w:val="00DE5A51"/>
    <w:rsid w:val="00DE5DF3"/>
    <w:rsid w:val="00DE5DFE"/>
    <w:rsid w:val="00DE5F00"/>
    <w:rsid w:val="00DE5F46"/>
    <w:rsid w:val="00DE5FCB"/>
    <w:rsid w:val="00DE607C"/>
    <w:rsid w:val="00DE616A"/>
    <w:rsid w:val="00DE618E"/>
    <w:rsid w:val="00DE62B8"/>
    <w:rsid w:val="00DE6372"/>
    <w:rsid w:val="00DE63C0"/>
    <w:rsid w:val="00DE64AF"/>
    <w:rsid w:val="00DE652E"/>
    <w:rsid w:val="00DE6572"/>
    <w:rsid w:val="00DE6593"/>
    <w:rsid w:val="00DE65B2"/>
    <w:rsid w:val="00DE65B8"/>
    <w:rsid w:val="00DE65F2"/>
    <w:rsid w:val="00DE6602"/>
    <w:rsid w:val="00DE6662"/>
    <w:rsid w:val="00DE6827"/>
    <w:rsid w:val="00DE6918"/>
    <w:rsid w:val="00DE695C"/>
    <w:rsid w:val="00DE6A79"/>
    <w:rsid w:val="00DE6B98"/>
    <w:rsid w:val="00DE6BAC"/>
    <w:rsid w:val="00DE6D9D"/>
    <w:rsid w:val="00DE6DB3"/>
    <w:rsid w:val="00DE705F"/>
    <w:rsid w:val="00DE70ED"/>
    <w:rsid w:val="00DE721F"/>
    <w:rsid w:val="00DE732B"/>
    <w:rsid w:val="00DE7399"/>
    <w:rsid w:val="00DE7431"/>
    <w:rsid w:val="00DE7499"/>
    <w:rsid w:val="00DE7538"/>
    <w:rsid w:val="00DE7A6F"/>
    <w:rsid w:val="00DE7D1B"/>
    <w:rsid w:val="00DE7F01"/>
    <w:rsid w:val="00DE7F2A"/>
    <w:rsid w:val="00DE7F57"/>
    <w:rsid w:val="00DF00F1"/>
    <w:rsid w:val="00DF0131"/>
    <w:rsid w:val="00DF013E"/>
    <w:rsid w:val="00DF01B3"/>
    <w:rsid w:val="00DF01CC"/>
    <w:rsid w:val="00DF01EB"/>
    <w:rsid w:val="00DF0470"/>
    <w:rsid w:val="00DF04B3"/>
    <w:rsid w:val="00DF050A"/>
    <w:rsid w:val="00DF055F"/>
    <w:rsid w:val="00DF0619"/>
    <w:rsid w:val="00DF063C"/>
    <w:rsid w:val="00DF07C4"/>
    <w:rsid w:val="00DF0852"/>
    <w:rsid w:val="00DF0893"/>
    <w:rsid w:val="00DF090E"/>
    <w:rsid w:val="00DF0A67"/>
    <w:rsid w:val="00DF0AB6"/>
    <w:rsid w:val="00DF0AD6"/>
    <w:rsid w:val="00DF0BFA"/>
    <w:rsid w:val="00DF0C55"/>
    <w:rsid w:val="00DF0DA1"/>
    <w:rsid w:val="00DF0DAF"/>
    <w:rsid w:val="00DF0E85"/>
    <w:rsid w:val="00DF1093"/>
    <w:rsid w:val="00DF10B8"/>
    <w:rsid w:val="00DF110E"/>
    <w:rsid w:val="00DF1242"/>
    <w:rsid w:val="00DF124F"/>
    <w:rsid w:val="00DF1269"/>
    <w:rsid w:val="00DF128F"/>
    <w:rsid w:val="00DF12B4"/>
    <w:rsid w:val="00DF1566"/>
    <w:rsid w:val="00DF1594"/>
    <w:rsid w:val="00DF1688"/>
    <w:rsid w:val="00DF184E"/>
    <w:rsid w:val="00DF18FC"/>
    <w:rsid w:val="00DF1925"/>
    <w:rsid w:val="00DF1965"/>
    <w:rsid w:val="00DF19BA"/>
    <w:rsid w:val="00DF19DD"/>
    <w:rsid w:val="00DF1A4F"/>
    <w:rsid w:val="00DF1AC6"/>
    <w:rsid w:val="00DF1B09"/>
    <w:rsid w:val="00DF1B34"/>
    <w:rsid w:val="00DF1C90"/>
    <w:rsid w:val="00DF1D94"/>
    <w:rsid w:val="00DF1E22"/>
    <w:rsid w:val="00DF1E4E"/>
    <w:rsid w:val="00DF1ED6"/>
    <w:rsid w:val="00DF2035"/>
    <w:rsid w:val="00DF2061"/>
    <w:rsid w:val="00DF20CE"/>
    <w:rsid w:val="00DF2150"/>
    <w:rsid w:val="00DF223A"/>
    <w:rsid w:val="00DF2543"/>
    <w:rsid w:val="00DF264D"/>
    <w:rsid w:val="00DF265C"/>
    <w:rsid w:val="00DF2798"/>
    <w:rsid w:val="00DF2868"/>
    <w:rsid w:val="00DF2A44"/>
    <w:rsid w:val="00DF2CD3"/>
    <w:rsid w:val="00DF2D19"/>
    <w:rsid w:val="00DF2D4C"/>
    <w:rsid w:val="00DF3030"/>
    <w:rsid w:val="00DF3146"/>
    <w:rsid w:val="00DF32AF"/>
    <w:rsid w:val="00DF33D1"/>
    <w:rsid w:val="00DF3487"/>
    <w:rsid w:val="00DF34A4"/>
    <w:rsid w:val="00DF3534"/>
    <w:rsid w:val="00DF370D"/>
    <w:rsid w:val="00DF381C"/>
    <w:rsid w:val="00DF390F"/>
    <w:rsid w:val="00DF3964"/>
    <w:rsid w:val="00DF3CA3"/>
    <w:rsid w:val="00DF3DF9"/>
    <w:rsid w:val="00DF3E75"/>
    <w:rsid w:val="00DF3EFF"/>
    <w:rsid w:val="00DF3F55"/>
    <w:rsid w:val="00DF415B"/>
    <w:rsid w:val="00DF4211"/>
    <w:rsid w:val="00DF4257"/>
    <w:rsid w:val="00DF4349"/>
    <w:rsid w:val="00DF4466"/>
    <w:rsid w:val="00DF464A"/>
    <w:rsid w:val="00DF466B"/>
    <w:rsid w:val="00DF469F"/>
    <w:rsid w:val="00DF4785"/>
    <w:rsid w:val="00DF47E3"/>
    <w:rsid w:val="00DF4A0A"/>
    <w:rsid w:val="00DF4BDC"/>
    <w:rsid w:val="00DF4C40"/>
    <w:rsid w:val="00DF4D4B"/>
    <w:rsid w:val="00DF4E1E"/>
    <w:rsid w:val="00DF4E59"/>
    <w:rsid w:val="00DF5055"/>
    <w:rsid w:val="00DF5082"/>
    <w:rsid w:val="00DF5169"/>
    <w:rsid w:val="00DF52A8"/>
    <w:rsid w:val="00DF52F9"/>
    <w:rsid w:val="00DF53B8"/>
    <w:rsid w:val="00DF542F"/>
    <w:rsid w:val="00DF5439"/>
    <w:rsid w:val="00DF54C1"/>
    <w:rsid w:val="00DF5546"/>
    <w:rsid w:val="00DF557A"/>
    <w:rsid w:val="00DF56A6"/>
    <w:rsid w:val="00DF56A8"/>
    <w:rsid w:val="00DF56D8"/>
    <w:rsid w:val="00DF573E"/>
    <w:rsid w:val="00DF5750"/>
    <w:rsid w:val="00DF58DC"/>
    <w:rsid w:val="00DF5910"/>
    <w:rsid w:val="00DF5B8D"/>
    <w:rsid w:val="00DF5BCC"/>
    <w:rsid w:val="00DF5CE0"/>
    <w:rsid w:val="00DF5D3A"/>
    <w:rsid w:val="00DF5D44"/>
    <w:rsid w:val="00DF5E00"/>
    <w:rsid w:val="00DF5EE3"/>
    <w:rsid w:val="00DF5FC5"/>
    <w:rsid w:val="00DF6147"/>
    <w:rsid w:val="00DF616C"/>
    <w:rsid w:val="00DF6171"/>
    <w:rsid w:val="00DF62BE"/>
    <w:rsid w:val="00DF63ED"/>
    <w:rsid w:val="00DF64B4"/>
    <w:rsid w:val="00DF6520"/>
    <w:rsid w:val="00DF665B"/>
    <w:rsid w:val="00DF67B7"/>
    <w:rsid w:val="00DF6977"/>
    <w:rsid w:val="00DF6B7C"/>
    <w:rsid w:val="00DF6C23"/>
    <w:rsid w:val="00DF6D14"/>
    <w:rsid w:val="00DF6DDF"/>
    <w:rsid w:val="00DF7100"/>
    <w:rsid w:val="00DF7234"/>
    <w:rsid w:val="00DF724D"/>
    <w:rsid w:val="00DF7387"/>
    <w:rsid w:val="00DF7453"/>
    <w:rsid w:val="00DF7570"/>
    <w:rsid w:val="00DF77CD"/>
    <w:rsid w:val="00DF782D"/>
    <w:rsid w:val="00DF7867"/>
    <w:rsid w:val="00DF7A35"/>
    <w:rsid w:val="00DF7D48"/>
    <w:rsid w:val="00DF7D94"/>
    <w:rsid w:val="00DF7F37"/>
    <w:rsid w:val="00E0001A"/>
    <w:rsid w:val="00E00128"/>
    <w:rsid w:val="00E001C8"/>
    <w:rsid w:val="00E00205"/>
    <w:rsid w:val="00E00219"/>
    <w:rsid w:val="00E00397"/>
    <w:rsid w:val="00E003AF"/>
    <w:rsid w:val="00E00650"/>
    <w:rsid w:val="00E00770"/>
    <w:rsid w:val="00E0094A"/>
    <w:rsid w:val="00E00965"/>
    <w:rsid w:val="00E00AE0"/>
    <w:rsid w:val="00E00AEA"/>
    <w:rsid w:val="00E00AEE"/>
    <w:rsid w:val="00E00CB2"/>
    <w:rsid w:val="00E00DF3"/>
    <w:rsid w:val="00E00E13"/>
    <w:rsid w:val="00E00EE7"/>
    <w:rsid w:val="00E00F0D"/>
    <w:rsid w:val="00E00F49"/>
    <w:rsid w:val="00E01060"/>
    <w:rsid w:val="00E01175"/>
    <w:rsid w:val="00E0131A"/>
    <w:rsid w:val="00E0131C"/>
    <w:rsid w:val="00E0139C"/>
    <w:rsid w:val="00E0148F"/>
    <w:rsid w:val="00E01571"/>
    <w:rsid w:val="00E01697"/>
    <w:rsid w:val="00E01780"/>
    <w:rsid w:val="00E0193B"/>
    <w:rsid w:val="00E0195E"/>
    <w:rsid w:val="00E01BC7"/>
    <w:rsid w:val="00E01BF7"/>
    <w:rsid w:val="00E01C80"/>
    <w:rsid w:val="00E01D02"/>
    <w:rsid w:val="00E01D42"/>
    <w:rsid w:val="00E01D61"/>
    <w:rsid w:val="00E01D76"/>
    <w:rsid w:val="00E01DBD"/>
    <w:rsid w:val="00E01FF0"/>
    <w:rsid w:val="00E0202C"/>
    <w:rsid w:val="00E02045"/>
    <w:rsid w:val="00E020A4"/>
    <w:rsid w:val="00E0231D"/>
    <w:rsid w:val="00E0233E"/>
    <w:rsid w:val="00E0238E"/>
    <w:rsid w:val="00E0243E"/>
    <w:rsid w:val="00E02529"/>
    <w:rsid w:val="00E02563"/>
    <w:rsid w:val="00E02599"/>
    <w:rsid w:val="00E02655"/>
    <w:rsid w:val="00E026A2"/>
    <w:rsid w:val="00E02738"/>
    <w:rsid w:val="00E0298A"/>
    <w:rsid w:val="00E029EF"/>
    <w:rsid w:val="00E02ADC"/>
    <w:rsid w:val="00E02B67"/>
    <w:rsid w:val="00E02BF8"/>
    <w:rsid w:val="00E02C81"/>
    <w:rsid w:val="00E02D5E"/>
    <w:rsid w:val="00E02D6B"/>
    <w:rsid w:val="00E02E77"/>
    <w:rsid w:val="00E02EB1"/>
    <w:rsid w:val="00E02EBC"/>
    <w:rsid w:val="00E02F17"/>
    <w:rsid w:val="00E02F6A"/>
    <w:rsid w:val="00E031A9"/>
    <w:rsid w:val="00E03237"/>
    <w:rsid w:val="00E03278"/>
    <w:rsid w:val="00E03472"/>
    <w:rsid w:val="00E03929"/>
    <w:rsid w:val="00E03B81"/>
    <w:rsid w:val="00E03BFD"/>
    <w:rsid w:val="00E03C63"/>
    <w:rsid w:val="00E03CB9"/>
    <w:rsid w:val="00E03E74"/>
    <w:rsid w:val="00E03F1B"/>
    <w:rsid w:val="00E03F69"/>
    <w:rsid w:val="00E041D0"/>
    <w:rsid w:val="00E041FF"/>
    <w:rsid w:val="00E0421F"/>
    <w:rsid w:val="00E04267"/>
    <w:rsid w:val="00E0439D"/>
    <w:rsid w:val="00E04499"/>
    <w:rsid w:val="00E0467D"/>
    <w:rsid w:val="00E0476E"/>
    <w:rsid w:val="00E04814"/>
    <w:rsid w:val="00E048A9"/>
    <w:rsid w:val="00E04923"/>
    <w:rsid w:val="00E04984"/>
    <w:rsid w:val="00E04A97"/>
    <w:rsid w:val="00E04C0B"/>
    <w:rsid w:val="00E04D14"/>
    <w:rsid w:val="00E04D26"/>
    <w:rsid w:val="00E04F3E"/>
    <w:rsid w:val="00E04F86"/>
    <w:rsid w:val="00E05076"/>
    <w:rsid w:val="00E050A2"/>
    <w:rsid w:val="00E050ED"/>
    <w:rsid w:val="00E051BF"/>
    <w:rsid w:val="00E0528A"/>
    <w:rsid w:val="00E0539D"/>
    <w:rsid w:val="00E05627"/>
    <w:rsid w:val="00E0576F"/>
    <w:rsid w:val="00E05823"/>
    <w:rsid w:val="00E05C79"/>
    <w:rsid w:val="00E05D45"/>
    <w:rsid w:val="00E05DAE"/>
    <w:rsid w:val="00E05DBD"/>
    <w:rsid w:val="00E05FF8"/>
    <w:rsid w:val="00E06140"/>
    <w:rsid w:val="00E06191"/>
    <w:rsid w:val="00E0626B"/>
    <w:rsid w:val="00E06418"/>
    <w:rsid w:val="00E0652F"/>
    <w:rsid w:val="00E067BA"/>
    <w:rsid w:val="00E06995"/>
    <w:rsid w:val="00E06A51"/>
    <w:rsid w:val="00E06A93"/>
    <w:rsid w:val="00E06C7A"/>
    <w:rsid w:val="00E06D5A"/>
    <w:rsid w:val="00E06E48"/>
    <w:rsid w:val="00E07000"/>
    <w:rsid w:val="00E0705E"/>
    <w:rsid w:val="00E0717A"/>
    <w:rsid w:val="00E07489"/>
    <w:rsid w:val="00E075DD"/>
    <w:rsid w:val="00E076A5"/>
    <w:rsid w:val="00E076B9"/>
    <w:rsid w:val="00E078C9"/>
    <w:rsid w:val="00E07975"/>
    <w:rsid w:val="00E07983"/>
    <w:rsid w:val="00E07994"/>
    <w:rsid w:val="00E07A2E"/>
    <w:rsid w:val="00E07BC1"/>
    <w:rsid w:val="00E07FB6"/>
    <w:rsid w:val="00E100C5"/>
    <w:rsid w:val="00E102FF"/>
    <w:rsid w:val="00E1045E"/>
    <w:rsid w:val="00E104AA"/>
    <w:rsid w:val="00E104BC"/>
    <w:rsid w:val="00E1051C"/>
    <w:rsid w:val="00E10566"/>
    <w:rsid w:val="00E105DC"/>
    <w:rsid w:val="00E10648"/>
    <w:rsid w:val="00E106CB"/>
    <w:rsid w:val="00E107EA"/>
    <w:rsid w:val="00E10860"/>
    <w:rsid w:val="00E10AFD"/>
    <w:rsid w:val="00E10B85"/>
    <w:rsid w:val="00E10BD0"/>
    <w:rsid w:val="00E10C53"/>
    <w:rsid w:val="00E10C88"/>
    <w:rsid w:val="00E10D87"/>
    <w:rsid w:val="00E10EE8"/>
    <w:rsid w:val="00E10F85"/>
    <w:rsid w:val="00E10F8A"/>
    <w:rsid w:val="00E1104F"/>
    <w:rsid w:val="00E11208"/>
    <w:rsid w:val="00E112D9"/>
    <w:rsid w:val="00E1139F"/>
    <w:rsid w:val="00E11437"/>
    <w:rsid w:val="00E115D9"/>
    <w:rsid w:val="00E11712"/>
    <w:rsid w:val="00E11781"/>
    <w:rsid w:val="00E11844"/>
    <w:rsid w:val="00E11A64"/>
    <w:rsid w:val="00E11ABE"/>
    <w:rsid w:val="00E11B0D"/>
    <w:rsid w:val="00E11C0F"/>
    <w:rsid w:val="00E11CBA"/>
    <w:rsid w:val="00E11D2F"/>
    <w:rsid w:val="00E11E75"/>
    <w:rsid w:val="00E11E9C"/>
    <w:rsid w:val="00E11F11"/>
    <w:rsid w:val="00E11F78"/>
    <w:rsid w:val="00E11F86"/>
    <w:rsid w:val="00E12007"/>
    <w:rsid w:val="00E12060"/>
    <w:rsid w:val="00E12294"/>
    <w:rsid w:val="00E12336"/>
    <w:rsid w:val="00E12652"/>
    <w:rsid w:val="00E1266A"/>
    <w:rsid w:val="00E12710"/>
    <w:rsid w:val="00E12750"/>
    <w:rsid w:val="00E12883"/>
    <w:rsid w:val="00E128D9"/>
    <w:rsid w:val="00E12AE2"/>
    <w:rsid w:val="00E12B78"/>
    <w:rsid w:val="00E12BF4"/>
    <w:rsid w:val="00E12CD8"/>
    <w:rsid w:val="00E12D0E"/>
    <w:rsid w:val="00E12DAB"/>
    <w:rsid w:val="00E12DAE"/>
    <w:rsid w:val="00E12F6B"/>
    <w:rsid w:val="00E12FC1"/>
    <w:rsid w:val="00E12FEF"/>
    <w:rsid w:val="00E131E7"/>
    <w:rsid w:val="00E133AC"/>
    <w:rsid w:val="00E136CD"/>
    <w:rsid w:val="00E138F8"/>
    <w:rsid w:val="00E13C65"/>
    <w:rsid w:val="00E13C6A"/>
    <w:rsid w:val="00E13D88"/>
    <w:rsid w:val="00E13E56"/>
    <w:rsid w:val="00E13EAA"/>
    <w:rsid w:val="00E13EF0"/>
    <w:rsid w:val="00E1416B"/>
    <w:rsid w:val="00E1417F"/>
    <w:rsid w:val="00E1439E"/>
    <w:rsid w:val="00E14470"/>
    <w:rsid w:val="00E1459A"/>
    <w:rsid w:val="00E145DE"/>
    <w:rsid w:val="00E1472B"/>
    <w:rsid w:val="00E14767"/>
    <w:rsid w:val="00E14813"/>
    <w:rsid w:val="00E14836"/>
    <w:rsid w:val="00E149A0"/>
    <w:rsid w:val="00E14BE3"/>
    <w:rsid w:val="00E14C5B"/>
    <w:rsid w:val="00E14DDC"/>
    <w:rsid w:val="00E14E1D"/>
    <w:rsid w:val="00E14EA0"/>
    <w:rsid w:val="00E14EA5"/>
    <w:rsid w:val="00E14FA1"/>
    <w:rsid w:val="00E14FAD"/>
    <w:rsid w:val="00E150C1"/>
    <w:rsid w:val="00E150EC"/>
    <w:rsid w:val="00E15188"/>
    <w:rsid w:val="00E151CA"/>
    <w:rsid w:val="00E152A6"/>
    <w:rsid w:val="00E152FF"/>
    <w:rsid w:val="00E1532E"/>
    <w:rsid w:val="00E15335"/>
    <w:rsid w:val="00E153C6"/>
    <w:rsid w:val="00E15455"/>
    <w:rsid w:val="00E1553E"/>
    <w:rsid w:val="00E155F8"/>
    <w:rsid w:val="00E156A6"/>
    <w:rsid w:val="00E156BB"/>
    <w:rsid w:val="00E1577B"/>
    <w:rsid w:val="00E15792"/>
    <w:rsid w:val="00E1587A"/>
    <w:rsid w:val="00E158BD"/>
    <w:rsid w:val="00E1593E"/>
    <w:rsid w:val="00E159BE"/>
    <w:rsid w:val="00E15A34"/>
    <w:rsid w:val="00E15A5E"/>
    <w:rsid w:val="00E15B5E"/>
    <w:rsid w:val="00E15D84"/>
    <w:rsid w:val="00E15EB8"/>
    <w:rsid w:val="00E15EE2"/>
    <w:rsid w:val="00E1619E"/>
    <w:rsid w:val="00E1628A"/>
    <w:rsid w:val="00E162F5"/>
    <w:rsid w:val="00E16374"/>
    <w:rsid w:val="00E163A1"/>
    <w:rsid w:val="00E16473"/>
    <w:rsid w:val="00E16523"/>
    <w:rsid w:val="00E16605"/>
    <w:rsid w:val="00E1665C"/>
    <w:rsid w:val="00E1684F"/>
    <w:rsid w:val="00E16875"/>
    <w:rsid w:val="00E16919"/>
    <w:rsid w:val="00E169B6"/>
    <w:rsid w:val="00E16A7A"/>
    <w:rsid w:val="00E16B29"/>
    <w:rsid w:val="00E16B66"/>
    <w:rsid w:val="00E16B8A"/>
    <w:rsid w:val="00E16BAF"/>
    <w:rsid w:val="00E16D3B"/>
    <w:rsid w:val="00E16E30"/>
    <w:rsid w:val="00E16F3F"/>
    <w:rsid w:val="00E16F8D"/>
    <w:rsid w:val="00E1705F"/>
    <w:rsid w:val="00E1706B"/>
    <w:rsid w:val="00E170CB"/>
    <w:rsid w:val="00E171FD"/>
    <w:rsid w:val="00E17257"/>
    <w:rsid w:val="00E17353"/>
    <w:rsid w:val="00E1747A"/>
    <w:rsid w:val="00E17522"/>
    <w:rsid w:val="00E1768F"/>
    <w:rsid w:val="00E17692"/>
    <w:rsid w:val="00E1771C"/>
    <w:rsid w:val="00E17763"/>
    <w:rsid w:val="00E1776A"/>
    <w:rsid w:val="00E177F2"/>
    <w:rsid w:val="00E178E0"/>
    <w:rsid w:val="00E1797C"/>
    <w:rsid w:val="00E17999"/>
    <w:rsid w:val="00E17A3C"/>
    <w:rsid w:val="00E17BD7"/>
    <w:rsid w:val="00E17BDD"/>
    <w:rsid w:val="00E17C3C"/>
    <w:rsid w:val="00E17D86"/>
    <w:rsid w:val="00E17DBB"/>
    <w:rsid w:val="00E17EA0"/>
    <w:rsid w:val="00E17F3C"/>
    <w:rsid w:val="00E17F4B"/>
    <w:rsid w:val="00E2003F"/>
    <w:rsid w:val="00E20108"/>
    <w:rsid w:val="00E201F4"/>
    <w:rsid w:val="00E20214"/>
    <w:rsid w:val="00E2025C"/>
    <w:rsid w:val="00E20292"/>
    <w:rsid w:val="00E202A9"/>
    <w:rsid w:val="00E203F6"/>
    <w:rsid w:val="00E20438"/>
    <w:rsid w:val="00E205AD"/>
    <w:rsid w:val="00E20759"/>
    <w:rsid w:val="00E207AA"/>
    <w:rsid w:val="00E2093F"/>
    <w:rsid w:val="00E20956"/>
    <w:rsid w:val="00E20B78"/>
    <w:rsid w:val="00E20D47"/>
    <w:rsid w:val="00E20E71"/>
    <w:rsid w:val="00E20F39"/>
    <w:rsid w:val="00E20F4C"/>
    <w:rsid w:val="00E20F6C"/>
    <w:rsid w:val="00E2103C"/>
    <w:rsid w:val="00E210FA"/>
    <w:rsid w:val="00E211C7"/>
    <w:rsid w:val="00E211CD"/>
    <w:rsid w:val="00E212B2"/>
    <w:rsid w:val="00E2179F"/>
    <w:rsid w:val="00E21881"/>
    <w:rsid w:val="00E21AC3"/>
    <w:rsid w:val="00E21B8B"/>
    <w:rsid w:val="00E21BFB"/>
    <w:rsid w:val="00E21D80"/>
    <w:rsid w:val="00E21ECD"/>
    <w:rsid w:val="00E21FA0"/>
    <w:rsid w:val="00E21FD7"/>
    <w:rsid w:val="00E21FDC"/>
    <w:rsid w:val="00E22063"/>
    <w:rsid w:val="00E2212B"/>
    <w:rsid w:val="00E2231B"/>
    <w:rsid w:val="00E2239C"/>
    <w:rsid w:val="00E22554"/>
    <w:rsid w:val="00E22585"/>
    <w:rsid w:val="00E225B3"/>
    <w:rsid w:val="00E2261E"/>
    <w:rsid w:val="00E228B3"/>
    <w:rsid w:val="00E2296D"/>
    <w:rsid w:val="00E22AEF"/>
    <w:rsid w:val="00E22C21"/>
    <w:rsid w:val="00E22C93"/>
    <w:rsid w:val="00E22E22"/>
    <w:rsid w:val="00E23120"/>
    <w:rsid w:val="00E23246"/>
    <w:rsid w:val="00E23539"/>
    <w:rsid w:val="00E23766"/>
    <w:rsid w:val="00E237B2"/>
    <w:rsid w:val="00E238C3"/>
    <w:rsid w:val="00E239C0"/>
    <w:rsid w:val="00E23A11"/>
    <w:rsid w:val="00E23AD0"/>
    <w:rsid w:val="00E23B11"/>
    <w:rsid w:val="00E23C24"/>
    <w:rsid w:val="00E23CFD"/>
    <w:rsid w:val="00E23D2E"/>
    <w:rsid w:val="00E23F0D"/>
    <w:rsid w:val="00E24010"/>
    <w:rsid w:val="00E24155"/>
    <w:rsid w:val="00E24183"/>
    <w:rsid w:val="00E2421D"/>
    <w:rsid w:val="00E24373"/>
    <w:rsid w:val="00E24447"/>
    <w:rsid w:val="00E244DE"/>
    <w:rsid w:val="00E24540"/>
    <w:rsid w:val="00E2456A"/>
    <w:rsid w:val="00E24653"/>
    <w:rsid w:val="00E246F2"/>
    <w:rsid w:val="00E2475A"/>
    <w:rsid w:val="00E247F1"/>
    <w:rsid w:val="00E248BB"/>
    <w:rsid w:val="00E24970"/>
    <w:rsid w:val="00E249D5"/>
    <w:rsid w:val="00E24A25"/>
    <w:rsid w:val="00E24A7B"/>
    <w:rsid w:val="00E24B75"/>
    <w:rsid w:val="00E24C2F"/>
    <w:rsid w:val="00E24D61"/>
    <w:rsid w:val="00E24EB3"/>
    <w:rsid w:val="00E2503A"/>
    <w:rsid w:val="00E25130"/>
    <w:rsid w:val="00E252EC"/>
    <w:rsid w:val="00E2539E"/>
    <w:rsid w:val="00E253EF"/>
    <w:rsid w:val="00E2548B"/>
    <w:rsid w:val="00E254D2"/>
    <w:rsid w:val="00E254F0"/>
    <w:rsid w:val="00E25512"/>
    <w:rsid w:val="00E255A3"/>
    <w:rsid w:val="00E255E2"/>
    <w:rsid w:val="00E256C7"/>
    <w:rsid w:val="00E25789"/>
    <w:rsid w:val="00E25792"/>
    <w:rsid w:val="00E25863"/>
    <w:rsid w:val="00E258BD"/>
    <w:rsid w:val="00E2592F"/>
    <w:rsid w:val="00E25A91"/>
    <w:rsid w:val="00E25AD0"/>
    <w:rsid w:val="00E25DA1"/>
    <w:rsid w:val="00E25E55"/>
    <w:rsid w:val="00E25E58"/>
    <w:rsid w:val="00E25FC7"/>
    <w:rsid w:val="00E26029"/>
    <w:rsid w:val="00E26066"/>
    <w:rsid w:val="00E260E2"/>
    <w:rsid w:val="00E260FB"/>
    <w:rsid w:val="00E26130"/>
    <w:rsid w:val="00E2624E"/>
    <w:rsid w:val="00E263C6"/>
    <w:rsid w:val="00E263F4"/>
    <w:rsid w:val="00E26529"/>
    <w:rsid w:val="00E2659A"/>
    <w:rsid w:val="00E26665"/>
    <w:rsid w:val="00E26747"/>
    <w:rsid w:val="00E26842"/>
    <w:rsid w:val="00E26893"/>
    <w:rsid w:val="00E2694F"/>
    <w:rsid w:val="00E26961"/>
    <w:rsid w:val="00E26964"/>
    <w:rsid w:val="00E26984"/>
    <w:rsid w:val="00E26C20"/>
    <w:rsid w:val="00E26D20"/>
    <w:rsid w:val="00E26E95"/>
    <w:rsid w:val="00E26E97"/>
    <w:rsid w:val="00E27038"/>
    <w:rsid w:val="00E27047"/>
    <w:rsid w:val="00E271BD"/>
    <w:rsid w:val="00E271EC"/>
    <w:rsid w:val="00E272D3"/>
    <w:rsid w:val="00E27317"/>
    <w:rsid w:val="00E27387"/>
    <w:rsid w:val="00E273A3"/>
    <w:rsid w:val="00E27537"/>
    <w:rsid w:val="00E27573"/>
    <w:rsid w:val="00E2759B"/>
    <w:rsid w:val="00E27624"/>
    <w:rsid w:val="00E277E9"/>
    <w:rsid w:val="00E27816"/>
    <w:rsid w:val="00E278A9"/>
    <w:rsid w:val="00E27D74"/>
    <w:rsid w:val="00E27ED2"/>
    <w:rsid w:val="00E27F39"/>
    <w:rsid w:val="00E30005"/>
    <w:rsid w:val="00E301BD"/>
    <w:rsid w:val="00E3026D"/>
    <w:rsid w:val="00E302D2"/>
    <w:rsid w:val="00E302FA"/>
    <w:rsid w:val="00E3031F"/>
    <w:rsid w:val="00E30506"/>
    <w:rsid w:val="00E3075E"/>
    <w:rsid w:val="00E307DC"/>
    <w:rsid w:val="00E30892"/>
    <w:rsid w:val="00E30AE9"/>
    <w:rsid w:val="00E30B08"/>
    <w:rsid w:val="00E30B82"/>
    <w:rsid w:val="00E30B91"/>
    <w:rsid w:val="00E30BF8"/>
    <w:rsid w:val="00E30C70"/>
    <w:rsid w:val="00E31044"/>
    <w:rsid w:val="00E312CD"/>
    <w:rsid w:val="00E3157D"/>
    <w:rsid w:val="00E31639"/>
    <w:rsid w:val="00E3168A"/>
    <w:rsid w:val="00E31729"/>
    <w:rsid w:val="00E31783"/>
    <w:rsid w:val="00E31973"/>
    <w:rsid w:val="00E31B51"/>
    <w:rsid w:val="00E31B97"/>
    <w:rsid w:val="00E31D4E"/>
    <w:rsid w:val="00E31D84"/>
    <w:rsid w:val="00E31F11"/>
    <w:rsid w:val="00E31F78"/>
    <w:rsid w:val="00E32013"/>
    <w:rsid w:val="00E320A0"/>
    <w:rsid w:val="00E3211B"/>
    <w:rsid w:val="00E3226E"/>
    <w:rsid w:val="00E323DD"/>
    <w:rsid w:val="00E32408"/>
    <w:rsid w:val="00E324BE"/>
    <w:rsid w:val="00E32516"/>
    <w:rsid w:val="00E325F3"/>
    <w:rsid w:val="00E32604"/>
    <w:rsid w:val="00E32630"/>
    <w:rsid w:val="00E3270D"/>
    <w:rsid w:val="00E3299D"/>
    <w:rsid w:val="00E32B1D"/>
    <w:rsid w:val="00E32C76"/>
    <w:rsid w:val="00E32D4E"/>
    <w:rsid w:val="00E32EDD"/>
    <w:rsid w:val="00E330A8"/>
    <w:rsid w:val="00E330B9"/>
    <w:rsid w:val="00E3312A"/>
    <w:rsid w:val="00E33176"/>
    <w:rsid w:val="00E331F1"/>
    <w:rsid w:val="00E33249"/>
    <w:rsid w:val="00E335B7"/>
    <w:rsid w:val="00E338AD"/>
    <w:rsid w:val="00E339D4"/>
    <w:rsid w:val="00E33A06"/>
    <w:rsid w:val="00E33B3F"/>
    <w:rsid w:val="00E33B69"/>
    <w:rsid w:val="00E33D51"/>
    <w:rsid w:val="00E340FE"/>
    <w:rsid w:val="00E342CF"/>
    <w:rsid w:val="00E3441A"/>
    <w:rsid w:val="00E3452D"/>
    <w:rsid w:val="00E345B7"/>
    <w:rsid w:val="00E3467A"/>
    <w:rsid w:val="00E349F1"/>
    <w:rsid w:val="00E34A40"/>
    <w:rsid w:val="00E34B04"/>
    <w:rsid w:val="00E34B31"/>
    <w:rsid w:val="00E34B68"/>
    <w:rsid w:val="00E34DFE"/>
    <w:rsid w:val="00E34F48"/>
    <w:rsid w:val="00E34F82"/>
    <w:rsid w:val="00E34FFB"/>
    <w:rsid w:val="00E3523D"/>
    <w:rsid w:val="00E3526B"/>
    <w:rsid w:val="00E35292"/>
    <w:rsid w:val="00E3546D"/>
    <w:rsid w:val="00E354D6"/>
    <w:rsid w:val="00E35635"/>
    <w:rsid w:val="00E35733"/>
    <w:rsid w:val="00E3576B"/>
    <w:rsid w:val="00E3580C"/>
    <w:rsid w:val="00E35AF0"/>
    <w:rsid w:val="00E35C0F"/>
    <w:rsid w:val="00E35D1D"/>
    <w:rsid w:val="00E35D5B"/>
    <w:rsid w:val="00E35D87"/>
    <w:rsid w:val="00E35EF8"/>
    <w:rsid w:val="00E3600E"/>
    <w:rsid w:val="00E3618B"/>
    <w:rsid w:val="00E3639C"/>
    <w:rsid w:val="00E363F3"/>
    <w:rsid w:val="00E36588"/>
    <w:rsid w:val="00E365B1"/>
    <w:rsid w:val="00E3665F"/>
    <w:rsid w:val="00E366A6"/>
    <w:rsid w:val="00E366BF"/>
    <w:rsid w:val="00E367A6"/>
    <w:rsid w:val="00E367CA"/>
    <w:rsid w:val="00E36933"/>
    <w:rsid w:val="00E36939"/>
    <w:rsid w:val="00E36ACE"/>
    <w:rsid w:val="00E36AEC"/>
    <w:rsid w:val="00E36C0C"/>
    <w:rsid w:val="00E36C9A"/>
    <w:rsid w:val="00E36DA2"/>
    <w:rsid w:val="00E36DD9"/>
    <w:rsid w:val="00E36E0C"/>
    <w:rsid w:val="00E36F89"/>
    <w:rsid w:val="00E36F8A"/>
    <w:rsid w:val="00E36FA1"/>
    <w:rsid w:val="00E36FB8"/>
    <w:rsid w:val="00E370F6"/>
    <w:rsid w:val="00E372FA"/>
    <w:rsid w:val="00E37312"/>
    <w:rsid w:val="00E373C2"/>
    <w:rsid w:val="00E37575"/>
    <w:rsid w:val="00E3779F"/>
    <w:rsid w:val="00E3788D"/>
    <w:rsid w:val="00E379FC"/>
    <w:rsid w:val="00E37B00"/>
    <w:rsid w:val="00E37C17"/>
    <w:rsid w:val="00E37D8E"/>
    <w:rsid w:val="00E37E22"/>
    <w:rsid w:val="00E37E81"/>
    <w:rsid w:val="00E40046"/>
    <w:rsid w:val="00E400D9"/>
    <w:rsid w:val="00E40102"/>
    <w:rsid w:val="00E403D3"/>
    <w:rsid w:val="00E403DB"/>
    <w:rsid w:val="00E403FE"/>
    <w:rsid w:val="00E407A4"/>
    <w:rsid w:val="00E408AB"/>
    <w:rsid w:val="00E408D0"/>
    <w:rsid w:val="00E40999"/>
    <w:rsid w:val="00E40A9D"/>
    <w:rsid w:val="00E40B09"/>
    <w:rsid w:val="00E40B2F"/>
    <w:rsid w:val="00E40CAA"/>
    <w:rsid w:val="00E40CBB"/>
    <w:rsid w:val="00E40E13"/>
    <w:rsid w:val="00E40E7C"/>
    <w:rsid w:val="00E40E92"/>
    <w:rsid w:val="00E40F41"/>
    <w:rsid w:val="00E40F74"/>
    <w:rsid w:val="00E40F85"/>
    <w:rsid w:val="00E40FFA"/>
    <w:rsid w:val="00E41027"/>
    <w:rsid w:val="00E41062"/>
    <w:rsid w:val="00E410C1"/>
    <w:rsid w:val="00E41324"/>
    <w:rsid w:val="00E413CC"/>
    <w:rsid w:val="00E413F6"/>
    <w:rsid w:val="00E4144C"/>
    <w:rsid w:val="00E41560"/>
    <w:rsid w:val="00E415D7"/>
    <w:rsid w:val="00E416A8"/>
    <w:rsid w:val="00E417F5"/>
    <w:rsid w:val="00E4182C"/>
    <w:rsid w:val="00E41A6C"/>
    <w:rsid w:val="00E41AAB"/>
    <w:rsid w:val="00E41C05"/>
    <w:rsid w:val="00E41C17"/>
    <w:rsid w:val="00E41E01"/>
    <w:rsid w:val="00E41E4A"/>
    <w:rsid w:val="00E42028"/>
    <w:rsid w:val="00E4208F"/>
    <w:rsid w:val="00E4209F"/>
    <w:rsid w:val="00E420B5"/>
    <w:rsid w:val="00E420D2"/>
    <w:rsid w:val="00E421AA"/>
    <w:rsid w:val="00E4220D"/>
    <w:rsid w:val="00E42307"/>
    <w:rsid w:val="00E42432"/>
    <w:rsid w:val="00E4246B"/>
    <w:rsid w:val="00E4248B"/>
    <w:rsid w:val="00E424C9"/>
    <w:rsid w:val="00E425BD"/>
    <w:rsid w:val="00E42803"/>
    <w:rsid w:val="00E42928"/>
    <w:rsid w:val="00E42C35"/>
    <w:rsid w:val="00E42CAF"/>
    <w:rsid w:val="00E42CB2"/>
    <w:rsid w:val="00E42CD9"/>
    <w:rsid w:val="00E42E6B"/>
    <w:rsid w:val="00E4303A"/>
    <w:rsid w:val="00E4305C"/>
    <w:rsid w:val="00E43194"/>
    <w:rsid w:val="00E4327C"/>
    <w:rsid w:val="00E4329D"/>
    <w:rsid w:val="00E43396"/>
    <w:rsid w:val="00E435FE"/>
    <w:rsid w:val="00E43843"/>
    <w:rsid w:val="00E438AE"/>
    <w:rsid w:val="00E438F9"/>
    <w:rsid w:val="00E439DC"/>
    <w:rsid w:val="00E43A02"/>
    <w:rsid w:val="00E43A8F"/>
    <w:rsid w:val="00E43B86"/>
    <w:rsid w:val="00E43CEC"/>
    <w:rsid w:val="00E43D0A"/>
    <w:rsid w:val="00E43D6B"/>
    <w:rsid w:val="00E43ED7"/>
    <w:rsid w:val="00E43FFA"/>
    <w:rsid w:val="00E440E7"/>
    <w:rsid w:val="00E441DC"/>
    <w:rsid w:val="00E4420B"/>
    <w:rsid w:val="00E4422E"/>
    <w:rsid w:val="00E44277"/>
    <w:rsid w:val="00E44376"/>
    <w:rsid w:val="00E44381"/>
    <w:rsid w:val="00E443BD"/>
    <w:rsid w:val="00E44446"/>
    <w:rsid w:val="00E44497"/>
    <w:rsid w:val="00E444F7"/>
    <w:rsid w:val="00E44597"/>
    <w:rsid w:val="00E4469F"/>
    <w:rsid w:val="00E446C3"/>
    <w:rsid w:val="00E447CF"/>
    <w:rsid w:val="00E44927"/>
    <w:rsid w:val="00E44A28"/>
    <w:rsid w:val="00E44A82"/>
    <w:rsid w:val="00E44AD1"/>
    <w:rsid w:val="00E44D18"/>
    <w:rsid w:val="00E44D83"/>
    <w:rsid w:val="00E44E14"/>
    <w:rsid w:val="00E44E15"/>
    <w:rsid w:val="00E44E9A"/>
    <w:rsid w:val="00E44EC0"/>
    <w:rsid w:val="00E44F0B"/>
    <w:rsid w:val="00E44F38"/>
    <w:rsid w:val="00E45014"/>
    <w:rsid w:val="00E45146"/>
    <w:rsid w:val="00E4514E"/>
    <w:rsid w:val="00E45168"/>
    <w:rsid w:val="00E451ED"/>
    <w:rsid w:val="00E45234"/>
    <w:rsid w:val="00E4541E"/>
    <w:rsid w:val="00E454F6"/>
    <w:rsid w:val="00E456BB"/>
    <w:rsid w:val="00E456D3"/>
    <w:rsid w:val="00E456D7"/>
    <w:rsid w:val="00E45817"/>
    <w:rsid w:val="00E4592E"/>
    <w:rsid w:val="00E45A06"/>
    <w:rsid w:val="00E45A80"/>
    <w:rsid w:val="00E45C11"/>
    <w:rsid w:val="00E45D3C"/>
    <w:rsid w:val="00E45E8D"/>
    <w:rsid w:val="00E4603B"/>
    <w:rsid w:val="00E46337"/>
    <w:rsid w:val="00E46483"/>
    <w:rsid w:val="00E464A1"/>
    <w:rsid w:val="00E46571"/>
    <w:rsid w:val="00E4658A"/>
    <w:rsid w:val="00E4666F"/>
    <w:rsid w:val="00E4677B"/>
    <w:rsid w:val="00E467DF"/>
    <w:rsid w:val="00E46946"/>
    <w:rsid w:val="00E469AE"/>
    <w:rsid w:val="00E46A19"/>
    <w:rsid w:val="00E46AF4"/>
    <w:rsid w:val="00E46B18"/>
    <w:rsid w:val="00E46C2C"/>
    <w:rsid w:val="00E46CF8"/>
    <w:rsid w:val="00E46D7F"/>
    <w:rsid w:val="00E46DA2"/>
    <w:rsid w:val="00E46DBF"/>
    <w:rsid w:val="00E46EB3"/>
    <w:rsid w:val="00E46F1A"/>
    <w:rsid w:val="00E470A2"/>
    <w:rsid w:val="00E4718C"/>
    <w:rsid w:val="00E471EA"/>
    <w:rsid w:val="00E4727F"/>
    <w:rsid w:val="00E472E8"/>
    <w:rsid w:val="00E47422"/>
    <w:rsid w:val="00E4744B"/>
    <w:rsid w:val="00E47511"/>
    <w:rsid w:val="00E4775E"/>
    <w:rsid w:val="00E4776D"/>
    <w:rsid w:val="00E47B9B"/>
    <w:rsid w:val="00E47C98"/>
    <w:rsid w:val="00E47CC1"/>
    <w:rsid w:val="00E47D6B"/>
    <w:rsid w:val="00E47E5E"/>
    <w:rsid w:val="00E47F20"/>
    <w:rsid w:val="00E50058"/>
    <w:rsid w:val="00E5007C"/>
    <w:rsid w:val="00E501E7"/>
    <w:rsid w:val="00E50366"/>
    <w:rsid w:val="00E504A7"/>
    <w:rsid w:val="00E504CB"/>
    <w:rsid w:val="00E504F5"/>
    <w:rsid w:val="00E505AF"/>
    <w:rsid w:val="00E505B6"/>
    <w:rsid w:val="00E50684"/>
    <w:rsid w:val="00E50746"/>
    <w:rsid w:val="00E507A9"/>
    <w:rsid w:val="00E50820"/>
    <w:rsid w:val="00E50838"/>
    <w:rsid w:val="00E5090A"/>
    <w:rsid w:val="00E5097B"/>
    <w:rsid w:val="00E509EC"/>
    <w:rsid w:val="00E50A63"/>
    <w:rsid w:val="00E50A70"/>
    <w:rsid w:val="00E50A9F"/>
    <w:rsid w:val="00E50C40"/>
    <w:rsid w:val="00E510DB"/>
    <w:rsid w:val="00E512C3"/>
    <w:rsid w:val="00E5131A"/>
    <w:rsid w:val="00E513BF"/>
    <w:rsid w:val="00E513CE"/>
    <w:rsid w:val="00E51931"/>
    <w:rsid w:val="00E51A7F"/>
    <w:rsid w:val="00E51DB2"/>
    <w:rsid w:val="00E51E17"/>
    <w:rsid w:val="00E51FAF"/>
    <w:rsid w:val="00E520B4"/>
    <w:rsid w:val="00E521A8"/>
    <w:rsid w:val="00E522B4"/>
    <w:rsid w:val="00E5245C"/>
    <w:rsid w:val="00E52477"/>
    <w:rsid w:val="00E524DE"/>
    <w:rsid w:val="00E524E3"/>
    <w:rsid w:val="00E5250D"/>
    <w:rsid w:val="00E52675"/>
    <w:rsid w:val="00E5274F"/>
    <w:rsid w:val="00E527F3"/>
    <w:rsid w:val="00E52822"/>
    <w:rsid w:val="00E528EB"/>
    <w:rsid w:val="00E5290D"/>
    <w:rsid w:val="00E52BCD"/>
    <w:rsid w:val="00E52BE2"/>
    <w:rsid w:val="00E5301C"/>
    <w:rsid w:val="00E5311E"/>
    <w:rsid w:val="00E53220"/>
    <w:rsid w:val="00E5333B"/>
    <w:rsid w:val="00E535C1"/>
    <w:rsid w:val="00E535E3"/>
    <w:rsid w:val="00E53646"/>
    <w:rsid w:val="00E53814"/>
    <w:rsid w:val="00E53851"/>
    <w:rsid w:val="00E53934"/>
    <w:rsid w:val="00E53A04"/>
    <w:rsid w:val="00E53ADF"/>
    <w:rsid w:val="00E53B7C"/>
    <w:rsid w:val="00E53BF4"/>
    <w:rsid w:val="00E53C89"/>
    <w:rsid w:val="00E53D06"/>
    <w:rsid w:val="00E53D56"/>
    <w:rsid w:val="00E53DAD"/>
    <w:rsid w:val="00E53EFA"/>
    <w:rsid w:val="00E53F61"/>
    <w:rsid w:val="00E53FF0"/>
    <w:rsid w:val="00E54126"/>
    <w:rsid w:val="00E54257"/>
    <w:rsid w:val="00E54360"/>
    <w:rsid w:val="00E54402"/>
    <w:rsid w:val="00E54493"/>
    <w:rsid w:val="00E54699"/>
    <w:rsid w:val="00E54724"/>
    <w:rsid w:val="00E54747"/>
    <w:rsid w:val="00E5476C"/>
    <w:rsid w:val="00E548BC"/>
    <w:rsid w:val="00E549DF"/>
    <w:rsid w:val="00E54A5B"/>
    <w:rsid w:val="00E54B13"/>
    <w:rsid w:val="00E54B6A"/>
    <w:rsid w:val="00E54D5F"/>
    <w:rsid w:val="00E54EED"/>
    <w:rsid w:val="00E55114"/>
    <w:rsid w:val="00E5518A"/>
    <w:rsid w:val="00E552BC"/>
    <w:rsid w:val="00E55315"/>
    <w:rsid w:val="00E5534D"/>
    <w:rsid w:val="00E55414"/>
    <w:rsid w:val="00E554DE"/>
    <w:rsid w:val="00E555EF"/>
    <w:rsid w:val="00E5568A"/>
    <w:rsid w:val="00E55748"/>
    <w:rsid w:val="00E55816"/>
    <w:rsid w:val="00E55948"/>
    <w:rsid w:val="00E559D0"/>
    <w:rsid w:val="00E55B2A"/>
    <w:rsid w:val="00E55C42"/>
    <w:rsid w:val="00E55DC2"/>
    <w:rsid w:val="00E55E20"/>
    <w:rsid w:val="00E55E3C"/>
    <w:rsid w:val="00E5603C"/>
    <w:rsid w:val="00E562B5"/>
    <w:rsid w:val="00E563EC"/>
    <w:rsid w:val="00E564E6"/>
    <w:rsid w:val="00E56664"/>
    <w:rsid w:val="00E56709"/>
    <w:rsid w:val="00E5672F"/>
    <w:rsid w:val="00E568A6"/>
    <w:rsid w:val="00E5697A"/>
    <w:rsid w:val="00E56B22"/>
    <w:rsid w:val="00E56B27"/>
    <w:rsid w:val="00E56B79"/>
    <w:rsid w:val="00E56D2F"/>
    <w:rsid w:val="00E56D8D"/>
    <w:rsid w:val="00E56DB8"/>
    <w:rsid w:val="00E57121"/>
    <w:rsid w:val="00E571E7"/>
    <w:rsid w:val="00E57577"/>
    <w:rsid w:val="00E5768A"/>
    <w:rsid w:val="00E57740"/>
    <w:rsid w:val="00E578A6"/>
    <w:rsid w:val="00E57A3B"/>
    <w:rsid w:val="00E57B66"/>
    <w:rsid w:val="00E57EEB"/>
    <w:rsid w:val="00E57FC9"/>
    <w:rsid w:val="00E57FEF"/>
    <w:rsid w:val="00E60075"/>
    <w:rsid w:val="00E60108"/>
    <w:rsid w:val="00E6010B"/>
    <w:rsid w:val="00E6010E"/>
    <w:rsid w:val="00E60179"/>
    <w:rsid w:val="00E602C6"/>
    <w:rsid w:val="00E603C6"/>
    <w:rsid w:val="00E606CB"/>
    <w:rsid w:val="00E60837"/>
    <w:rsid w:val="00E60A1F"/>
    <w:rsid w:val="00E60AD2"/>
    <w:rsid w:val="00E60AD6"/>
    <w:rsid w:val="00E60AD7"/>
    <w:rsid w:val="00E60BE5"/>
    <w:rsid w:val="00E60CA6"/>
    <w:rsid w:val="00E60CFC"/>
    <w:rsid w:val="00E60DBA"/>
    <w:rsid w:val="00E6103F"/>
    <w:rsid w:val="00E610F3"/>
    <w:rsid w:val="00E611F5"/>
    <w:rsid w:val="00E61286"/>
    <w:rsid w:val="00E6146A"/>
    <w:rsid w:val="00E61492"/>
    <w:rsid w:val="00E61498"/>
    <w:rsid w:val="00E61544"/>
    <w:rsid w:val="00E6156D"/>
    <w:rsid w:val="00E615BA"/>
    <w:rsid w:val="00E61673"/>
    <w:rsid w:val="00E6181C"/>
    <w:rsid w:val="00E61836"/>
    <w:rsid w:val="00E6191A"/>
    <w:rsid w:val="00E61A0B"/>
    <w:rsid w:val="00E61A34"/>
    <w:rsid w:val="00E61C14"/>
    <w:rsid w:val="00E61C82"/>
    <w:rsid w:val="00E61E42"/>
    <w:rsid w:val="00E61F17"/>
    <w:rsid w:val="00E61F87"/>
    <w:rsid w:val="00E62152"/>
    <w:rsid w:val="00E621A5"/>
    <w:rsid w:val="00E62331"/>
    <w:rsid w:val="00E62486"/>
    <w:rsid w:val="00E6259F"/>
    <w:rsid w:val="00E625AE"/>
    <w:rsid w:val="00E6266C"/>
    <w:rsid w:val="00E629FC"/>
    <w:rsid w:val="00E62B78"/>
    <w:rsid w:val="00E62C17"/>
    <w:rsid w:val="00E62D9F"/>
    <w:rsid w:val="00E62E99"/>
    <w:rsid w:val="00E62F67"/>
    <w:rsid w:val="00E63025"/>
    <w:rsid w:val="00E63114"/>
    <w:rsid w:val="00E63473"/>
    <w:rsid w:val="00E63480"/>
    <w:rsid w:val="00E635DC"/>
    <w:rsid w:val="00E63784"/>
    <w:rsid w:val="00E637E6"/>
    <w:rsid w:val="00E63A28"/>
    <w:rsid w:val="00E63AB4"/>
    <w:rsid w:val="00E63AD3"/>
    <w:rsid w:val="00E63B11"/>
    <w:rsid w:val="00E63CC9"/>
    <w:rsid w:val="00E63CFF"/>
    <w:rsid w:val="00E63D56"/>
    <w:rsid w:val="00E63E0C"/>
    <w:rsid w:val="00E63E8F"/>
    <w:rsid w:val="00E63EBE"/>
    <w:rsid w:val="00E63EDA"/>
    <w:rsid w:val="00E63F6C"/>
    <w:rsid w:val="00E63FCC"/>
    <w:rsid w:val="00E641D3"/>
    <w:rsid w:val="00E642D5"/>
    <w:rsid w:val="00E643EB"/>
    <w:rsid w:val="00E644A6"/>
    <w:rsid w:val="00E644A7"/>
    <w:rsid w:val="00E6451B"/>
    <w:rsid w:val="00E64537"/>
    <w:rsid w:val="00E645D5"/>
    <w:rsid w:val="00E6467A"/>
    <w:rsid w:val="00E64700"/>
    <w:rsid w:val="00E649BC"/>
    <w:rsid w:val="00E649F6"/>
    <w:rsid w:val="00E64AC0"/>
    <w:rsid w:val="00E64C3B"/>
    <w:rsid w:val="00E64D40"/>
    <w:rsid w:val="00E64E3B"/>
    <w:rsid w:val="00E64E4C"/>
    <w:rsid w:val="00E64E92"/>
    <w:rsid w:val="00E64F20"/>
    <w:rsid w:val="00E65075"/>
    <w:rsid w:val="00E65091"/>
    <w:rsid w:val="00E650FC"/>
    <w:rsid w:val="00E65212"/>
    <w:rsid w:val="00E65218"/>
    <w:rsid w:val="00E6541E"/>
    <w:rsid w:val="00E654CF"/>
    <w:rsid w:val="00E65515"/>
    <w:rsid w:val="00E655C4"/>
    <w:rsid w:val="00E655DD"/>
    <w:rsid w:val="00E656FB"/>
    <w:rsid w:val="00E6575C"/>
    <w:rsid w:val="00E6576C"/>
    <w:rsid w:val="00E65786"/>
    <w:rsid w:val="00E65794"/>
    <w:rsid w:val="00E65818"/>
    <w:rsid w:val="00E65836"/>
    <w:rsid w:val="00E658E4"/>
    <w:rsid w:val="00E65946"/>
    <w:rsid w:val="00E65C45"/>
    <w:rsid w:val="00E65C48"/>
    <w:rsid w:val="00E65D60"/>
    <w:rsid w:val="00E65E82"/>
    <w:rsid w:val="00E65EA8"/>
    <w:rsid w:val="00E660F5"/>
    <w:rsid w:val="00E660F9"/>
    <w:rsid w:val="00E66135"/>
    <w:rsid w:val="00E66298"/>
    <w:rsid w:val="00E66302"/>
    <w:rsid w:val="00E6637E"/>
    <w:rsid w:val="00E663E6"/>
    <w:rsid w:val="00E6641A"/>
    <w:rsid w:val="00E6658E"/>
    <w:rsid w:val="00E666F4"/>
    <w:rsid w:val="00E668B8"/>
    <w:rsid w:val="00E669A6"/>
    <w:rsid w:val="00E66A4C"/>
    <w:rsid w:val="00E66A61"/>
    <w:rsid w:val="00E66A7C"/>
    <w:rsid w:val="00E66B7C"/>
    <w:rsid w:val="00E66C33"/>
    <w:rsid w:val="00E66C6E"/>
    <w:rsid w:val="00E66DD4"/>
    <w:rsid w:val="00E66DE4"/>
    <w:rsid w:val="00E66E60"/>
    <w:rsid w:val="00E66EB6"/>
    <w:rsid w:val="00E66F4B"/>
    <w:rsid w:val="00E66F64"/>
    <w:rsid w:val="00E66FE3"/>
    <w:rsid w:val="00E6708B"/>
    <w:rsid w:val="00E671D2"/>
    <w:rsid w:val="00E67411"/>
    <w:rsid w:val="00E67433"/>
    <w:rsid w:val="00E67446"/>
    <w:rsid w:val="00E67528"/>
    <w:rsid w:val="00E67597"/>
    <w:rsid w:val="00E67760"/>
    <w:rsid w:val="00E6786D"/>
    <w:rsid w:val="00E6788E"/>
    <w:rsid w:val="00E679FF"/>
    <w:rsid w:val="00E67A97"/>
    <w:rsid w:val="00E67B81"/>
    <w:rsid w:val="00E67B8D"/>
    <w:rsid w:val="00E67D9E"/>
    <w:rsid w:val="00E67DA8"/>
    <w:rsid w:val="00E67EA4"/>
    <w:rsid w:val="00E67F64"/>
    <w:rsid w:val="00E67FFA"/>
    <w:rsid w:val="00E700AB"/>
    <w:rsid w:val="00E702C0"/>
    <w:rsid w:val="00E704B6"/>
    <w:rsid w:val="00E70648"/>
    <w:rsid w:val="00E7068B"/>
    <w:rsid w:val="00E706CA"/>
    <w:rsid w:val="00E706D0"/>
    <w:rsid w:val="00E70916"/>
    <w:rsid w:val="00E709B4"/>
    <w:rsid w:val="00E70BB0"/>
    <w:rsid w:val="00E70BFD"/>
    <w:rsid w:val="00E70C6D"/>
    <w:rsid w:val="00E70DE9"/>
    <w:rsid w:val="00E7108F"/>
    <w:rsid w:val="00E71273"/>
    <w:rsid w:val="00E7129E"/>
    <w:rsid w:val="00E71320"/>
    <w:rsid w:val="00E71442"/>
    <w:rsid w:val="00E71507"/>
    <w:rsid w:val="00E7155F"/>
    <w:rsid w:val="00E716B7"/>
    <w:rsid w:val="00E71705"/>
    <w:rsid w:val="00E717A5"/>
    <w:rsid w:val="00E718B5"/>
    <w:rsid w:val="00E718C2"/>
    <w:rsid w:val="00E718F2"/>
    <w:rsid w:val="00E71976"/>
    <w:rsid w:val="00E71990"/>
    <w:rsid w:val="00E71A14"/>
    <w:rsid w:val="00E71CFF"/>
    <w:rsid w:val="00E71DB6"/>
    <w:rsid w:val="00E71DD6"/>
    <w:rsid w:val="00E71DDC"/>
    <w:rsid w:val="00E71E91"/>
    <w:rsid w:val="00E71F39"/>
    <w:rsid w:val="00E72027"/>
    <w:rsid w:val="00E7217D"/>
    <w:rsid w:val="00E721A4"/>
    <w:rsid w:val="00E72277"/>
    <w:rsid w:val="00E72436"/>
    <w:rsid w:val="00E7249C"/>
    <w:rsid w:val="00E725AF"/>
    <w:rsid w:val="00E72657"/>
    <w:rsid w:val="00E72820"/>
    <w:rsid w:val="00E72829"/>
    <w:rsid w:val="00E728DC"/>
    <w:rsid w:val="00E7296F"/>
    <w:rsid w:val="00E729D2"/>
    <w:rsid w:val="00E72C5F"/>
    <w:rsid w:val="00E72CCC"/>
    <w:rsid w:val="00E72F4C"/>
    <w:rsid w:val="00E730F7"/>
    <w:rsid w:val="00E731F5"/>
    <w:rsid w:val="00E7329D"/>
    <w:rsid w:val="00E73586"/>
    <w:rsid w:val="00E73619"/>
    <w:rsid w:val="00E736CB"/>
    <w:rsid w:val="00E73787"/>
    <w:rsid w:val="00E73A81"/>
    <w:rsid w:val="00E73A9A"/>
    <w:rsid w:val="00E73AD3"/>
    <w:rsid w:val="00E73AE2"/>
    <w:rsid w:val="00E73B4E"/>
    <w:rsid w:val="00E73BA1"/>
    <w:rsid w:val="00E73C9E"/>
    <w:rsid w:val="00E73C9F"/>
    <w:rsid w:val="00E740F9"/>
    <w:rsid w:val="00E7412E"/>
    <w:rsid w:val="00E74133"/>
    <w:rsid w:val="00E7424B"/>
    <w:rsid w:val="00E7436E"/>
    <w:rsid w:val="00E74429"/>
    <w:rsid w:val="00E7443E"/>
    <w:rsid w:val="00E7453D"/>
    <w:rsid w:val="00E74542"/>
    <w:rsid w:val="00E746A7"/>
    <w:rsid w:val="00E74763"/>
    <w:rsid w:val="00E74801"/>
    <w:rsid w:val="00E7499B"/>
    <w:rsid w:val="00E74A92"/>
    <w:rsid w:val="00E74D04"/>
    <w:rsid w:val="00E74D0D"/>
    <w:rsid w:val="00E74D37"/>
    <w:rsid w:val="00E74D9C"/>
    <w:rsid w:val="00E75082"/>
    <w:rsid w:val="00E750EC"/>
    <w:rsid w:val="00E75326"/>
    <w:rsid w:val="00E75405"/>
    <w:rsid w:val="00E75481"/>
    <w:rsid w:val="00E756D2"/>
    <w:rsid w:val="00E75772"/>
    <w:rsid w:val="00E75886"/>
    <w:rsid w:val="00E75A2C"/>
    <w:rsid w:val="00E75AAD"/>
    <w:rsid w:val="00E75D38"/>
    <w:rsid w:val="00E75D43"/>
    <w:rsid w:val="00E75D5C"/>
    <w:rsid w:val="00E75D96"/>
    <w:rsid w:val="00E75E71"/>
    <w:rsid w:val="00E75E81"/>
    <w:rsid w:val="00E75EC2"/>
    <w:rsid w:val="00E75F94"/>
    <w:rsid w:val="00E76040"/>
    <w:rsid w:val="00E760BB"/>
    <w:rsid w:val="00E7613B"/>
    <w:rsid w:val="00E762A0"/>
    <w:rsid w:val="00E763B9"/>
    <w:rsid w:val="00E764FD"/>
    <w:rsid w:val="00E768E4"/>
    <w:rsid w:val="00E76960"/>
    <w:rsid w:val="00E76ABD"/>
    <w:rsid w:val="00E76B9F"/>
    <w:rsid w:val="00E76C9C"/>
    <w:rsid w:val="00E76CA3"/>
    <w:rsid w:val="00E77069"/>
    <w:rsid w:val="00E770A4"/>
    <w:rsid w:val="00E7722C"/>
    <w:rsid w:val="00E77355"/>
    <w:rsid w:val="00E7742B"/>
    <w:rsid w:val="00E774E3"/>
    <w:rsid w:val="00E77718"/>
    <w:rsid w:val="00E7779C"/>
    <w:rsid w:val="00E7788D"/>
    <w:rsid w:val="00E779BB"/>
    <w:rsid w:val="00E77A79"/>
    <w:rsid w:val="00E77AB6"/>
    <w:rsid w:val="00E77AC0"/>
    <w:rsid w:val="00E77B62"/>
    <w:rsid w:val="00E77BD5"/>
    <w:rsid w:val="00E77C56"/>
    <w:rsid w:val="00E77DB0"/>
    <w:rsid w:val="00E77E96"/>
    <w:rsid w:val="00E77EA7"/>
    <w:rsid w:val="00E77FB2"/>
    <w:rsid w:val="00E7D49D"/>
    <w:rsid w:val="00E80270"/>
    <w:rsid w:val="00E802E9"/>
    <w:rsid w:val="00E80362"/>
    <w:rsid w:val="00E80471"/>
    <w:rsid w:val="00E807C6"/>
    <w:rsid w:val="00E80854"/>
    <w:rsid w:val="00E8091F"/>
    <w:rsid w:val="00E80931"/>
    <w:rsid w:val="00E80E6F"/>
    <w:rsid w:val="00E80F39"/>
    <w:rsid w:val="00E80F53"/>
    <w:rsid w:val="00E80FD9"/>
    <w:rsid w:val="00E810CE"/>
    <w:rsid w:val="00E81139"/>
    <w:rsid w:val="00E812CB"/>
    <w:rsid w:val="00E81378"/>
    <w:rsid w:val="00E813C6"/>
    <w:rsid w:val="00E813E8"/>
    <w:rsid w:val="00E81526"/>
    <w:rsid w:val="00E81559"/>
    <w:rsid w:val="00E815C7"/>
    <w:rsid w:val="00E815EE"/>
    <w:rsid w:val="00E81756"/>
    <w:rsid w:val="00E81769"/>
    <w:rsid w:val="00E81770"/>
    <w:rsid w:val="00E8182B"/>
    <w:rsid w:val="00E818C1"/>
    <w:rsid w:val="00E81941"/>
    <w:rsid w:val="00E8197F"/>
    <w:rsid w:val="00E8198D"/>
    <w:rsid w:val="00E81A31"/>
    <w:rsid w:val="00E81C05"/>
    <w:rsid w:val="00E81D74"/>
    <w:rsid w:val="00E81ED2"/>
    <w:rsid w:val="00E81FBF"/>
    <w:rsid w:val="00E8203A"/>
    <w:rsid w:val="00E820C6"/>
    <w:rsid w:val="00E820FE"/>
    <w:rsid w:val="00E821A4"/>
    <w:rsid w:val="00E82261"/>
    <w:rsid w:val="00E82262"/>
    <w:rsid w:val="00E822D8"/>
    <w:rsid w:val="00E8246E"/>
    <w:rsid w:val="00E82502"/>
    <w:rsid w:val="00E825C8"/>
    <w:rsid w:val="00E82693"/>
    <w:rsid w:val="00E82732"/>
    <w:rsid w:val="00E82762"/>
    <w:rsid w:val="00E82909"/>
    <w:rsid w:val="00E82997"/>
    <w:rsid w:val="00E82B26"/>
    <w:rsid w:val="00E82B43"/>
    <w:rsid w:val="00E82C69"/>
    <w:rsid w:val="00E82C7D"/>
    <w:rsid w:val="00E82CFF"/>
    <w:rsid w:val="00E82DEB"/>
    <w:rsid w:val="00E82E17"/>
    <w:rsid w:val="00E82E27"/>
    <w:rsid w:val="00E82E5B"/>
    <w:rsid w:val="00E82EAA"/>
    <w:rsid w:val="00E82EC0"/>
    <w:rsid w:val="00E82F1B"/>
    <w:rsid w:val="00E82F25"/>
    <w:rsid w:val="00E82F49"/>
    <w:rsid w:val="00E82FBE"/>
    <w:rsid w:val="00E82FFF"/>
    <w:rsid w:val="00E830A5"/>
    <w:rsid w:val="00E831F0"/>
    <w:rsid w:val="00E83237"/>
    <w:rsid w:val="00E83260"/>
    <w:rsid w:val="00E83347"/>
    <w:rsid w:val="00E8335A"/>
    <w:rsid w:val="00E834B6"/>
    <w:rsid w:val="00E83541"/>
    <w:rsid w:val="00E8354D"/>
    <w:rsid w:val="00E836A0"/>
    <w:rsid w:val="00E836F2"/>
    <w:rsid w:val="00E83785"/>
    <w:rsid w:val="00E837C0"/>
    <w:rsid w:val="00E83821"/>
    <w:rsid w:val="00E83A88"/>
    <w:rsid w:val="00E83AAC"/>
    <w:rsid w:val="00E83B8B"/>
    <w:rsid w:val="00E83B90"/>
    <w:rsid w:val="00E83C92"/>
    <w:rsid w:val="00E83CFC"/>
    <w:rsid w:val="00E83E1C"/>
    <w:rsid w:val="00E83EC1"/>
    <w:rsid w:val="00E84092"/>
    <w:rsid w:val="00E840A0"/>
    <w:rsid w:val="00E841A4"/>
    <w:rsid w:val="00E8426F"/>
    <w:rsid w:val="00E84316"/>
    <w:rsid w:val="00E843CB"/>
    <w:rsid w:val="00E843F8"/>
    <w:rsid w:val="00E84488"/>
    <w:rsid w:val="00E844D1"/>
    <w:rsid w:val="00E84559"/>
    <w:rsid w:val="00E84832"/>
    <w:rsid w:val="00E84960"/>
    <w:rsid w:val="00E849B5"/>
    <w:rsid w:val="00E84BD5"/>
    <w:rsid w:val="00E84CA5"/>
    <w:rsid w:val="00E84CD4"/>
    <w:rsid w:val="00E8500C"/>
    <w:rsid w:val="00E85312"/>
    <w:rsid w:val="00E85352"/>
    <w:rsid w:val="00E8546E"/>
    <w:rsid w:val="00E85577"/>
    <w:rsid w:val="00E855CF"/>
    <w:rsid w:val="00E8566D"/>
    <w:rsid w:val="00E856E6"/>
    <w:rsid w:val="00E857A9"/>
    <w:rsid w:val="00E859E5"/>
    <w:rsid w:val="00E85A64"/>
    <w:rsid w:val="00E85ABC"/>
    <w:rsid w:val="00E85B0E"/>
    <w:rsid w:val="00E85B6C"/>
    <w:rsid w:val="00E85B93"/>
    <w:rsid w:val="00E85DF7"/>
    <w:rsid w:val="00E85E46"/>
    <w:rsid w:val="00E85FCD"/>
    <w:rsid w:val="00E8614A"/>
    <w:rsid w:val="00E8617D"/>
    <w:rsid w:val="00E8619E"/>
    <w:rsid w:val="00E861EA"/>
    <w:rsid w:val="00E86247"/>
    <w:rsid w:val="00E862A1"/>
    <w:rsid w:val="00E86598"/>
    <w:rsid w:val="00E865D8"/>
    <w:rsid w:val="00E8672A"/>
    <w:rsid w:val="00E868D1"/>
    <w:rsid w:val="00E86924"/>
    <w:rsid w:val="00E86A1E"/>
    <w:rsid w:val="00E86BA0"/>
    <w:rsid w:val="00E86BA4"/>
    <w:rsid w:val="00E86C28"/>
    <w:rsid w:val="00E86D6A"/>
    <w:rsid w:val="00E86D82"/>
    <w:rsid w:val="00E86DF4"/>
    <w:rsid w:val="00E86EEB"/>
    <w:rsid w:val="00E86F4C"/>
    <w:rsid w:val="00E87187"/>
    <w:rsid w:val="00E87195"/>
    <w:rsid w:val="00E871B1"/>
    <w:rsid w:val="00E87253"/>
    <w:rsid w:val="00E87498"/>
    <w:rsid w:val="00E87601"/>
    <w:rsid w:val="00E8764A"/>
    <w:rsid w:val="00E87749"/>
    <w:rsid w:val="00E87AA3"/>
    <w:rsid w:val="00E87AC0"/>
    <w:rsid w:val="00E87B9B"/>
    <w:rsid w:val="00E87C37"/>
    <w:rsid w:val="00E87CE2"/>
    <w:rsid w:val="00E87CE5"/>
    <w:rsid w:val="00E87D50"/>
    <w:rsid w:val="00E87D6E"/>
    <w:rsid w:val="00E87E18"/>
    <w:rsid w:val="00E87F8E"/>
    <w:rsid w:val="00E87FB7"/>
    <w:rsid w:val="00E90020"/>
    <w:rsid w:val="00E90140"/>
    <w:rsid w:val="00E90160"/>
    <w:rsid w:val="00E901F4"/>
    <w:rsid w:val="00E904AB"/>
    <w:rsid w:val="00E907D7"/>
    <w:rsid w:val="00E90B8F"/>
    <w:rsid w:val="00E90CBB"/>
    <w:rsid w:val="00E90DBE"/>
    <w:rsid w:val="00E90DF8"/>
    <w:rsid w:val="00E90E9C"/>
    <w:rsid w:val="00E90ED3"/>
    <w:rsid w:val="00E90FA1"/>
    <w:rsid w:val="00E90FD2"/>
    <w:rsid w:val="00E9101F"/>
    <w:rsid w:val="00E91043"/>
    <w:rsid w:val="00E91232"/>
    <w:rsid w:val="00E91294"/>
    <w:rsid w:val="00E912FC"/>
    <w:rsid w:val="00E91417"/>
    <w:rsid w:val="00E915B2"/>
    <w:rsid w:val="00E9193D"/>
    <w:rsid w:val="00E91AA9"/>
    <w:rsid w:val="00E91D40"/>
    <w:rsid w:val="00E91D44"/>
    <w:rsid w:val="00E91E26"/>
    <w:rsid w:val="00E91E47"/>
    <w:rsid w:val="00E91EB9"/>
    <w:rsid w:val="00E91EC2"/>
    <w:rsid w:val="00E91F4A"/>
    <w:rsid w:val="00E91F51"/>
    <w:rsid w:val="00E920BE"/>
    <w:rsid w:val="00E921E6"/>
    <w:rsid w:val="00E921F3"/>
    <w:rsid w:val="00E924E2"/>
    <w:rsid w:val="00E92519"/>
    <w:rsid w:val="00E92566"/>
    <w:rsid w:val="00E9266B"/>
    <w:rsid w:val="00E9269F"/>
    <w:rsid w:val="00E929C1"/>
    <w:rsid w:val="00E92A5B"/>
    <w:rsid w:val="00E92B38"/>
    <w:rsid w:val="00E92B6F"/>
    <w:rsid w:val="00E92BD5"/>
    <w:rsid w:val="00E92C49"/>
    <w:rsid w:val="00E92CBE"/>
    <w:rsid w:val="00E92CD7"/>
    <w:rsid w:val="00E92CF0"/>
    <w:rsid w:val="00E92D63"/>
    <w:rsid w:val="00E92EAC"/>
    <w:rsid w:val="00E92FA4"/>
    <w:rsid w:val="00E93002"/>
    <w:rsid w:val="00E93008"/>
    <w:rsid w:val="00E930C2"/>
    <w:rsid w:val="00E931B9"/>
    <w:rsid w:val="00E9321A"/>
    <w:rsid w:val="00E932D5"/>
    <w:rsid w:val="00E93366"/>
    <w:rsid w:val="00E93409"/>
    <w:rsid w:val="00E934F8"/>
    <w:rsid w:val="00E9358E"/>
    <w:rsid w:val="00E93643"/>
    <w:rsid w:val="00E9368B"/>
    <w:rsid w:val="00E936BE"/>
    <w:rsid w:val="00E93733"/>
    <w:rsid w:val="00E93791"/>
    <w:rsid w:val="00E938E6"/>
    <w:rsid w:val="00E93910"/>
    <w:rsid w:val="00E93972"/>
    <w:rsid w:val="00E93A03"/>
    <w:rsid w:val="00E93A98"/>
    <w:rsid w:val="00E93B47"/>
    <w:rsid w:val="00E93B55"/>
    <w:rsid w:val="00E93C2E"/>
    <w:rsid w:val="00E93C97"/>
    <w:rsid w:val="00E93F9A"/>
    <w:rsid w:val="00E93FC7"/>
    <w:rsid w:val="00E94168"/>
    <w:rsid w:val="00E94184"/>
    <w:rsid w:val="00E942DC"/>
    <w:rsid w:val="00E946EE"/>
    <w:rsid w:val="00E94921"/>
    <w:rsid w:val="00E94967"/>
    <w:rsid w:val="00E9496D"/>
    <w:rsid w:val="00E94A48"/>
    <w:rsid w:val="00E94B0D"/>
    <w:rsid w:val="00E94C7D"/>
    <w:rsid w:val="00E94CBB"/>
    <w:rsid w:val="00E94D4D"/>
    <w:rsid w:val="00E94DFD"/>
    <w:rsid w:val="00E94E3C"/>
    <w:rsid w:val="00E94E61"/>
    <w:rsid w:val="00E94E85"/>
    <w:rsid w:val="00E94F3B"/>
    <w:rsid w:val="00E951D9"/>
    <w:rsid w:val="00E95290"/>
    <w:rsid w:val="00E95327"/>
    <w:rsid w:val="00E954D1"/>
    <w:rsid w:val="00E954EA"/>
    <w:rsid w:val="00E95590"/>
    <w:rsid w:val="00E9568E"/>
    <w:rsid w:val="00E95804"/>
    <w:rsid w:val="00E95C2E"/>
    <w:rsid w:val="00E95C2F"/>
    <w:rsid w:val="00E95E5D"/>
    <w:rsid w:val="00E95EC8"/>
    <w:rsid w:val="00E95F5F"/>
    <w:rsid w:val="00E95F6C"/>
    <w:rsid w:val="00E960D3"/>
    <w:rsid w:val="00E961FB"/>
    <w:rsid w:val="00E96535"/>
    <w:rsid w:val="00E968CF"/>
    <w:rsid w:val="00E9695A"/>
    <w:rsid w:val="00E969C4"/>
    <w:rsid w:val="00E96A29"/>
    <w:rsid w:val="00E96AF4"/>
    <w:rsid w:val="00E96CBA"/>
    <w:rsid w:val="00E96D96"/>
    <w:rsid w:val="00E96E06"/>
    <w:rsid w:val="00E96F0B"/>
    <w:rsid w:val="00E96F6C"/>
    <w:rsid w:val="00E96FA7"/>
    <w:rsid w:val="00E970A0"/>
    <w:rsid w:val="00E97134"/>
    <w:rsid w:val="00E971AA"/>
    <w:rsid w:val="00E971D7"/>
    <w:rsid w:val="00E97216"/>
    <w:rsid w:val="00E97228"/>
    <w:rsid w:val="00E97238"/>
    <w:rsid w:val="00E97394"/>
    <w:rsid w:val="00E9742B"/>
    <w:rsid w:val="00E9745F"/>
    <w:rsid w:val="00E974AD"/>
    <w:rsid w:val="00E97518"/>
    <w:rsid w:val="00E9768B"/>
    <w:rsid w:val="00E9777F"/>
    <w:rsid w:val="00E9783B"/>
    <w:rsid w:val="00E9788D"/>
    <w:rsid w:val="00E97AB4"/>
    <w:rsid w:val="00E97C05"/>
    <w:rsid w:val="00E97C26"/>
    <w:rsid w:val="00E97C51"/>
    <w:rsid w:val="00E97C5D"/>
    <w:rsid w:val="00E97C72"/>
    <w:rsid w:val="00E97D56"/>
    <w:rsid w:val="00E97D57"/>
    <w:rsid w:val="00E97D75"/>
    <w:rsid w:val="00EA01A6"/>
    <w:rsid w:val="00EA0285"/>
    <w:rsid w:val="00EA0554"/>
    <w:rsid w:val="00EA08C4"/>
    <w:rsid w:val="00EA0BB8"/>
    <w:rsid w:val="00EA0BC6"/>
    <w:rsid w:val="00EA0BDD"/>
    <w:rsid w:val="00EA0CB9"/>
    <w:rsid w:val="00EA0DA3"/>
    <w:rsid w:val="00EA0E7C"/>
    <w:rsid w:val="00EA101E"/>
    <w:rsid w:val="00EA103D"/>
    <w:rsid w:val="00EA109E"/>
    <w:rsid w:val="00EA10EC"/>
    <w:rsid w:val="00EA112A"/>
    <w:rsid w:val="00EA1137"/>
    <w:rsid w:val="00EA1152"/>
    <w:rsid w:val="00EA1261"/>
    <w:rsid w:val="00EA132C"/>
    <w:rsid w:val="00EA139B"/>
    <w:rsid w:val="00EA13E0"/>
    <w:rsid w:val="00EA13E7"/>
    <w:rsid w:val="00EA1479"/>
    <w:rsid w:val="00EA17AA"/>
    <w:rsid w:val="00EA190C"/>
    <w:rsid w:val="00EA1952"/>
    <w:rsid w:val="00EA19B3"/>
    <w:rsid w:val="00EA1A58"/>
    <w:rsid w:val="00EA1A6C"/>
    <w:rsid w:val="00EA1A78"/>
    <w:rsid w:val="00EA1BD9"/>
    <w:rsid w:val="00EA1DBC"/>
    <w:rsid w:val="00EA1DEE"/>
    <w:rsid w:val="00EA1EAE"/>
    <w:rsid w:val="00EA1EB8"/>
    <w:rsid w:val="00EA203A"/>
    <w:rsid w:val="00EA2099"/>
    <w:rsid w:val="00EA21ED"/>
    <w:rsid w:val="00EA221C"/>
    <w:rsid w:val="00EA23C0"/>
    <w:rsid w:val="00EA23ED"/>
    <w:rsid w:val="00EA2455"/>
    <w:rsid w:val="00EA2546"/>
    <w:rsid w:val="00EA25A0"/>
    <w:rsid w:val="00EA25F0"/>
    <w:rsid w:val="00EA2766"/>
    <w:rsid w:val="00EA28DF"/>
    <w:rsid w:val="00EA2A56"/>
    <w:rsid w:val="00EA2C1A"/>
    <w:rsid w:val="00EA2C7E"/>
    <w:rsid w:val="00EA2E17"/>
    <w:rsid w:val="00EA3288"/>
    <w:rsid w:val="00EA35A9"/>
    <w:rsid w:val="00EA37FD"/>
    <w:rsid w:val="00EA3878"/>
    <w:rsid w:val="00EA3879"/>
    <w:rsid w:val="00EA39FB"/>
    <w:rsid w:val="00EA3B18"/>
    <w:rsid w:val="00EA3B38"/>
    <w:rsid w:val="00EA3BB8"/>
    <w:rsid w:val="00EA3D0D"/>
    <w:rsid w:val="00EA3EFD"/>
    <w:rsid w:val="00EA3F95"/>
    <w:rsid w:val="00EA3FB8"/>
    <w:rsid w:val="00EA4127"/>
    <w:rsid w:val="00EA41AC"/>
    <w:rsid w:val="00EA4285"/>
    <w:rsid w:val="00EA437D"/>
    <w:rsid w:val="00EA4433"/>
    <w:rsid w:val="00EA4579"/>
    <w:rsid w:val="00EA45BC"/>
    <w:rsid w:val="00EA4832"/>
    <w:rsid w:val="00EA48A3"/>
    <w:rsid w:val="00EA4942"/>
    <w:rsid w:val="00EA4B1F"/>
    <w:rsid w:val="00EA4B2C"/>
    <w:rsid w:val="00EA4BEB"/>
    <w:rsid w:val="00EA4C88"/>
    <w:rsid w:val="00EA4E6A"/>
    <w:rsid w:val="00EA4FB5"/>
    <w:rsid w:val="00EA503D"/>
    <w:rsid w:val="00EA5159"/>
    <w:rsid w:val="00EA516C"/>
    <w:rsid w:val="00EA5206"/>
    <w:rsid w:val="00EA52B6"/>
    <w:rsid w:val="00EA5375"/>
    <w:rsid w:val="00EA5659"/>
    <w:rsid w:val="00EA59D7"/>
    <w:rsid w:val="00EA5A11"/>
    <w:rsid w:val="00EA5BB2"/>
    <w:rsid w:val="00EA5DD2"/>
    <w:rsid w:val="00EA5E4C"/>
    <w:rsid w:val="00EA5EA8"/>
    <w:rsid w:val="00EA5ECB"/>
    <w:rsid w:val="00EA5F32"/>
    <w:rsid w:val="00EA6103"/>
    <w:rsid w:val="00EA613C"/>
    <w:rsid w:val="00EA62E5"/>
    <w:rsid w:val="00EA647B"/>
    <w:rsid w:val="00EA6552"/>
    <w:rsid w:val="00EA65E4"/>
    <w:rsid w:val="00EA667D"/>
    <w:rsid w:val="00EA6776"/>
    <w:rsid w:val="00EA67B7"/>
    <w:rsid w:val="00EA69CA"/>
    <w:rsid w:val="00EA6AB8"/>
    <w:rsid w:val="00EA6B0C"/>
    <w:rsid w:val="00EA6BBB"/>
    <w:rsid w:val="00EA6C3B"/>
    <w:rsid w:val="00EA6C87"/>
    <w:rsid w:val="00EA6E18"/>
    <w:rsid w:val="00EA6E9F"/>
    <w:rsid w:val="00EA6EF6"/>
    <w:rsid w:val="00EA6FF5"/>
    <w:rsid w:val="00EA70BD"/>
    <w:rsid w:val="00EA71E3"/>
    <w:rsid w:val="00EA7321"/>
    <w:rsid w:val="00EA732F"/>
    <w:rsid w:val="00EA7387"/>
    <w:rsid w:val="00EA744E"/>
    <w:rsid w:val="00EA7498"/>
    <w:rsid w:val="00EA754A"/>
    <w:rsid w:val="00EA7639"/>
    <w:rsid w:val="00EA7759"/>
    <w:rsid w:val="00EA77C3"/>
    <w:rsid w:val="00EA7836"/>
    <w:rsid w:val="00EA79B2"/>
    <w:rsid w:val="00EA7E0F"/>
    <w:rsid w:val="00EA7EDC"/>
    <w:rsid w:val="00EB0250"/>
    <w:rsid w:val="00EB028C"/>
    <w:rsid w:val="00EB038C"/>
    <w:rsid w:val="00EB0406"/>
    <w:rsid w:val="00EB050C"/>
    <w:rsid w:val="00EB05C2"/>
    <w:rsid w:val="00EB0621"/>
    <w:rsid w:val="00EB0629"/>
    <w:rsid w:val="00EB07E6"/>
    <w:rsid w:val="00EB092D"/>
    <w:rsid w:val="00EB0A34"/>
    <w:rsid w:val="00EB0A52"/>
    <w:rsid w:val="00EB0B90"/>
    <w:rsid w:val="00EB0BA0"/>
    <w:rsid w:val="00EB0BA1"/>
    <w:rsid w:val="00EB0C6C"/>
    <w:rsid w:val="00EB0CAD"/>
    <w:rsid w:val="00EB0F1C"/>
    <w:rsid w:val="00EB0F4B"/>
    <w:rsid w:val="00EB0FC7"/>
    <w:rsid w:val="00EB1013"/>
    <w:rsid w:val="00EB10C9"/>
    <w:rsid w:val="00EB1229"/>
    <w:rsid w:val="00EB1269"/>
    <w:rsid w:val="00EB126D"/>
    <w:rsid w:val="00EB12B4"/>
    <w:rsid w:val="00EB1313"/>
    <w:rsid w:val="00EB141D"/>
    <w:rsid w:val="00EB144C"/>
    <w:rsid w:val="00EB165D"/>
    <w:rsid w:val="00EB181C"/>
    <w:rsid w:val="00EB1A2D"/>
    <w:rsid w:val="00EB1AC6"/>
    <w:rsid w:val="00EB1B40"/>
    <w:rsid w:val="00EB1C0E"/>
    <w:rsid w:val="00EB1C51"/>
    <w:rsid w:val="00EB1DD0"/>
    <w:rsid w:val="00EB1E3F"/>
    <w:rsid w:val="00EB1E78"/>
    <w:rsid w:val="00EB1F9F"/>
    <w:rsid w:val="00EB2273"/>
    <w:rsid w:val="00EB2374"/>
    <w:rsid w:val="00EB238D"/>
    <w:rsid w:val="00EB251C"/>
    <w:rsid w:val="00EB263C"/>
    <w:rsid w:val="00EB2668"/>
    <w:rsid w:val="00EB26AB"/>
    <w:rsid w:val="00EB29B0"/>
    <w:rsid w:val="00EB29EB"/>
    <w:rsid w:val="00EB2AA1"/>
    <w:rsid w:val="00EB2AA3"/>
    <w:rsid w:val="00EB2B0D"/>
    <w:rsid w:val="00EB2C7A"/>
    <w:rsid w:val="00EB2EC3"/>
    <w:rsid w:val="00EB2ED5"/>
    <w:rsid w:val="00EB2F0F"/>
    <w:rsid w:val="00EB2FA4"/>
    <w:rsid w:val="00EB30D5"/>
    <w:rsid w:val="00EB33A4"/>
    <w:rsid w:val="00EB33D6"/>
    <w:rsid w:val="00EB3530"/>
    <w:rsid w:val="00EB3549"/>
    <w:rsid w:val="00EB355A"/>
    <w:rsid w:val="00EB360E"/>
    <w:rsid w:val="00EB366A"/>
    <w:rsid w:val="00EB36D5"/>
    <w:rsid w:val="00EB371C"/>
    <w:rsid w:val="00EB3A24"/>
    <w:rsid w:val="00EB3B0D"/>
    <w:rsid w:val="00EB3CF5"/>
    <w:rsid w:val="00EB3DC6"/>
    <w:rsid w:val="00EB3F51"/>
    <w:rsid w:val="00EB3F78"/>
    <w:rsid w:val="00EB3FB5"/>
    <w:rsid w:val="00EB4181"/>
    <w:rsid w:val="00EB4271"/>
    <w:rsid w:val="00EB429F"/>
    <w:rsid w:val="00EB4349"/>
    <w:rsid w:val="00EB4531"/>
    <w:rsid w:val="00EB4761"/>
    <w:rsid w:val="00EB47DA"/>
    <w:rsid w:val="00EB497C"/>
    <w:rsid w:val="00EB4A74"/>
    <w:rsid w:val="00EB4CC2"/>
    <w:rsid w:val="00EB4D2C"/>
    <w:rsid w:val="00EB4F9E"/>
    <w:rsid w:val="00EB5063"/>
    <w:rsid w:val="00EB51E9"/>
    <w:rsid w:val="00EB531C"/>
    <w:rsid w:val="00EB5553"/>
    <w:rsid w:val="00EB55A8"/>
    <w:rsid w:val="00EB5607"/>
    <w:rsid w:val="00EB57A9"/>
    <w:rsid w:val="00EB5844"/>
    <w:rsid w:val="00EB5891"/>
    <w:rsid w:val="00EB5A4D"/>
    <w:rsid w:val="00EB5B9A"/>
    <w:rsid w:val="00EB5C9A"/>
    <w:rsid w:val="00EB5CB4"/>
    <w:rsid w:val="00EB5CDD"/>
    <w:rsid w:val="00EB5DE7"/>
    <w:rsid w:val="00EB5F1D"/>
    <w:rsid w:val="00EB6132"/>
    <w:rsid w:val="00EB61C3"/>
    <w:rsid w:val="00EB62B3"/>
    <w:rsid w:val="00EB6313"/>
    <w:rsid w:val="00EB6320"/>
    <w:rsid w:val="00EB64B4"/>
    <w:rsid w:val="00EB65D9"/>
    <w:rsid w:val="00EB66B7"/>
    <w:rsid w:val="00EB66CA"/>
    <w:rsid w:val="00EB6701"/>
    <w:rsid w:val="00EB693E"/>
    <w:rsid w:val="00EB69D6"/>
    <w:rsid w:val="00EB6A17"/>
    <w:rsid w:val="00EB6A65"/>
    <w:rsid w:val="00EB6BCE"/>
    <w:rsid w:val="00EB6BFD"/>
    <w:rsid w:val="00EB6CB5"/>
    <w:rsid w:val="00EB6E00"/>
    <w:rsid w:val="00EB6EE7"/>
    <w:rsid w:val="00EB6F19"/>
    <w:rsid w:val="00EB70C3"/>
    <w:rsid w:val="00EB70FF"/>
    <w:rsid w:val="00EB728D"/>
    <w:rsid w:val="00EB7294"/>
    <w:rsid w:val="00EB72F6"/>
    <w:rsid w:val="00EB737F"/>
    <w:rsid w:val="00EB743D"/>
    <w:rsid w:val="00EB7472"/>
    <w:rsid w:val="00EB774B"/>
    <w:rsid w:val="00EB7751"/>
    <w:rsid w:val="00EB77DC"/>
    <w:rsid w:val="00EB782C"/>
    <w:rsid w:val="00EB78D2"/>
    <w:rsid w:val="00EB7B4D"/>
    <w:rsid w:val="00EB7CA9"/>
    <w:rsid w:val="00EB7E01"/>
    <w:rsid w:val="00EB7EF7"/>
    <w:rsid w:val="00EC00CD"/>
    <w:rsid w:val="00EC00E4"/>
    <w:rsid w:val="00EC00ED"/>
    <w:rsid w:val="00EC0185"/>
    <w:rsid w:val="00EC0247"/>
    <w:rsid w:val="00EC0270"/>
    <w:rsid w:val="00EC0298"/>
    <w:rsid w:val="00EC0340"/>
    <w:rsid w:val="00EC0342"/>
    <w:rsid w:val="00EC046E"/>
    <w:rsid w:val="00EC0528"/>
    <w:rsid w:val="00EC0AB4"/>
    <w:rsid w:val="00EC0B13"/>
    <w:rsid w:val="00EC0C4E"/>
    <w:rsid w:val="00EC0DC9"/>
    <w:rsid w:val="00EC0DDA"/>
    <w:rsid w:val="00EC0F5A"/>
    <w:rsid w:val="00EC0F5F"/>
    <w:rsid w:val="00EC12B9"/>
    <w:rsid w:val="00EC1362"/>
    <w:rsid w:val="00EC1398"/>
    <w:rsid w:val="00EC145F"/>
    <w:rsid w:val="00EC1585"/>
    <w:rsid w:val="00EC1735"/>
    <w:rsid w:val="00EC1738"/>
    <w:rsid w:val="00EC1802"/>
    <w:rsid w:val="00EC1848"/>
    <w:rsid w:val="00EC18D8"/>
    <w:rsid w:val="00EC1903"/>
    <w:rsid w:val="00EC1918"/>
    <w:rsid w:val="00EC1974"/>
    <w:rsid w:val="00EC198C"/>
    <w:rsid w:val="00EC1A71"/>
    <w:rsid w:val="00EC1A74"/>
    <w:rsid w:val="00EC1B00"/>
    <w:rsid w:val="00EC1B0F"/>
    <w:rsid w:val="00EC1B50"/>
    <w:rsid w:val="00EC1BF7"/>
    <w:rsid w:val="00EC1C7A"/>
    <w:rsid w:val="00EC1E10"/>
    <w:rsid w:val="00EC1E90"/>
    <w:rsid w:val="00EC1F92"/>
    <w:rsid w:val="00EC1FA7"/>
    <w:rsid w:val="00EC2007"/>
    <w:rsid w:val="00EC207C"/>
    <w:rsid w:val="00EC2143"/>
    <w:rsid w:val="00EC2152"/>
    <w:rsid w:val="00EC2213"/>
    <w:rsid w:val="00EC234B"/>
    <w:rsid w:val="00EC246E"/>
    <w:rsid w:val="00EC25B7"/>
    <w:rsid w:val="00EC25F2"/>
    <w:rsid w:val="00EC26BA"/>
    <w:rsid w:val="00EC2805"/>
    <w:rsid w:val="00EC2843"/>
    <w:rsid w:val="00EC2853"/>
    <w:rsid w:val="00EC28B3"/>
    <w:rsid w:val="00EC28C1"/>
    <w:rsid w:val="00EC292B"/>
    <w:rsid w:val="00EC29FA"/>
    <w:rsid w:val="00EC2A1A"/>
    <w:rsid w:val="00EC2B39"/>
    <w:rsid w:val="00EC2C18"/>
    <w:rsid w:val="00EC2D01"/>
    <w:rsid w:val="00EC2E3A"/>
    <w:rsid w:val="00EC2E54"/>
    <w:rsid w:val="00EC2EB7"/>
    <w:rsid w:val="00EC2EDF"/>
    <w:rsid w:val="00EC3027"/>
    <w:rsid w:val="00EC304B"/>
    <w:rsid w:val="00EC31D5"/>
    <w:rsid w:val="00EC336F"/>
    <w:rsid w:val="00EC34B5"/>
    <w:rsid w:val="00EC3556"/>
    <w:rsid w:val="00EC3588"/>
    <w:rsid w:val="00EC35DA"/>
    <w:rsid w:val="00EC35FA"/>
    <w:rsid w:val="00EC374F"/>
    <w:rsid w:val="00EC37DA"/>
    <w:rsid w:val="00EC37E3"/>
    <w:rsid w:val="00EC38AC"/>
    <w:rsid w:val="00EC3A01"/>
    <w:rsid w:val="00EC3ABF"/>
    <w:rsid w:val="00EC3B5E"/>
    <w:rsid w:val="00EC3C92"/>
    <w:rsid w:val="00EC3CDE"/>
    <w:rsid w:val="00EC3EDA"/>
    <w:rsid w:val="00EC3F48"/>
    <w:rsid w:val="00EC3F71"/>
    <w:rsid w:val="00EC3FE6"/>
    <w:rsid w:val="00EC443E"/>
    <w:rsid w:val="00EC44B3"/>
    <w:rsid w:val="00EC45C3"/>
    <w:rsid w:val="00EC462F"/>
    <w:rsid w:val="00EC4755"/>
    <w:rsid w:val="00EC4773"/>
    <w:rsid w:val="00EC478C"/>
    <w:rsid w:val="00EC48BF"/>
    <w:rsid w:val="00EC48C2"/>
    <w:rsid w:val="00EC4A31"/>
    <w:rsid w:val="00EC4A4B"/>
    <w:rsid w:val="00EC4A92"/>
    <w:rsid w:val="00EC4B09"/>
    <w:rsid w:val="00EC4B31"/>
    <w:rsid w:val="00EC4DB3"/>
    <w:rsid w:val="00EC4E04"/>
    <w:rsid w:val="00EC4E68"/>
    <w:rsid w:val="00EC4F3E"/>
    <w:rsid w:val="00EC4F5C"/>
    <w:rsid w:val="00EC4F9F"/>
    <w:rsid w:val="00EC4FAC"/>
    <w:rsid w:val="00EC4FB9"/>
    <w:rsid w:val="00EC4FD3"/>
    <w:rsid w:val="00EC5062"/>
    <w:rsid w:val="00EC50E0"/>
    <w:rsid w:val="00EC50F1"/>
    <w:rsid w:val="00EC512B"/>
    <w:rsid w:val="00EC52B4"/>
    <w:rsid w:val="00EC5354"/>
    <w:rsid w:val="00EC53B1"/>
    <w:rsid w:val="00EC54E2"/>
    <w:rsid w:val="00EC54E9"/>
    <w:rsid w:val="00EC5605"/>
    <w:rsid w:val="00EC5711"/>
    <w:rsid w:val="00EC5AE7"/>
    <w:rsid w:val="00EC5C28"/>
    <w:rsid w:val="00EC5D24"/>
    <w:rsid w:val="00EC5D5C"/>
    <w:rsid w:val="00EC5EB6"/>
    <w:rsid w:val="00EC6007"/>
    <w:rsid w:val="00EC6347"/>
    <w:rsid w:val="00EC6478"/>
    <w:rsid w:val="00EC6549"/>
    <w:rsid w:val="00EC6914"/>
    <w:rsid w:val="00EC6946"/>
    <w:rsid w:val="00EC69D6"/>
    <w:rsid w:val="00EC6A19"/>
    <w:rsid w:val="00EC6ABE"/>
    <w:rsid w:val="00EC6B0A"/>
    <w:rsid w:val="00EC6D0C"/>
    <w:rsid w:val="00EC6D49"/>
    <w:rsid w:val="00EC6E1E"/>
    <w:rsid w:val="00EC6E99"/>
    <w:rsid w:val="00EC6EC8"/>
    <w:rsid w:val="00EC6FE0"/>
    <w:rsid w:val="00EC6FE5"/>
    <w:rsid w:val="00EC701E"/>
    <w:rsid w:val="00EC706F"/>
    <w:rsid w:val="00EC707C"/>
    <w:rsid w:val="00EC737D"/>
    <w:rsid w:val="00EC74BC"/>
    <w:rsid w:val="00EC760D"/>
    <w:rsid w:val="00EC7653"/>
    <w:rsid w:val="00EC784E"/>
    <w:rsid w:val="00EC78A5"/>
    <w:rsid w:val="00EC78BF"/>
    <w:rsid w:val="00EC78F2"/>
    <w:rsid w:val="00EC7978"/>
    <w:rsid w:val="00EC7A5F"/>
    <w:rsid w:val="00EC7AFD"/>
    <w:rsid w:val="00EC7B9A"/>
    <w:rsid w:val="00EC7C43"/>
    <w:rsid w:val="00EC7C96"/>
    <w:rsid w:val="00EC7C9D"/>
    <w:rsid w:val="00EC7DA8"/>
    <w:rsid w:val="00EC7F24"/>
    <w:rsid w:val="00ED0041"/>
    <w:rsid w:val="00ED0047"/>
    <w:rsid w:val="00ED0095"/>
    <w:rsid w:val="00ED0128"/>
    <w:rsid w:val="00ED0186"/>
    <w:rsid w:val="00ED0394"/>
    <w:rsid w:val="00ED039D"/>
    <w:rsid w:val="00ED065E"/>
    <w:rsid w:val="00ED0679"/>
    <w:rsid w:val="00ED06E4"/>
    <w:rsid w:val="00ED083D"/>
    <w:rsid w:val="00ED0951"/>
    <w:rsid w:val="00ED0960"/>
    <w:rsid w:val="00ED09A1"/>
    <w:rsid w:val="00ED0B6C"/>
    <w:rsid w:val="00ED0BD7"/>
    <w:rsid w:val="00ED0D4B"/>
    <w:rsid w:val="00ED0E5E"/>
    <w:rsid w:val="00ED0FC3"/>
    <w:rsid w:val="00ED11DD"/>
    <w:rsid w:val="00ED1463"/>
    <w:rsid w:val="00ED147F"/>
    <w:rsid w:val="00ED1552"/>
    <w:rsid w:val="00ED15AC"/>
    <w:rsid w:val="00ED165B"/>
    <w:rsid w:val="00ED1695"/>
    <w:rsid w:val="00ED16AD"/>
    <w:rsid w:val="00ED1744"/>
    <w:rsid w:val="00ED17FC"/>
    <w:rsid w:val="00ED1A25"/>
    <w:rsid w:val="00ED1ACA"/>
    <w:rsid w:val="00ED1B41"/>
    <w:rsid w:val="00ED1BB4"/>
    <w:rsid w:val="00ED1E6D"/>
    <w:rsid w:val="00ED1EC3"/>
    <w:rsid w:val="00ED200E"/>
    <w:rsid w:val="00ED20C3"/>
    <w:rsid w:val="00ED21B7"/>
    <w:rsid w:val="00ED21D7"/>
    <w:rsid w:val="00ED2331"/>
    <w:rsid w:val="00ED23CF"/>
    <w:rsid w:val="00ED247B"/>
    <w:rsid w:val="00ED24D8"/>
    <w:rsid w:val="00ED267B"/>
    <w:rsid w:val="00ED2795"/>
    <w:rsid w:val="00ED2825"/>
    <w:rsid w:val="00ED2849"/>
    <w:rsid w:val="00ED287B"/>
    <w:rsid w:val="00ED28AA"/>
    <w:rsid w:val="00ED29BC"/>
    <w:rsid w:val="00ED2A4B"/>
    <w:rsid w:val="00ED2B6B"/>
    <w:rsid w:val="00ED2C6A"/>
    <w:rsid w:val="00ED2CE5"/>
    <w:rsid w:val="00ED2DFE"/>
    <w:rsid w:val="00ED2E92"/>
    <w:rsid w:val="00ED2EF6"/>
    <w:rsid w:val="00ED2FB3"/>
    <w:rsid w:val="00ED3043"/>
    <w:rsid w:val="00ED304E"/>
    <w:rsid w:val="00ED315D"/>
    <w:rsid w:val="00ED32C9"/>
    <w:rsid w:val="00ED3317"/>
    <w:rsid w:val="00ED334E"/>
    <w:rsid w:val="00ED335B"/>
    <w:rsid w:val="00ED354D"/>
    <w:rsid w:val="00ED357B"/>
    <w:rsid w:val="00ED35BC"/>
    <w:rsid w:val="00ED35E6"/>
    <w:rsid w:val="00ED35FA"/>
    <w:rsid w:val="00ED37F6"/>
    <w:rsid w:val="00ED38C7"/>
    <w:rsid w:val="00ED3ADE"/>
    <w:rsid w:val="00ED3B3D"/>
    <w:rsid w:val="00ED3B95"/>
    <w:rsid w:val="00ED3BAE"/>
    <w:rsid w:val="00ED3C63"/>
    <w:rsid w:val="00ED3CF2"/>
    <w:rsid w:val="00ED3D42"/>
    <w:rsid w:val="00ED3D8F"/>
    <w:rsid w:val="00ED3E6F"/>
    <w:rsid w:val="00ED408A"/>
    <w:rsid w:val="00ED41F7"/>
    <w:rsid w:val="00ED429C"/>
    <w:rsid w:val="00ED45C7"/>
    <w:rsid w:val="00ED474B"/>
    <w:rsid w:val="00ED4901"/>
    <w:rsid w:val="00ED49BE"/>
    <w:rsid w:val="00ED4A55"/>
    <w:rsid w:val="00ED4A8E"/>
    <w:rsid w:val="00ED4B1A"/>
    <w:rsid w:val="00ED4BDE"/>
    <w:rsid w:val="00ED4C69"/>
    <w:rsid w:val="00ED4D3B"/>
    <w:rsid w:val="00ED4D3C"/>
    <w:rsid w:val="00ED4E3A"/>
    <w:rsid w:val="00ED516B"/>
    <w:rsid w:val="00ED51A7"/>
    <w:rsid w:val="00ED5296"/>
    <w:rsid w:val="00ED52D3"/>
    <w:rsid w:val="00ED5538"/>
    <w:rsid w:val="00ED56A7"/>
    <w:rsid w:val="00ED56F6"/>
    <w:rsid w:val="00ED5782"/>
    <w:rsid w:val="00ED5976"/>
    <w:rsid w:val="00ED5A32"/>
    <w:rsid w:val="00ED5A37"/>
    <w:rsid w:val="00ED5BD1"/>
    <w:rsid w:val="00ED5C4E"/>
    <w:rsid w:val="00ED5F3A"/>
    <w:rsid w:val="00ED5F3E"/>
    <w:rsid w:val="00ED618B"/>
    <w:rsid w:val="00ED61B5"/>
    <w:rsid w:val="00ED622C"/>
    <w:rsid w:val="00ED62D2"/>
    <w:rsid w:val="00ED64CB"/>
    <w:rsid w:val="00ED64D6"/>
    <w:rsid w:val="00ED653F"/>
    <w:rsid w:val="00ED65C7"/>
    <w:rsid w:val="00ED6613"/>
    <w:rsid w:val="00ED6658"/>
    <w:rsid w:val="00ED6719"/>
    <w:rsid w:val="00ED6807"/>
    <w:rsid w:val="00ED6922"/>
    <w:rsid w:val="00ED6997"/>
    <w:rsid w:val="00ED69CD"/>
    <w:rsid w:val="00ED69D8"/>
    <w:rsid w:val="00ED6A47"/>
    <w:rsid w:val="00ED6AB9"/>
    <w:rsid w:val="00ED6ADA"/>
    <w:rsid w:val="00ED6BC2"/>
    <w:rsid w:val="00ED6C3B"/>
    <w:rsid w:val="00ED6E87"/>
    <w:rsid w:val="00ED6ED8"/>
    <w:rsid w:val="00ED6F7B"/>
    <w:rsid w:val="00ED705F"/>
    <w:rsid w:val="00ED70F0"/>
    <w:rsid w:val="00ED721F"/>
    <w:rsid w:val="00ED72E3"/>
    <w:rsid w:val="00ED74DF"/>
    <w:rsid w:val="00ED75BF"/>
    <w:rsid w:val="00ED762F"/>
    <w:rsid w:val="00ED7662"/>
    <w:rsid w:val="00ED7766"/>
    <w:rsid w:val="00ED781B"/>
    <w:rsid w:val="00ED78B8"/>
    <w:rsid w:val="00ED78EF"/>
    <w:rsid w:val="00ED78FE"/>
    <w:rsid w:val="00ED7A02"/>
    <w:rsid w:val="00ED7BDE"/>
    <w:rsid w:val="00ED7C21"/>
    <w:rsid w:val="00ED7C2F"/>
    <w:rsid w:val="00ED7D35"/>
    <w:rsid w:val="00ED7DFD"/>
    <w:rsid w:val="00ED7E23"/>
    <w:rsid w:val="00EE01F3"/>
    <w:rsid w:val="00EE03B4"/>
    <w:rsid w:val="00EE03C8"/>
    <w:rsid w:val="00EE04C4"/>
    <w:rsid w:val="00EE0514"/>
    <w:rsid w:val="00EE071B"/>
    <w:rsid w:val="00EE0E86"/>
    <w:rsid w:val="00EE0F5F"/>
    <w:rsid w:val="00EE1014"/>
    <w:rsid w:val="00EE1093"/>
    <w:rsid w:val="00EE10FE"/>
    <w:rsid w:val="00EE15F6"/>
    <w:rsid w:val="00EE1714"/>
    <w:rsid w:val="00EE18E6"/>
    <w:rsid w:val="00EE1AFA"/>
    <w:rsid w:val="00EE1B29"/>
    <w:rsid w:val="00EE1CBE"/>
    <w:rsid w:val="00EE1CCE"/>
    <w:rsid w:val="00EE1DE1"/>
    <w:rsid w:val="00EE1FBF"/>
    <w:rsid w:val="00EE1FF4"/>
    <w:rsid w:val="00EE2075"/>
    <w:rsid w:val="00EE21E1"/>
    <w:rsid w:val="00EE21E7"/>
    <w:rsid w:val="00EE2223"/>
    <w:rsid w:val="00EE2408"/>
    <w:rsid w:val="00EE240F"/>
    <w:rsid w:val="00EE2456"/>
    <w:rsid w:val="00EE24A2"/>
    <w:rsid w:val="00EE24C5"/>
    <w:rsid w:val="00EE26E8"/>
    <w:rsid w:val="00EE27DD"/>
    <w:rsid w:val="00EE2B09"/>
    <w:rsid w:val="00EE2B15"/>
    <w:rsid w:val="00EE2BF2"/>
    <w:rsid w:val="00EE2BFD"/>
    <w:rsid w:val="00EE2C6A"/>
    <w:rsid w:val="00EE2DD1"/>
    <w:rsid w:val="00EE318F"/>
    <w:rsid w:val="00EE3289"/>
    <w:rsid w:val="00EE328A"/>
    <w:rsid w:val="00EE3393"/>
    <w:rsid w:val="00EE3428"/>
    <w:rsid w:val="00EE3439"/>
    <w:rsid w:val="00EE344F"/>
    <w:rsid w:val="00EE350E"/>
    <w:rsid w:val="00EE352F"/>
    <w:rsid w:val="00EE353B"/>
    <w:rsid w:val="00EE35C8"/>
    <w:rsid w:val="00EE3679"/>
    <w:rsid w:val="00EE36A7"/>
    <w:rsid w:val="00EE3804"/>
    <w:rsid w:val="00EE39ED"/>
    <w:rsid w:val="00EE3B72"/>
    <w:rsid w:val="00EE3D35"/>
    <w:rsid w:val="00EE4027"/>
    <w:rsid w:val="00EE4272"/>
    <w:rsid w:val="00EE4407"/>
    <w:rsid w:val="00EE4465"/>
    <w:rsid w:val="00EE44F6"/>
    <w:rsid w:val="00EE453E"/>
    <w:rsid w:val="00EE4745"/>
    <w:rsid w:val="00EE477E"/>
    <w:rsid w:val="00EE47A1"/>
    <w:rsid w:val="00EE48CF"/>
    <w:rsid w:val="00EE49FA"/>
    <w:rsid w:val="00EE4AC5"/>
    <w:rsid w:val="00EE4B1A"/>
    <w:rsid w:val="00EE4B8E"/>
    <w:rsid w:val="00EE4FD8"/>
    <w:rsid w:val="00EE51B4"/>
    <w:rsid w:val="00EE52EB"/>
    <w:rsid w:val="00EE52F7"/>
    <w:rsid w:val="00EE539F"/>
    <w:rsid w:val="00EE53B8"/>
    <w:rsid w:val="00EE548B"/>
    <w:rsid w:val="00EE54AC"/>
    <w:rsid w:val="00EE558A"/>
    <w:rsid w:val="00EE56FD"/>
    <w:rsid w:val="00EE574B"/>
    <w:rsid w:val="00EE5776"/>
    <w:rsid w:val="00EE5781"/>
    <w:rsid w:val="00EE57AD"/>
    <w:rsid w:val="00EE58B4"/>
    <w:rsid w:val="00EE591D"/>
    <w:rsid w:val="00EE5936"/>
    <w:rsid w:val="00EE599F"/>
    <w:rsid w:val="00EE59FD"/>
    <w:rsid w:val="00EE5AFC"/>
    <w:rsid w:val="00EE5B71"/>
    <w:rsid w:val="00EE5C91"/>
    <w:rsid w:val="00EE600A"/>
    <w:rsid w:val="00EE60E7"/>
    <w:rsid w:val="00EE613A"/>
    <w:rsid w:val="00EE6257"/>
    <w:rsid w:val="00EE6271"/>
    <w:rsid w:val="00EE6395"/>
    <w:rsid w:val="00EE63C4"/>
    <w:rsid w:val="00EE6400"/>
    <w:rsid w:val="00EE656B"/>
    <w:rsid w:val="00EE66D0"/>
    <w:rsid w:val="00EE6994"/>
    <w:rsid w:val="00EE69E6"/>
    <w:rsid w:val="00EE6A15"/>
    <w:rsid w:val="00EE6A2F"/>
    <w:rsid w:val="00EE6A31"/>
    <w:rsid w:val="00EE6B78"/>
    <w:rsid w:val="00EE6B96"/>
    <w:rsid w:val="00EE6B9E"/>
    <w:rsid w:val="00EE6C09"/>
    <w:rsid w:val="00EE6C2B"/>
    <w:rsid w:val="00EE6E96"/>
    <w:rsid w:val="00EE6EEA"/>
    <w:rsid w:val="00EE6FAF"/>
    <w:rsid w:val="00EE72E1"/>
    <w:rsid w:val="00EE74C5"/>
    <w:rsid w:val="00EE76B7"/>
    <w:rsid w:val="00EE78A3"/>
    <w:rsid w:val="00EE7952"/>
    <w:rsid w:val="00EE7961"/>
    <w:rsid w:val="00EE7A39"/>
    <w:rsid w:val="00EE7A3C"/>
    <w:rsid w:val="00EE7A86"/>
    <w:rsid w:val="00EE7AC4"/>
    <w:rsid w:val="00EE7B73"/>
    <w:rsid w:val="00EE7E51"/>
    <w:rsid w:val="00EE7EF2"/>
    <w:rsid w:val="00EE7FAB"/>
    <w:rsid w:val="00EE7FDD"/>
    <w:rsid w:val="00EF002A"/>
    <w:rsid w:val="00EF00BF"/>
    <w:rsid w:val="00EF00EE"/>
    <w:rsid w:val="00EF01CB"/>
    <w:rsid w:val="00EF01CE"/>
    <w:rsid w:val="00EF0263"/>
    <w:rsid w:val="00EF0373"/>
    <w:rsid w:val="00EF06DB"/>
    <w:rsid w:val="00EF06F8"/>
    <w:rsid w:val="00EF073F"/>
    <w:rsid w:val="00EF075C"/>
    <w:rsid w:val="00EF07AF"/>
    <w:rsid w:val="00EF081C"/>
    <w:rsid w:val="00EF08C6"/>
    <w:rsid w:val="00EF091B"/>
    <w:rsid w:val="00EF0A6F"/>
    <w:rsid w:val="00EF0A9D"/>
    <w:rsid w:val="00EF0C2D"/>
    <w:rsid w:val="00EF0CA7"/>
    <w:rsid w:val="00EF0DF5"/>
    <w:rsid w:val="00EF0E1B"/>
    <w:rsid w:val="00EF0F2A"/>
    <w:rsid w:val="00EF0F9E"/>
    <w:rsid w:val="00EF10D3"/>
    <w:rsid w:val="00EF1170"/>
    <w:rsid w:val="00EF11C1"/>
    <w:rsid w:val="00EF120B"/>
    <w:rsid w:val="00EF1247"/>
    <w:rsid w:val="00EF1361"/>
    <w:rsid w:val="00EF150A"/>
    <w:rsid w:val="00EF1642"/>
    <w:rsid w:val="00EF1700"/>
    <w:rsid w:val="00EF1735"/>
    <w:rsid w:val="00EF18C4"/>
    <w:rsid w:val="00EF1A20"/>
    <w:rsid w:val="00EF1C8B"/>
    <w:rsid w:val="00EF1DC6"/>
    <w:rsid w:val="00EF1E6B"/>
    <w:rsid w:val="00EF1F4B"/>
    <w:rsid w:val="00EF1F7F"/>
    <w:rsid w:val="00EF2025"/>
    <w:rsid w:val="00EF210E"/>
    <w:rsid w:val="00EF250B"/>
    <w:rsid w:val="00EF261C"/>
    <w:rsid w:val="00EF261E"/>
    <w:rsid w:val="00EF2A1B"/>
    <w:rsid w:val="00EF2A20"/>
    <w:rsid w:val="00EF2ADD"/>
    <w:rsid w:val="00EF2AF2"/>
    <w:rsid w:val="00EF2B49"/>
    <w:rsid w:val="00EF2B85"/>
    <w:rsid w:val="00EF2BA7"/>
    <w:rsid w:val="00EF2BB9"/>
    <w:rsid w:val="00EF2C57"/>
    <w:rsid w:val="00EF2CC2"/>
    <w:rsid w:val="00EF2CC8"/>
    <w:rsid w:val="00EF2DBB"/>
    <w:rsid w:val="00EF2EA4"/>
    <w:rsid w:val="00EF3086"/>
    <w:rsid w:val="00EF3167"/>
    <w:rsid w:val="00EF32CC"/>
    <w:rsid w:val="00EF33FE"/>
    <w:rsid w:val="00EF348B"/>
    <w:rsid w:val="00EF34D2"/>
    <w:rsid w:val="00EF350D"/>
    <w:rsid w:val="00EF3562"/>
    <w:rsid w:val="00EF35EA"/>
    <w:rsid w:val="00EF35F2"/>
    <w:rsid w:val="00EF3630"/>
    <w:rsid w:val="00EF3698"/>
    <w:rsid w:val="00EF36F7"/>
    <w:rsid w:val="00EF377C"/>
    <w:rsid w:val="00EF37FC"/>
    <w:rsid w:val="00EF387B"/>
    <w:rsid w:val="00EF3880"/>
    <w:rsid w:val="00EF3912"/>
    <w:rsid w:val="00EF3B57"/>
    <w:rsid w:val="00EF3B70"/>
    <w:rsid w:val="00EF3B9C"/>
    <w:rsid w:val="00EF3DAC"/>
    <w:rsid w:val="00EF3DF1"/>
    <w:rsid w:val="00EF3F75"/>
    <w:rsid w:val="00EF3FB4"/>
    <w:rsid w:val="00EF3FEA"/>
    <w:rsid w:val="00EF41A6"/>
    <w:rsid w:val="00EF41AF"/>
    <w:rsid w:val="00EF42E8"/>
    <w:rsid w:val="00EF435B"/>
    <w:rsid w:val="00EF440C"/>
    <w:rsid w:val="00EF453C"/>
    <w:rsid w:val="00EF45A7"/>
    <w:rsid w:val="00EF45BA"/>
    <w:rsid w:val="00EF4609"/>
    <w:rsid w:val="00EF46D1"/>
    <w:rsid w:val="00EF46FB"/>
    <w:rsid w:val="00EF4704"/>
    <w:rsid w:val="00EF4725"/>
    <w:rsid w:val="00EF4741"/>
    <w:rsid w:val="00EF4861"/>
    <w:rsid w:val="00EF4B4B"/>
    <w:rsid w:val="00EF4BA8"/>
    <w:rsid w:val="00EF4BF0"/>
    <w:rsid w:val="00EF4C74"/>
    <w:rsid w:val="00EF4C7B"/>
    <w:rsid w:val="00EF4CB7"/>
    <w:rsid w:val="00EF4D1B"/>
    <w:rsid w:val="00EF4DC3"/>
    <w:rsid w:val="00EF4DE3"/>
    <w:rsid w:val="00EF4DF9"/>
    <w:rsid w:val="00EF4E2A"/>
    <w:rsid w:val="00EF4F16"/>
    <w:rsid w:val="00EF4F89"/>
    <w:rsid w:val="00EF4FB3"/>
    <w:rsid w:val="00EF5053"/>
    <w:rsid w:val="00EF511A"/>
    <w:rsid w:val="00EF5193"/>
    <w:rsid w:val="00EF5245"/>
    <w:rsid w:val="00EF5434"/>
    <w:rsid w:val="00EF55CD"/>
    <w:rsid w:val="00EF561B"/>
    <w:rsid w:val="00EF56A0"/>
    <w:rsid w:val="00EF586F"/>
    <w:rsid w:val="00EF58FF"/>
    <w:rsid w:val="00EF59B8"/>
    <w:rsid w:val="00EF5A46"/>
    <w:rsid w:val="00EF5A48"/>
    <w:rsid w:val="00EF5A8E"/>
    <w:rsid w:val="00EF5CE5"/>
    <w:rsid w:val="00EF5E2A"/>
    <w:rsid w:val="00EF5E3E"/>
    <w:rsid w:val="00EF5FE8"/>
    <w:rsid w:val="00EF61BB"/>
    <w:rsid w:val="00EF61FC"/>
    <w:rsid w:val="00EF624A"/>
    <w:rsid w:val="00EF64E3"/>
    <w:rsid w:val="00EF6731"/>
    <w:rsid w:val="00EF6805"/>
    <w:rsid w:val="00EF690E"/>
    <w:rsid w:val="00EF6954"/>
    <w:rsid w:val="00EF695A"/>
    <w:rsid w:val="00EF69B1"/>
    <w:rsid w:val="00EF69FE"/>
    <w:rsid w:val="00EF6AA4"/>
    <w:rsid w:val="00EF6BD0"/>
    <w:rsid w:val="00EF6C89"/>
    <w:rsid w:val="00EF6CBB"/>
    <w:rsid w:val="00EF6CCE"/>
    <w:rsid w:val="00EF6D00"/>
    <w:rsid w:val="00EF6D51"/>
    <w:rsid w:val="00EF6D5F"/>
    <w:rsid w:val="00EF6D8D"/>
    <w:rsid w:val="00EF6EDC"/>
    <w:rsid w:val="00EF6F08"/>
    <w:rsid w:val="00EF6FD3"/>
    <w:rsid w:val="00EF6FEC"/>
    <w:rsid w:val="00EF7004"/>
    <w:rsid w:val="00EF71D7"/>
    <w:rsid w:val="00EF71F4"/>
    <w:rsid w:val="00EF7212"/>
    <w:rsid w:val="00EF73AA"/>
    <w:rsid w:val="00EF744C"/>
    <w:rsid w:val="00EF7654"/>
    <w:rsid w:val="00EF7767"/>
    <w:rsid w:val="00EF77DC"/>
    <w:rsid w:val="00EF786D"/>
    <w:rsid w:val="00EF7878"/>
    <w:rsid w:val="00EF794D"/>
    <w:rsid w:val="00EF79A3"/>
    <w:rsid w:val="00EF7A82"/>
    <w:rsid w:val="00EF7AF9"/>
    <w:rsid w:val="00EF7B08"/>
    <w:rsid w:val="00EF7B46"/>
    <w:rsid w:val="00EF7D40"/>
    <w:rsid w:val="00EF7D8F"/>
    <w:rsid w:val="00EF7D9A"/>
    <w:rsid w:val="00EF7F8F"/>
    <w:rsid w:val="00F00092"/>
    <w:rsid w:val="00F00116"/>
    <w:rsid w:val="00F002F1"/>
    <w:rsid w:val="00F003E3"/>
    <w:rsid w:val="00F003F9"/>
    <w:rsid w:val="00F0042A"/>
    <w:rsid w:val="00F00466"/>
    <w:rsid w:val="00F0054E"/>
    <w:rsid w:val="00F0058B"/>
    <w:rsid w:val="00F00594"/>
    <w:rsid w:val="00F006AD"/>
    <w:rsid w:val="00F00705"/>
    <w:rsid w:val="00F00847"/>
    <w:rsid w:val="00F00929"/>
    <w:rsid w:val="00F00A08"/>
    <w:rsid w:val="00F00A25"/>
    <w:rsid w:val="00F00A4E"/>
    <w:rsid w:val="00F00A5E"/>
    <w:rsid w:val="00F00B27"/>
    <w:rsid w:val="00F00C44"/>
    <w:rsid w:val="00F00E31"/>
    <w:rsid w:val="00F00F3F"/>
    <w:rsid w:val="00F00F4E"/>
    <w:rsid w:val="00F00F6D"/>
    <w:rsid w:val="00F00F90"/>
    <w:rsid w:val="00F00FBE"/>
    <w:rsid w:val="00F010D0"/>
    <w:rsid w:val="00F0124A"/>
    <w:rsid w:val="00F012B4"/>
    <w:rsid w:val="00F01390"/>
    <w:rsid w:val="00F0170B"/>
    <w:rsid w:val="00F01804"/>
    <w:rsid w:val="00F01902"/>
    <w:rsid w:val="00F01A7B"/>
    <w:rsid w:val="00F01A87"/>
    <w:rsid w:val="00F01C42"/>
    <w:rsid w:val="00F01D0D"/>
    <w:rsid w:val="00F01D8E"/>
    <w:rsid w:val="00F01E92"/>
    <w:rsid w:val="00F01EAC"/>
    <w:rsid w:val="00F01EB7"/>
    <w:rsid w:val="00F01F59"/>
    <w:rsid w:val="00F0202A"/>
    <w:rsid w:val="00F02230"/>
    <w:rsid w:val="00F02236"/>
    <w:rsid w:val="00F022AC"/>
    <w:rsid w:val="00F022DC"/>
    <w:rsid w:val="00F02405"/>
    <w:rsid w:val="00F024EC"/>
    <w:rsid w:val="00F02702"/>
    <w:rsid w:val="00F02957"/>
    <w:rsid w:val="00F029EF"/>
    <w:rsid w:val="00F02AEA"/>
    <w:rsid w:val="00F02B51"/>
    <w:rsid w:val="00F02BBB"/>
    <w:rsid w:val="00F02DFB"/>
    <w:rsid w:val="00F02EE4"/>
    <w:rsid w:val="00F02EF0"/>
    <w:rsid w:val="00F02F32"/>
    <w:rsid w:val="00F02F8C"/>
    <w:rsid w:val="00F031BB"/>
    <w:rsid w:val="00F032BC"/>
    <w:rsid w:val="00F032F5"/>
    <w:rsid w:val="00F033FC"/>
    <w:rsid w:val="00F03450"/>
    <w:rsid w:val="00F03522"/>
    <w:rsid w:val="00F0354B"/>
    <w:rsid w:val="00F03587"/>
    <w:rsid w:val="00F0366C"/>
    <w:rsid w:val="00F0369D"/>
    <w:rsid w:val="00F039AD"/>
    <w:rsid w:val="00F039DD"/>
    <w:rsid w:val="00F03B93"/>
    <w:rsid w:val="00F03BA6"/>
    <w:rsid w:val="00F03BAE"/>
    <w:rsid w:val="00F03C43"/>
    <w:rsid w:val="00F03CCC"/>
    <w:rsid w:val="00F03D38"/>
    <w:rsid w:val="00F03D65"/>
    <w:rsid w:val="00F03E41"/>
    <w:rsid w:val="00F03E97"/>
    <w:rsid w:val="00F04049"/>
    <w:rsid w:val="00F040B4"/>
    <w:rsid w:val="00F0410B"/>
    <w:rsid w:val="00F04149"/>
    <w:rsid w:val="00F042D6"/>
    <w:rsid w:val="00F043AE"/>
    <w:rsid w:val="00F043BB"/>
    <w:rsid w:val="00F043DA"/>
    <w:rsid w:val="00F0454D"/>
    <w:rsid w:val="00F045C8"/>
    <w:rsid w:val="00F046D6"/>
    <w:rsid w:val="00F04756"/>
    <w:rsid w:val="00F04796"/>
    <w:rsid w:val="00F0491D"/>
    <w:rsid w:val="00F04CE9"/>
    <w:rsid w:val="00F04ED9"/>
    <w:rsid w:val="00F0506D"/>
    <w:rsid w:val="00F051F9"/>
    <w:rsid w:val="00F05340"/>
    <w:rsid w:val="00F05352"/>
    <w:rsid w:val="00F05453"/>
    <w:rsid w:val="00F05598"/>
    <w:rsid w:val="00F05769"/>
    <w:rsid w:val="00F05812"/>
    <w:rsid w:val="00F0596C"/>
    <w:rsid w:val="00F059A6"/>
    <w:rsid w:val="00F05A17"/>
    <w:rsid w:val="00F05A68"/>
    <w:rsid w:val="00F05AB7"/>
    <w:rsid w:val="00F05AFF"/>
    <w:rsid w:val="00F05C46"/>
    <w:rsid w:val="00F05F0E"/>
    <w:rsid w:val="00F05F36"/>
    <w:rsid w:val="00F05F8B"/>
    <w:rsid w:val="00F060B9"/>
    <w:rsid w:val="00F060D5"/>
    <w:rsid w:val="00F062C7"/>
    <w:rsid w:val="00F0633F"/>
    <w:rsid w:val="00F06373"/>
    <w:rsid w:val="00F06478"/>
    <w:rsid w:val="00F064A8"/>
    <w:rsid w:val="00F0656C"/>
    <w:rsid w:val="00F0674D"/>
    <w:rsid w:val="00F06AED"/>
    <w:rsid w:val="00F06B14"/>
    <w:rsid w:val="00F06B25"/>
    <w:rsid w:val="00F06B47"/>
    <w:rsid w:val="00F06BB6"/>
    <w:rsid w:val="00F06ECD"/>
    <w:rsid w:val="00F06F6F"/>
    <w:rsid w:val="00F0708B"/>
    <w:rsid w:val="00F070E0"/>
    <w:rsid w:val="00F07113"/>
    <w:rsid w:val="00F072FE"/>
    <w:rsid w:val="00F0730B"/>
    <w:rsid w:val="00F07399"/>
    <w:rsid w:val="00F07457"/>
    <w:rsid w:val="00F0758F"/>
    <w:rsid w:val="00F076A4"/>
    <w:rsid w:val="00F076AB"/>
    <w:rsid w:val="00F0775E"/>
    <w:rsid w:val="00F07861"/>
    <w:rsid w:val="00F07987"/>
    <w:rsid w:val="00F07992"/>
    <w:rsid w:val="00F079CA"/>
    <w:rsid w:val="00F07AFD"/>
    <w:rsid w:val="00F07D57"/>
    <w:rsid w:val="00F07D63"/>
    <w:rsid w:val="00F07E21"/>
    <w:rsid w:val="00F07E4E"/>
    <w:rsid w:val="00F07F84"/>
    <w:rsid w:val="00F07FF3"/>
    <w:rsid w:val="00F10050"/>
    <w:rsid w:val="00F10133"/>
    <w:rsid w:val="00F1022E"/>
    <w:rsid w:val="00F10263"/>
    <w:rsid w:val="00F102A1"/>
    <w:rsid w:val="00F102DB"/>
    <w:rsid w:val="00F10333"/>
    <w:rsid w:val="00F10378"/>
    <w:rsid w:val="00F1057A"/>
    <w:rsid w:val="00F105EE"/>
    <w:rsid w:val="00F10682"/>
    <w:rsid w:val="00F107A3"/>
    <w:rsid w:val="00F107DB"/>
    <w:rsid w:val="00F10811"/>
    <w:rsid w:val="00F10916"/>
    <w:rsid w:val="00F10967"/>
    <w:rsid w:val="00F10BDD"/>
    <w:rsid w:val="00F10C65"/>
    <w:rsid w:val="00F10D8E"/>
    <w:rsid w:val="00F10DFD"/>
    <w:rsid w:val="00F10E8B"/>
    <w:rsid w:val="00F10EF6"/>
    <w:rsid w:val="00F111B3"/>
    <w:rsid w:val="00F11226"/>
    <w:rsid w:val="00F112BD"/>
    <w:rsid w:val="00F113DB"/>
    <w:rsid w:val="00F11413"/>
    <w:rsid w:val="00F11505"/>
    <w:rsid w:val="00F115A9"/>
    <w:rsid w:val="00F11639"/>
    <w:rsid w:val="00F116A0"/>
    <w:rsid w:val="00F116E4"/>
    <w:rsid w:val="00F11959"/>
    <w:rsid w:val="00F11A3C"/>
    <w:rsid w:val="00F11ABB"/>
    <w:rsid w:val="00F11B35"/>
    <w:rsid w:val="00F11BB1"/>
    <w:rsid w:val="00F11F02"/>
    <w:rsid w:val="00F1204C"/>
    <w:rsid w:val="00F1205C"/>
    <w:rsid w:val="00F120E1"/>
    <w:rsid w:val="00F1216F"/>
    <w:rsid w:val="00F12343"/>
    <w:rsid w:val="00F1254D"/>
    <w:rsid w:val="00F12561"/>
    <w:rsid w:val="00F12605"/>
    <w:rsid w:val="00F12620"/>
    <w:rsid w:val="00F1277C"/>
    <w:rsid w:val="00F127B5"/>
    <w:rsid w:val="00F12927"/>
    <w:rsid w:val="00F129E8"/>
    <w:rsid w:val="00F12A4A"/>
    <w:rsid w:val="00F12AD3"/>
    <w:rsid w:val="00F12ADD"/>
    <w:rsid w:val="00F12B1A"/>
    <w:rsid w:val="00F12C39"/>
    <w:rsid w:val="00F12C7D"/>
    <w:rsid w:val="00F12CFE"/>
    <w:rsid w:val="00F12D78"/>
    <w:rsid w:val="00F12E05"/>
    <w:rsid w:val="00F12E11"/>
    <w:rsid w:val="00F12EB3"/>
    <w:rsid w:val="00F12ECF"/>
    <w:rsid w:val="00F13044"/>
    <w:rsid w:val="00F13126"/>
    <w:rsid w:val="00F13165"/>
    <w:rsid w:val="00F131D9"/>
    <w:rsid w:val="00F134A5"/>
    <w:rsid w:val="00F13529"/>
    <w:rsid w:val="00F1354D"/>
    <w:rsid w:val="00F135A9"/>
    <w:rsid w:val="00F138CC"/>
    <w:rsid w:val="00F138F3"/>
    <w:rsid w:val="00F13A95"/>
    <w:rsid w:val="00F13A9D"/>
    <w:rsid w:val="00F13B2C"/>
    <w:rsid w:val="00F13B9E"/>
    <w:rsid w:val="00F13BF8"/>
    <w:rsid w:val="00F13CE3"/>
    <w:rsid w:val="00F13DD6"/>
    <w:rsid w:val="00F13E69"/>
    <w:rsid w:val="00F13FBA"/>
    <w:rsid w:val="00F14053"/>
    <w:rsid w:val="00F140A9"/>
    <w:rsid w:val="00F14208"/>
    <w:rsid w:val="00F142D4"/>
    <w:rsid w:val="00F1436A"/>
    <w:rsid w:val="00F148CB"/>
    <w:rsid w:val="00F14904"/>
    <w:rsid w:val="00F1492A"/>
    <w:rsid w:val="00F149D4"/>
    <w:rsid w:val="00F14BBC"/>
    <w:rsid w:val="00F14C4D"/>
    <w:rsid w:val="00F14D6C"/>
    <w:rsid w:val="00F14DAC"/>
    <w:rsid w:val="00F14F7F"/>
    <w:rsid w:val="00F14F8E"/>
    <w:rsid w:val="00F14FDB"/>
    <w:rsid w:val="00F150C2"/>
    <w:rsid w:val="00F15140"/>
    <w:rsid w:val="00F1531C"/>
    <w:rsid w:val="00F154A7"/>
    <w:rsid w:val="00F154CF"/>
    <w:rsid w:val="00F15538"/>
    <w:rsid w:val="00F155C3"/>
    <w:rsid w:val="00F15709"/>
    <w:rsid w:val="00F157B6"/>
    <w:rsid w:val="00F1590C"/>
    <w:rsid w:val="00F159D7"/>
    <w:rsid w:val="00F15BD6"/>
    <w:rsid w:val="00F15CCC"/>
    <w:rsid w:val="00F15D67"/>
    <w:rsid w:val="00F15DFB"/>
    <w:rsid w:val="00F15EF6"/>
    <w:rsid w:val="00F16079"/>
    <w:rsid w:val="00F1618A"/>
    <w:rsid w:val="00F163C2"/>
    <w:rsid w:val="00F163D5"/>
    <w:rsid w:val="00F164BF"/>
    <w:rsid w:val="00F1654F"/>
    <w:rsid w:val="00F165FB"/>
    <w:rsid w:val="00F1671C"/>
    <w:rsid w:val="00F16A2A"/>
    <w:rsid w:val="00F16A80"/>
    <w:rsid w:val="00F16B31"/>
    <w:rsid w:val="00F16C7D"/>
    <w:rsid w:val="00F16CA4"/>
    <w:rsid w:val="00F16D7B"/>
    <w:rsid w:val="00F16DCD"/>
    <w:rsid w:val="00F16E22"/>
    <w:rsid w:val="00F17182"/>
    <w:rsid w:val="00F171C4"/>
    <w:rsid w:val="00F174A0"/>
    <w:rsid w:val="00F17568"/>
    <w:rsid w:val="00F17629"/>
    <w:rsid w:val="00F17987"/>
    <w:rsid w:val="00F17A43"/>
    <w:rsid w:val="00F17A55"/>
    <w:rsid w:val="00F17B3F"/>
    <w:rsid w:val="00F17D31"/>
    <w:rsid w:val="00F17E3C"/>
    <w:rsid w:val="00F17E99"/>
    <w:rsid w:val="00F17E9F"/>
    <w:rsid w:val="00F20013"/>
    <w:rsid w:val="00F20215"/>
    <w:rsid w:val="00F203BA"/>
    <w:rsid w:val="00F204E5"/>
    <w:rsid w:val="00F206D4"/>
    <w:rsid w:val="00F2073F"/>
    <w:rsid w:val="00F20792"/>
    <w:rsid w:val="00F20876"/>
    <w:rsid w:val="00F20AF7"/>
    <w:rsid w:val="00F20BBE"/>
    <w:rsid w:val="00F20C7E"/>
    <w:rsid w:val="00F20D37"/>
    <w:rsid w:val="00F20D4A"/>
    <w:rsid w:val="00F20DB7"/>
    <w:rsid w:val="00F20F34"/>
    <w:rsid w:val="00F20FEC"/>
    <w:rsid w:val="00F2101D"/>
    <w:rsid w:val="00F210BF"/>
    <w:rsid w:val="00F210E2"/>
    <w:rsid w:val="00F21104"/>
    <w:rsid w:val="00F21325"/>
    <w:rsid w:val="00F21419"/>
    <w:rsid w:val="00F214AF"/>
    <w:rsid w:val="00F21509"/>
    <w:rsid w:val="00F2152C"/>
    <w:rsid w:val="00F2158C"/>
    <w:rsid w:val="00F21701"/>
    <w:rsid w:val="00F2187F"/>
    <w:rsid w:val="00F218ED"/>
    <w:rsid w:val="00F21CCA"/>
    <w:rsid w:val="00F21ED7"/>
    <w:rsid w:val="00F21EDE"/>
    <w:rsid w:val="00F21F15"/>
    <w:rsid w:val="00F2203B"/>
    <w:rsid w:val="00F22048"/>
    <w:rsid w:val="00F2208D"/>
    <w:rsid w:val="00F22136"/>
    <w:rsid w:val="00F222C9"/>
    <w:rsid w:val="00F22462"/>
    <w:rsid w:val="00F22470"/>
    <w:rsid w:val="00F224DD"/>
    <w:rsid w:val="00F2261F"/>
    <w:rsid w:val="00F22705"/>
    <w:rsid w:val="00F22763"/>
    <w:rsid w:val="00F227A3"/>
    <w:rsid w:val="00F22805"/>
    <w:rsid w:val="00F22808"/>
    <w:rsid w:val="00F22A6A"/>
    <w:rsid w:val="00F22AD1"/>
    <w:rsid w:val="00F22B2F"/>
    <w:rsid w:val="00F22B31"/>
    <w:rsid w:val="00F22B3C"/>
    <w:rsid w:val="00F22BEE"/>
    <w:rsid w:val="00F22C2F"/>
    <w:rsid w:val="00F22CC4"/>
    <w:rsid w:val="00F22CCB"/>
    <w:rsid w:val="00F22DBA"/>
    <w:rsid w:val="00F22EC6"/>
    <w:rsid w:val="00F22F8E"/>
    <w:rsid w:val="00F22FDE"/>
    <w:rsid w:val="00F230A5"/>
    <w:rsid w:val="00F230AD"/>
    <w:rsid w:val="00F230D4"/>
    <w:rsid w:val="00F230D5"/>
    <w:rsid w:val="00F2316F"/>
    <w:rsid w:val="00F231F0"/>
    <w:rsid w:val="00F2368B"/>
    <w:rsid w:val="00F23900"/>
    <w:rsid w:val="00F23965"/>
    <w:rsid w:val="00F2397C"/>
    <w:rsid w:val="00F239F3"/>
    <w:rsid w:val="00F23AC6"/>
    <w:rsid w:val="00F23B07"/>
    <w:rsid w:val="00F23B33"/>
    <w:rsid w:val="00F23BFE"/>
    <w:rsid w:val="00F23C80"/>
    <w:rsid w:val="00F23D16"/>
    <w:rsid w:val="00F23D83"/>
    <w:rsid w:val="00F23E85"/>
    <w:rsid w:val="00F24056"/>
    <w:rsid w:val="00F24112"/>
    <w:rsid w:val="00F241CA"/>
    <w:rsid w:val="00F2435C"/>
    <w:rsid w:val="00F243A6"/>
    <w:rsid w:val="00F24427"/>
    <w:rsid w:val="00F2452B"/>
    <w:rsid w:val="00F245B0"/>
    <w:rsid w:val="00F245E4"/>
    <w:rsid w:val="00F2461D"/>
    <w:rsid w:val="00F24658"/>
    <w:rsid w:val="00F24761"/>
    <w:rsid w:val="00F248B0"/>
    <w:rsid w:val="00F248E5"/>
    <w:rsid w:val="00F249A7"/>
    <w:rsid w:val="00F249D0"/>
    <w:rsid w:val="00F24A78"/>
    <w:rsid w:val="00F24A8A"/>
    <w:rsid w:val="00F24B3B"/>
    <w:rsid w:val="00F24B78"/>
    <w:rsid w:val="00F24D76"/>
    <w:rsid w:val="00F24E2F"/>
    <w:rsid w:val="00F24F01"/>
    <w:rsid w:val="00F24F60"/>
    <w:rsid w:val="00F24F65"/>
    <w:rsid w:val="00F251D7"/>
    <w:rsid w:val="00F2528D"/>
    <w:rsid w:val="00F253FE"/>
    <w:rsid w:val="00F25654"/>
    <w:rsid w:val="00F257E3"/>
    <w:rsid w:val="00F259D7"/>
    <w:rsid w:val="00F25A18"/>
    <w:rsid w:val="00F25B58"/>
    <w:rsid w:val="00F25BEA"/>
    <w:rsid w:val="00F25C19"/>
    <w:rsid w:val="00F25D97"/>
    <w:rsid w:val="00F25E8B"/>
    <w:rsid w:val="00F25F51"/>
    <w:rsid w:val="00F26039"/>
    <w:rsid w:val="00F2603D"/>
    <w:rsid w:val="00F2605E"/>
    <w:rsid w:val="00F261FD"/>
    <w:rsid w:val="00F2634E"/>
    <w:rsid w:val="00F264B0"/>
    <w:rsid w:val="00F26501"/>
    <w:rsid w:val="00F26520"/>
    <w:rsid w:val="00F265D5"/>
    <w:rsid w:val="00F26636"/>
    <w:rsid w:val="00F267EF"/>
    <w:rsid w:val="00F26831"/>
    <w:rsid w:val="00F2699A"/>
    <w:rsid w:val="00F26A78"/>
    <w:rsid w:val="00F26DC5"/>
    <w:rsid w:val="00F26DD8"/>
    <w:rsid w:val="00F26DE4"/>
    <w:rsid w:val="00F26E90"/>
    <w:rsid w:val="00F26F0E"/>
    <w:rsid w:val="00F27080"/>
    <w:rsid w:val="00F27199"/>
    <w:rsid w:val="00F272EE"/>
    <w:rsid w:val="00F27332"/>
    <w:rsid w:val="00F27353"/>
    <w:rsid w:val="00F275B8"/>
    <w:rsid w:val="00F275E7"/>
    <w:rsid w:val="00F27616"/>
    <w:rsid w:val="00F27675"/>
    <w:rsid w:val="00F2777E"/>
    <w:rsid w:val="00F2784E"/>
    <w:rsid w:val="00F2785A"/>
    <w:rsid w:val="00F278BA"/>
    <w:rsid w:val="00F27981"/>
    <w:rsid w:val="00F27A2A"/>
    <w:rsid w:val="00F27BF1"/>
    <w:rsid w:val="00F27C2B"/>
    <w:rsid w:val="00F27E9E"/>
    <w:rsid w:val="00F27EDB"/>
    <w:rsid w:val="00F27F87"/>
    <w:rsid w:val="00F27F93"/>
    <w:rsid w:val="00F27F9F"/>
    <w:rsid w:val="00F3017F"/>
    <w:rsid w:val="00F301BB"/>
    <w:rsid w:val="00F30393"/>
    <w:rsid w:val="00F3041C"/>
    <w:rsid w:val="00F30855"/>
    <w:rsid w:val="00F30864"/>
    <w:rsid w:val="00F30AAF"/>
    <w:rsid w:val="00F30C82"/>
    <w:rsid w:val="00F30CA5"/>
    <w:rsid w:val="00F30CF6"/>
    <w:rsid w:val="00F30D86"/>
    <w:rsid w:val="00F30D9D"/>
    <w:rsid w:val="00F30E0E"/>
    <w:rsid w:val="00F30F03"/>
    <w:rsid w:val="00F31062"/>
    <w:rsid w:val="00F311AA"/>
    <w:rsid w:val="00F31268"/>
    <w:rsid w:val="00F3130A"/>
    <w:rsid w:val="00F313BF"/>
    <w:rsid w:val="00F313C1"/>
    <w:rsid w:val="00F314E6"/>
    <w:rsid w:val="00F314EB"/>
    <w:rsid w:val="00F31594"/>
    <w:rsid w:val="00F315A0"/>
    <w:rsid w:val="00F31647"/>
    <w:rsid w:val="00F31692"/>
    <w:rsid w:val="00F316F8"/>
    <w:rsid w:val="00F3175D"/>
    <w:rsid w:val="00F31774"/>
    <w:rsid w:val="00F31849"/>
    <w:rsid w:val="00F31960"/>
    <w:rsid w:val="00F319B2"/>
    <w:rsid w:val="00F31A18"/>
    <w:rsid w:val="00F31AD9"/>
    <w:rsid w:val="00F31BDA"/>
    <w:rsid w:val="00F31C03"/>
    <w:rsid w:val="00F31CDF"/>
    <w:rsid w:val="00F31CE6"/>
    <w:rsid w:val="00F31E0B"/>
    <w:rsid w:val="00F31E98"/>
    <w:rsid w:val="00F31EBB"/>
    <w:rsid w:val="00F322C4"/>
    <w:rsid w:val="00F32468"/>
    <w:rsid w:val="00F32483"/>
    <w:rsid w:val="00F324C5"/>
    <w:rsid w:val="00F32599"/>
    <w:rsid w:val="00F32643"/>
    <w:rsid w:val="00F32751"/>
    <w:rsid w:val="00F3280B"/>
    <w:rsid w:val="00F32880"/>
    <w:rsid w:val="00F32928"/>
    <w:rsid w:val="00F3296E"/>
    <w:rsid w:val="00F32A0C"/>
    <w:rsid w:val="00F32A5F"/>
    <w:rsid w:val="00F32C40"/>
    <w:rsid w:val="00F32D17"/>
    <w:rsid w:val="00F32D87"/>
    <w:rsid w:val="00F32FC5"/>
    <w:rsid w:val="00F33011"/>
    <w:rsid w:val="00F3303A"/>
    <w:rsid w:val="00F33096"/>
    <w:rsid w:val="00F330AB"/>
    <w:rsid w:val="00F33145"/>
    <w:rsid w:val="00F33277"/>
    <w:rsid w:val="00F33383"/>
    <w:rsid w:val="00F33407"/>
    <w:rsid w:val="00F33455"/>
    <w:rsid w:val="00F3355B"/>
    <w:rsid w:val="00F335FD"/>
    <w:rsid w:val="00F33670"/>
    <w:rsid w:val="00F33699"/>
    <w:rsid w:val="00F3369D"/>
    <w:rsid w:val="00F33863"/>
    <w:rsid w:val="00F339A1"/>
    <w:rsid w:val="00F33C42"/>
    <w:rsid w:val="00F33D64"/>
    <w:rsid w:val="00F33EF2"/>
    <w:rsid w:val="00F33FE5"/>
    <w:rsid w:val="00F33FEC"/>
    <w:rsid w:val="00F34005"/>
    <w:rsid w:val="00F340C1"/>
    <w:rsid w:val="00F340DA"/>
    <w:rsid w:val="00F340DF"/>
    <w:rsid w:val="00F3417B"/>
    <w:rsid w:val="00F3425B"/>
    <w:rsid w:val="00F342BA"/>
    <w:rsid w:val="00F342C0"/>
    <w:rsid w:val="00F343BF"/>
    <w:rsid w:val="00F343D2"/>
    <w:rsid w:val="00F34408"/>
    <w:rsid w:val="00F3474C"/>
    <w:rsid w:val="00F347A7"/>
    <w:rsid w:val="00F34A9F"/>
    <w:rsid w:val="00F34B22"/>
    <w:rsid w:val="00F34BCC"/>
    <w:rsid w:val="00F34C50"/>
    <w:rsid w:val="00F34C76"/>
    <w:rsid w:val="00F34DE9"/>
    <w:rsid w:val="00F34E14"/>
    <w:rsid w:val="00F35110"/>
    <w:rsid w:val="00F35121"/>
    <w:rsid w:val="00F35157"/>
    <w:rsid w:val="00F35273"/>
    <w:rsid w:val="00F3528B"/>
    <w:rsid w:val="00F354B9"/>
    <w:rsid w:val="00F354E9"/>
    <w:rsid w:val="00F355CA"/>
    <w:rsid w:val="00F35721"/>
    <w:rsid w:val="00F357FD"/>
    <w:rsid w:val="00F35911"/>
    <w:rsid w:val="00F3596F"/>
    <w:rsid w:val="00F35A5A"/>
    <w:rsid w:val="00F35AB2"/>
    <w:rsid w:val="00F35B7F"/>
    <w:rsid w:val="00F35BDA"/>
    <w:rsid w:val="00F35BF3"/>
    <w:rsid w:val="00F35D80"/>
    <w:rsid w:val="00F35DBF"/>
    <w:rsid w:val="00F35DDE"/>
    <w:rsid w:val="00F35E52"/>
    <w:rsid w:val="00F35E9D"/>
    <w:rsid w:val="00F36100"/>
    <w:rsid w:val="00F3613E"/>
    <w:rsid w:val="00F36398"/>
    <w:rsid w:val="00F363BD"/>
    <w:rsid w:val="00F3640E"/>
    <w:rsid w:val="00F3640F"/>
    <w:rsid w:val="00F3660B"/>
    <w:rsid w:val="00F36651"/>
    <w:rsid w:val="00F36A2A"/>
    <w:rsid w:val="00F36AA5"/>
    <w:rsid w:val="00F36B63"/>
    <w:rsid w:val="00F36CFE"/>
    <w:rsid w:val="00F36D35"/>
    <w:rsid w:val="00F36F39"/>
    <w:rsid w:val="00F36F60"/>
    <w:rsid w:val="00F36F8F"/>
    <w:rsid w:val="00F36FC4"/>
    <w:rsid w:val="00F37020"/>
    <w:rsid w:val="00F3702D"/>
    <w:rsid w:val="00F370AC"/>
    <w:rsid w:val="00F37720"/>
    <w:rsid w:val="00F37765"/>
    <w:rsid w:val="00F377D4"/>
    <w:rsid w:val="00F377F0"/>
    <w:rsid w:val="00F37A12"/>
    <w:rsid w:val="00F37A5B"/>
    <w:rsid w:val="00F37A9A"/>
    <w:rsid w:val="00F37AD4"/>
    <w:rsid w:val="00F37B5A"/>
    <w:rsid w:val="00F37C60"/>
    <w:rsid w:val="00F37E4B"/>
    <w:rsid w:val="00F37EA6"/>
    <w:rsid w:val="00F37EC9"/>
    <w:rsid w:val="00F37F7A"/>
    <w:rsid w:val="00F37FA0"/>
    <w:rsid w:val="00F400FD"/>
    <w:rsid w:val="00F401AB"/>
    <w:rsid w:val="00F40422"/>
    <w:rsid w:val="00F40774"/>
    <w:rsid w:val="00F408C7"/>
    <w:rsid w:val="00F40960"/>
    <w:rsid w:val="00F40A27"/>
    <w:rsid w:val="00F40AA9"/>
    <w:rsid w:val="00F40ACA"/>
    <w:rsid w:val="00F40B97"/>
    <w:rsid w:val="00F40F44"/>
    <w:rsid w:val="00F40F53"/>
    <w:rsid w:val="00F40F55"/>
    <w:rsid w:val="00F40FB2"/>
    <w:rsid w:val="00F40FBB"/>
    <w:rsid w:val="00F4105D"/>
    <w:rsid w:val="00F411EB"/>
    <w:rsid w:val="00F41430"/>
    <w:rsid w:val="00F41492"/>
    <w:rsid w:val="00F41780"/>
    <w:rsid w:val="00F418CD"/>
    <w:rsid w:val="00F419C6"/>
    <w:rsid w:val="00F41A4A"/>
    <w:rsid w:val="00F41AFA"/>
    <w:rsid w:val="00F41BDF"/>
    <w:rsid w:val="00F41C76"/>
    <w:rsid w:val="00F41CB8"/>
    <w:rsid w:val="00F41CC7"/>
    <w:rsid w:val="00F41D01"/>
    <w:rsid w:val="00F41E9C"/>
    <w:rsid w:val="00F41F6F"/>
    <w:rsid w:val="00F41FD5"/>
    <w:rsid w:val="00F42093"/>
    <w:rsid w:val="00F420CA"/>
    <w:rsid w:val="00F421D7"/>
    <w:rsid w:val="00F42204"/>
    <w:rsid w:val="00F4252B"/>
    <w:rsid w:val="00F42541"/>
    <w:rsid w:val="00F4259D"/>
    <w:rsid w:val="00F425AC"/>
    <w:rsid w:val="00F4278E"/>
    <w:rsid w:val="00F42794"/>
    <w:rsid w:val="00F4295D"/>
    <w:rsid w:val="00F4296D"/>
    <w:rsid w:val="00F42A2B"/>
    <w:rsid w:val="00F42CB2"/>
    <w:rsid w:val="00F42D8D"/>
    <w:rsid w:val="00F431A6"/>
    <w:rsid w:val="00F43214"/>
    <w:rsid w:val="00F4327B"/>
    <w:rsid w:val="00F433DE"/>
    <w:rsid w:val="00F435A6"/>
    <w:rsid w:val="00F43608"/>
    <w:rsid w:val="00F436FA"/>
    <w:rsid w:val="00F43A59"/>
    <w:rsid w:val="00F43AF1"/>
    <w:rsid w:val="00F43CA8"/>
    <w:rsid w:val="00F43D03"/>
    <w:rsid w:val="00F43F23"/>
    <w:rsid w:val="00F43F3C"/>
    <w:rsid w:val="00F43F42"/>
    <w:rsid w:val="00F43FF0"/>
    <w:rsid w:val="00F43FF4"/>
    <w:rsid w:val="00F44057"/>
    <w:rsid w:val="00F44089"/>
    <w:rsid w:val="00F441AC"/>
    <w:rsid w:val="00F4424E"/>
    <w:rsid w:val="00F44264"/>
    <w:rsid w:val="00F44692"/>
    <w:rsid w:val="00F44697"/>
    <w:rsid w:val="00F446A8"/>
    <w:rsid w:val="00F4476F"/>
    <w:rsid w:val="00F44AF5"/>
    <w:rsid w:val="00F44C51"/>
    <w:rsid w:val="00F44C6F"/>
    <w:rsid w:val="00F44FE7"/>
    <w:rsid w:val="00F44FE9"/>
    <w:rsid w:val="00F4509D"/>
    <w:rsid w:val="00F451C9"/>
    <w:rsid w:val="00F4538C"/>
    <w:rsid w:val="00F4546D"/>
    <w:rsid w:val="00F45494"/>
    <w:rsid w:val="00F454EC"/>
    <w:rsid w:val="00F454F7"/>
    <w:rsid w:val="00F455AD"/>
    <w:rsid w:val="00F45638"/>
    <w:rsid w:val="00F45747"/>
    <w:rsid w:val="00F45790"/>
    <w:rsid w:val="00F45792"/>
    <w:rsid w:val="00F457AC"/>
    <w:rsid w:val="00F458B9"/>
    <w:rsid w:val="00F45978"/>
    <w:rsid w:val="00F45A04"/>
    <w:rsid w:val="00F45A69"/>
    <w:rsid w:val="00F45CFD"/>
    <w:rsid w:val="00F45D96"/>
    <w:rsid w:val="00F4618D"/>
    <w:rsid w:val="00F46266"/>
    <w:rsid w:val="00F463F7"/>
    <w:rsid w:val="00F4660E"/>
    <w:rsid w:val="00F46651"/>
    <w:rsid w:val="00F466CB"/>
    <w:rsid w:val="00F466FA"/>
    <w:rsid w:val="00F4674A"/>
    <w:rsid w:val="00F467BE"/>
    <w:rsid w:val="00F467C0"/>
    <w:rsid w:val="00F4685F"/>
    <w:rsid w:val="00F46890"/>
    <w:rsid w:val="00F469B4"/>
    <w:rsid w:val="00F46B4E"/>
    <w:rsid w:val="00F46BB7"/>
    <w:rsid w:val="00F46F1C"/>
    <w:rsid w:val="00F471F4"/>
    <w:rsid w:val="00F4723E"/>
    <w:rsid w:val="00F4735F"/>
    <w:rsid w:val="00F473BB"/>
    <w:rsid w:val="00F475AB"/>
    <w:rsid w:val="00F4766A"/>
    <w:rsid w:val="00F4781A"/>
    <w:rsid w:val="00F47863"/>
    <w:rsid w:val="00F478AA"/>
    <w:rsid w:val="00F47995"/>
    <w:rsid w:val="00F47A57"/>
    <w:rsid w:val="00F47A88"/>
    <w:rsid w:val="00F47AC7"/>
    <w:rsid w:val="00F47BA9"/>
    <w:rsid w:val="00F47C3C"/>
    <w:rsid w:val="00F47E30"/>
    <w:rsid w:val="00F47F0C"/>
    <w:rsid w:val="00F50295"/>
    <w:rsid w:val="00F502E4"/>
    <w:rsid w:val="00F50310"/>
    <w:rsid w:val="00F50316"/>
    <w:rsid w:val="00F50340"/>
    <w:rsid w:val="00F50512"/>
    <w:rsid w:val="00F5072C"/>
    <w:rsid w:val="00F5079F"/>
    <w:rsid w:val="00F50838"/>
    <w:rsid w:val="00F50848"/>
    <w:rsid w:val="00F509C1"/>
    <w:rsid w:val="00F50B6B"/>
    <w:rsid w:val="00F50B73"/>
    <w:rsid w:val="00F50BAA"/>
    <w:rsid w:val="00F50C8C"/>
    <w:rsid w:val="00F50D20"/>
    <w:rsid w:val="00F50DAE"/>
    <w:rsid w:val="00F50EE0"/>
    <w:rsid w:val="00F5109F"/>
    <w:rsid w:val="00F51150"/>
    <w:rsid w:val="00F5124C"/>
    <w:rsid w:val="00F5129A"/>
    <w:rsid w:val="00F51371"/>
    <w:rsid w:val="00F5158E"/>
    <w:rsid w:val="00F5181F"/>
    <w:rsid w:val="00F51A28"/>
    <w:rsid w:val="00F51B76"/>
    <w:rsid w:val="00F51B7C"/>
    <w:rsid w:val="00F51CBF"/>
    <w:rsid w:val="00F51D3B"/>
    <w:rsid w:val="00F51EE1"/>
    <w:rsid w:val="00F51F98"/>
    <w:rsid w:val="00F52018"/>
    <w:rsid w:val="00F5204B"/>
    <w:rsid w:val="00F5226D"/>
    <w:rsid w:val="00F52677"/>
    <w:rsid w:val="00F526A6"/>
    <w:rsid w:val="00F5279C"/>
    <w:rsid w:val="00F528A8"/>
    <w:rsid w:val="00F52908"/>
    <w:rsid w:val="00F52AC0"/>
    <w:rsid w:val="00F52B01"/>
    <w:rsid w:val="00F52BB5"/>
    <w:rsid w:val="00F52BEB"/>
    <w:rsid w:val="00F52C35"/>
    <w:rsid w:val="00F52CA7"/>
    <w:rsid w:val="00F52E1E"/>
    <w:rsid w:val="00F52E72"/>
    <w:rsid w:val="00F53022"/>
    <w:rsid w:val="00F530A9"/>
    <w:rsid w:val="00F53142"/>
    <w:rsid w:val="00F53234"/>
    <w:rsid w:val="00F5323E"/>
    <w:rsid w:val="00F532D3"/>
    <w:rsid w:val="00F5331D"/>
    <w:rsid w:val="00F53360"/>
    <w:rsid w:val="00F5343D"/>
    <w:rsid w:val="00F5351B"/>
    <w:rsid w:val="00F53931"/>
    <w:rsid w:val="00F53A67"/>
    <w:rsid w:val="00F53B0E"/>
    <w:rsid w:val="00F53C59"/>
    <w:rsid w:val="00F53C8F"/>
    <w:rsid w:val="00F53CCC"/>
    <w:rsid w:val="00F53D74"/>
    <w:rsid w:val="00F53E93"/>
    <w:rsid w:val="00F53E95"/>
    <w:rsid w:val="00F53ECB"/>
    <w:rsid w:val="00F53FDA"/>
    <w:rsid w:val="00F54034"/>
    <w:rsid w:val="00F540A3"/>
    <w:rsid w:val="00F54188"/>
    <w:rsid w:val="00F5418B"/>
    <w:rsid w:val="00F54257"/>
    <w:rsid w:val="00F54361"/>
    <w:rsid w:val="00F54470"/>
    <w:rsid w:val="00F54472"/>
    <w:rsid w:val="00F54488"/>
    <w:rsid w:val="00F54663"/>
    <w:rsid w:val="00F54669"/>
    <w:rsid w:val="00F54796"/>
    <w:rsid w:val="00F547AD"/>
    <w:rsid w:val="00F54855"/>
    <w:rsid w:val="00F548FD"/>
    <w:rsid w:val="00F54AB6"/>
    <w:rsid w:val="00F54C1A"/>
    <w:rsid w:val="00F54E35"/>
    <w:rsid w:val="00F54E6B"/>
    <w:rsid w:val="00F55009"/>
    <w:rsid w:val="00F550CD"/>
    <w:rsid w:val="00F55101"/>
    <w:rsid w:val="00F5514A"/>
    <w:rsid w:val="00F5515E"/>
    <w:rsid w:val="00F551B7"/>
    <w:rsid w:val="00F55224"/>
    <w:rsid w:val="00F552A3"/>
    <w:rsid w:val="00F55305"/>
    <w:rsid w:val="00F5536A"/>
    <w:rsid w:val="00F554B6"/>
    <w:rsid w:val="00F554DA"/>
    <w:rsid w:val="00F555BA"/>
    <w:rsid w:val="00F556AF"/>
    <w:rsid w:val="00F55846"/>
    <w:rsid w:val="00F5585E"/>
    <w:rsid w:val="00F55A12"/>
    <w:rsid w:val="00F55BD1"/>
    <w:rsid w:val="00F55C51"/>
    <w:rsid w:val="00F55C79"/>
    <w:rsid w:val="00F55E6A"/>
    <w:rsid w:val="00F55F26"/>
    <w:rsid w:val="00F55F52"/>
    <w:rsid w:val="00F56176"/>
    <w:rsid w:val="00F561D2"/>
    <w:rsid w:val="00F562E6"/>
    <w:rsid w:val="00F563D6"/>
    <w:rsid w:val="00F565DE"/>
    <w:rsid w:val="00F56628"/>
    <w:rsid w:val="00F5671D"/>
    <w:rsid w:val="00F568E2"/>
    <w:rsid w:val="00F56962"/>
    <w:rsid w:val="00F56A40"/>
    <w:rsid w:val="00F56A89"/>
    <w:rsid w:val="00F56D7B"/>
    <w:rsid w:val="00F56DE8"/>
    <w:rsid w:val="00F56E50"/>
    <w:rsid w:val="00F56EDC"/>
    <w:rsid w:val="00F56EE7"/>
    <w:rsid w:val="00F56F01"/>
    <w:rsid w:val="00F56F77"/>
    <w:rsid w:val="00F57093"/>
    <w:rsid w:val="00F5713E"/>
    <w:rsid w:val="00F573D8"/>
    <w:rsid w:val="00F57414"/>
    <w:rsid w:val="00F575CA"/>
    <w:rsid w:val="00F5762C"/>
    <w:rsid w:val="00F57682"/>
    <w:rsid w:val="00F5779F"/>
    <w:rsid w:val="00F577E8"/>
    <w:rsid w:val="00F578F1"/>
    <w:rsid w:val="00F5790D"/>
    <w:rsid w:val="00F57930"/>
    <w:rsid w:val="00F57A1E"/>
    <w:rsid w:val="00F57AA9"/>
    <w:rsid w:val="00F57B11"/>
    <w:rsid w:val="00F57C83"/>
    <w:rsid w:val="00F57C8A"/>
    <w:rsid w:val="00F57D14"/>
    <w:rsid w:val="00F57F05"/>
    <w:rsid w:val="00F57F5E"/>
    <w:rsid w:val="00F60014"/>
    <w:rsid w:val="00F6002E"/>
    <w:rsid w:val="00F600D4"/>
    <w:rsid w:val="00F60297"/>
    <w:rsid w:val="00F602BC"/>
    <w:rsid w:val="00F6031C"/>
    <w:rsid w:val="00F60526"/>
    <w:rsid w:val="00F60530"/>
    <w:rsid w:val="00F60540"/>
    <w:rsid w:val="00F6069C"/>
    <w:rsid w:val="00F6072B"/>
    <w:rsid w:val="00F607A3"/>
    <w:rsid w:val="00F607B0"/>
    <w:rsid w:val="00F60903"/>
    <w:rsid w:val="00F6090D"/>
    <w:rsid w:val="00F6091B"/>
    <w:rsid w:val="00F609CF"/>
    <w:rsid w:val="00F60B17"/>
    <w:rsid w:val="00F60D38"/>
    <w:rsid w:val="00F60DA9"/>
    <w:rsid w:val="00F60E9B"/>
    <w:rsid w:val="00F61047"/>
    <w:rsid w:val="00F61074"/>
    <w:rsid w:val="00F61233"/>
    <w:rsid w:val="00F61259"/>
    <w:rsid w:val="00F6125A"/>
    <w:rsid w:val="00F612A9"/>
    <w:rsid w:val="00F61546"/>
    <w:rsid w:val="00F61676"/>
    <w:rsid w:val="00F6184B"/>
    <w:rsid w:val="00F61885"/>
    <w:rsid w:val="00F619F4"/>
    <w:rsid w:val="00F61B10"/>
    <w:rsid w:val="00F61B90"/>
    <w:rsid w:val="00F61BC4"/>
    <w:rsid w:val="00F61C0E"/>
    <w:rsid w:val="00F61CF0"/>
    <w:rsid w:val="00F61D16"/>
    <w:rsid w:val="00F61FF7"/>
    <w:rsid w:val="00F6213D"/>
    <w:rsid w:val="00F624BC"/>
    <w:rsid w:val="00F625EE"/>
    <w:rsid w:val="00F627A0"/>
    <w:rsid w:val="00F628AD"/>
    <w:rsid w:val="00F62A77"/>
    <w:rsid w:val="00F62B2D"/>
    <w:rsid w:val="00F62D27"/>
    <w:rsid w:val="00F62D46"/>
    <w:rsid w:val="00F62EC6"/>
    <w:rsid w:val="00F62F47"/>
    <w:rsid w:val="00F62F4B"/>
    <w:rsid w:val="00F630B5"/>
    <w:rsid w:val="00F63113"/>
    <w:rsid w:val="00F6317B"/>
    <w:rsid w:val="00F6335B"/>
    <w:rsid w:val="00F636EC"/>
    <w:rsid w:val="00F637A0"/>
    <w:rsid w:val="00F637BC"/>
    <w:rsid w:val="00F63880"/>
    <w:rsid w:val="00F638AF"/>
    <w:rsid w:val="00F63901"/>
    <w:rsid w:val="00F63905"/>
    <w:rsid w:val="00F63A0C"/>
    <w:rsid w:val="00F63B38"/>
    <w:rsid w:val="00F63C72"/>
    <w:rsid w:val="00F63CBF"/>
    <w:rsid w:val="00F63CF4"/>
    <w:rsid w:val="00F63D83"/>
    <w:rsid w:val="00F63DA3"/>
    <w:rsid w:val="00F63E2B"/>
    <w:rsid w:val="00F63E38"/>
    <w:rsid w:val="00F63E6B"/>
    <w:rsid w:val="00F640CD"/>
    <w:rsid w:val="00F64171"/>
    <w:rsid w:val="00F641F4"/>
    <w:rsid w:val="00F64215"/>
    <w:rsid w:val="00F6426F"/>
    <w:rsid w:val="00F642FD"/>
    <w:rsid w:val="00F64335"/>
    <w:rsid w:val="00F643EE"/>
    <w:rsid w:val="00F645ED"/>
    <w:rsid w:val="00F64617"/>
    <w:rsid w:val="00F64A45"/>
    <w:rsid w:val="00F64A4B"/>
    <w:rsid w:val="00F64A71"/>
    <w:rsid w:val="00F64AF4"/>
    <w:rsid w:val="00F64B21"/>
    <w:rsid w:val="00F64D15"/>
    <w:rsid w:val="00F64D2D"/>
    <w:rsid w:val="00F64D5B"/>
    <w:rsid w:val="00F64E39"/>
    <w:rsid w:val="00F64F28"/>
    <w:rsid w:val="00F64F35"/>
    <w:rsid w:val="00F64F49"/>
    <w:rsid w:val="00F64F9C"/>
    <w:rsid w:val="00F64FA9"/>
    <w:rsid w:val="00F64FD2"/>
    <w:rsid w:val="00F65298"/>
    <w:rsid w:val="00F6534C"/>
    <w:rsid w:val="00F6537B"/>
    <w:rsid w:val="00F65388"/>
    <w:rsid w:val="00F653C7"/>
    <w:rsid w:val="00F653C8"/>
    <w:rsid w:val="00F65406"/>
    <w:rsid w:val="00F65420"/>
    <w:rsid w:val="00F65427"/>
    <w:rsid w:val="00F65473"/>
    <w:rsid w:val="00F655E5"/>
    <w:rsid w:val="00F656F8"/>
    <w:rsid w:val="00F65869"/>
    <w:rsid w:val="00F658B4"/>
    <w:rsid w:val="00F658B6"/>
    <w:rsid w:val="00F65AE0"/>
    <w:rsid w:val="00F65BDF"/>
    <w:rsid w:val="00F65D6C"/>
    <w:rsid w:val="00F65EBF"/>
    <w:rsid w:val="00F660E5"/>
    <w:rsid w:val="00F6624B"/>
    <w:rsid w:val="00F6641C"/>
    <w:rsid w:val="00F66473"/>
    <w:rsid w:val="00F664ED"/>
    <w:rsid w:val="00F6667F"/>
    <w:rsid w:val="00F6677F"/>
    <w:rsid w:val="00F6686C"/>
    <w:rsid w:val="00F669B4"/>
    <w:rsid w:val="00F66B23"/>
    <w:rsid w:val="00F66C80"/>
    <w:rsid w:val="00F66F15"/>
    <w:rsid w:val="00F66F36"/>
    <w:rsid w:val="00F66F6A"/>
    <w:rsid w:val="00F66F9E"/>
    <w:rsid w:val="00F67029"/>
    <w:rsid w:val="00F6703E"/>
    <w:rsid w:val="00F67163"/>
    <w:rsid w:val="00F672A9"/>
    <w:rsid w:val="00F6733B"/>
    <w:rsid w:val="00F673B1"/>
    <w:rsid w:val="00F6753C"/>
    <w:rsid w:val="00F677DC"/>
    <w:rsid w:val="00F679D1"/>
    <w:rsid w:val="00F67E64"/>
    <w:rsid w:val="00F67F1A"/>
    <w:rsid w:val="00F67F53"/>
    <w:rsid w:val="00F6C3BC"/>
    <w:rsid w:val="00F70036"/>
    <w:rsid w:val="00F70198"/>
    <w:rsid w:val="00F70285"/>
    <w:rsid w:val="00F70301"/>
    <w:rsid w:val="00F703DC"/>
    <w:rsid w:val="00F70460"/>
    <w:rsid w:val="00F70794"/>
    <w:rsid w:val="00F707F3"/>
    <w:rsid w:val="00F707FD"/>
    <w:rsid w:val="00F708F1"/>
    <w:rsid w:val="00F70AFF"/>
    <w:rsid w:val="00F70C75"/>
    <w:rsid w:val="00F70CAD"/>
    <w:rsid w:val="00F70EFC"/>
    <w:rsid w:val="00F70F51"/>
    <w:rsid w:val="00F7110B"/>
    <w:rsid w:val="00F713CC"/>
    <w:rsid w:val="00F714BA"/>
    <w:rsid w:val="00F71562"/>
    <w:rsid w:val="00F71571"/>
    <w:rsid w:val="00F71802"/>
    <w:rsid w:val="00F71807"/>
    <w:rsid w:val="00F719D8"/>
    <w:rsid w:val="00F71A57"/>
    <w:rsid w:val="00F71AAC"/>
    <w:rsid w:val="00F71B52"/>
    <w:rsid w:val="00F71CAC"/>
    <w:rsid w:val="00F71CCB"/>
    <w:rsid w:val="00F71D91"/>
    <w:rsid w:val="00F71EB0"/>
    <w:rsid w:val="00F71F17"/>
    <w:rsid w:val="00F71F38"/>
    <w:rsid w:val="00F7201A"/>
    <w:rsid w:val="00F7209F"/>
    <w:rsid w:val="00F720F6"/>
    <w:rsid w:val="00F7214D"/>
    <w:rsid w:val="00F721B1"/>
    <w:rsid w:val="00F72381"/>
    <w:rsid w:val="00F7246F"/>
    <w:rsid w:val="00F7247F"/>
    <w:rsid w:val="00F72660"/>
    <w:rsid w:val="00F726A3"/>
    <w:rsid w:val="00F72790"/>
    <w:rsid w:val="00F7291A"/>
    <w:rsid w:val="00F72A24"/>
    <w:rsid w:val="00F72A50"/>
    <w:rsid w:val="00F72A51"/>
    <w:rsid w:val="00F72D45"/>
    <w:rsid w:val="00F72E69"/>
    <w:rsid w:val="00F72EBA"/>
    <w:rsid w:val="00F7325F"/>
    <w:rsid w:val="00F73313"/>
    <w:rsid w:val="00F73494"/>
    <w:rsid w:val="00F73531"/>
    <w:rsid w:val="00F73784"/>
    <w:rsid w:val="00F7387A"/>
    <w:rsid w:val="00F73885"/>
    <w:rsid w:val="00F73A9B"/>
    <w:rsid w:val="00F73BFF"/>
    <w:rsid w:val="00F73C59"/>
    <w:rsid w:val="00F73D30"/>
    <w:rsid w:val="00F74064"/>
    <w:rsid w:val="00F74096"/>
    <w:rsid w:val="00F740CC"/>
    <w:rsid w:val="00F7415A"/>
    <w:rsid w:val="00F74198"/>
    <w:rsid w:val="00F74199"/>
    <w:rsid w:val="00F74211"/>
    <w:rsid w:val="00F742D1"/>
    <w:rsid w:val="00F743F9"/>
    <w:rsid w:val="00F74761"/>
    <w:rsid w:val="00F749BF"/>
    <w:rsid w:val="00F74A88"/>
    <w:rsid w:val="00F7513A"/>
    <w:rsid w:val="00F75237"/>
    <w:rsid w:val="00F7533E"/>
    <w:rsid w:val="00F753BB"/>
    <w:rsid w:val="00F753C1"/>
    <w:rsid w:val="00F754CE"/>
    <w:rsid w:val="00F7557C"/>
    <w:rsid w:val="00F7562C"/>
    <w:rsid w:val="00F75661"/>
    <w:rsid w:val="00F75671"/>
    <w:rsid w:val="00F758DB"/>
    <w:rsid w:val="00F7590C"/>
    <w:rsid w:val="00F7593F"/>
    <w:rsid w:val="00F75980"/>
    <w:rsid w:val="00F75A00"/>
    <w:rsid w:val="00F75A04"/>
    <w:rsid w:val="00F75C44"/>
    <w:rsid w:val="00F75D26"/>
    <w:rsid w:val="00F75F0D"/>
    <w:rsid w:val="00F75FB6"/>
    <w:rsid w:val="00F760AA"/>
    <w:rsid w:val="00F7615B"/>
    <w:rsid w:val="00F761A1"/>
    <w:rsid w:val="00F761F9"/>
    <w:rsid w:val="00F7640A"/>
    <w:rsid w:val="00F76583"/>
    <w:rsid w:val="00F765C8"/>
    <w:rsid w:val="00F7663A"/>
    <w:rsid w:val="00F766B7"/>
    <w:rsid w:val="00F7688C"/>
    <w:rsid w:val="00F7693C"/>
    <w:rsid w:val="00F76979"/>
    <w:rsid w:val="00F76A32"/>
    <w:rsid w:val="00F76B46"/>
    <w:rsid w:val="00F76C0E"/>
    <w:rsid w:val="00F76CC6"/>
    <w:rsid w:val="00F76EA1"/>
    <w:rsid w:val="00F76F2F"/>
    <w:rsid w:val="00F76F5B"/>
    <w:rsid w:val="00F76FAB"/>
    <w:rsid w:val="00F7720D"/>
    <w:rsid w:val="00F77291"/>
    <w:rsid w:val="00F772D9"/>
    <w:rsid w:val="00F77460"/>
    <w:rsid w:val="00F77489"/>
    <w:rsid w:val="00F774B2"/>
    <w:rsid w:val="00F774C5"/>
    <w:rsid w:val="00F775C7"/>
    <w:rsid w:val="00F775F6"/>
    <w:rsid w:val="00F77671"/>
    <w:rsid w:val="00F77A09"/>
    <w:rsid w:val="00F77AF8"/>
    <w:rsid w:val="00F77B24"/>
    <w:rsid w:val="00F77B61"/>
    <w:rsid w:val="00F77BF9"/>
    <w:rsid w:val="00F77C8B"/>
    <w:rsid w:val="00F77E5E"/>
    <w:rsid w:val="00F77EF2"/>
    <w:rsid w:val="00F77F88"/>
    <w:rsid w:val="00F8011F"/>
    <w:rsid w:val="00F8019D"/>
    <w:rsid w:val="00F80277"/>
    <w:rsid w:val="00F80378"/>
    <w:rsid w:val="00F80492"/>
    <w:rsid w:val="00F805F3"/>
    <w:rsid w:val="00F80646"/>
    <w:rsid w:val="00F80689"/>
    <w:rsid w:val="00F808D9"/>
    <w:rsid w:val="00F809B9"/>
    <w:rsid w:val="00F80A54"/>
    <w:rsid w:val="00F80AE9"/>
    <w:rsid w:val="00F80AFC"/>
    <w:rsid w:val="00F80C5C"/>
    <w:rsid w:val="00F80D60"/>
    <w:rsid w:val="00F80E19"/>
    <w:rsid w:val="00F80EA7"/>
    <w:rsid w:val="00F80FBF"/>
    <w:rsid w:val="00F811C1"/>
    <w:rsid w:val="00F812C6"/>
    <w:rsid w:val="00F8138C"/>
    <w:rsid w:val="00F81396"/>
    <w:rsid w:val="00F81430"/>
    <w:rsid w:val="00F814EE"/>
    <w:rsid w:val="00F8156F"/>
    <w:rsid w:val="00F81615"/>
    <w:rsid w:val="00F81616"/>
    <w:rsid w:val="00F816EB"/>
    <w:rsid w:val="00F81898"/>
    <w:rsid w:val="00F8191A"/>
    <w:rsid w:val="00F8192E"/>
    <w:rsid w:val="00F81987"/>
    <w:rsid w:val="00F81A03"/>
    <w:rsid w:val="00F81A31"/>
    <w:rsid w:val="00F81AF3"/>
    <w:rsid w:val="00F81CF8"/>
    <w:rsid w:val="00F81EDC"/>
    <w:rsid w:val="00F81F1C"/>
    <w:rsid w:val="00F82015"/>
    <w:rsid w:val="00F82105"/>
    <w:rsid w:val="00F8219C"/>
    <w:rsid w:val="00F8233E"/>
    <w:rsid w:val="00F8238B"/>
    <w:rsid w:val="00F825CC"/>
    <w:rsid w:val="00F82679"/>
    <w:rsid w:val="00F82849"/>
    <w:rsid w:val="00F8287E"/>
    <w:rsid w:val="00F8288C"/>
    <w:rsid w:val="00F829A4"/>
    <w:rsid w:val="00F82AB7"/>
    <w:rsid w:val="00F82ADF"/>
    <w:rsid w:val="00F82E46"/>
    <w:rsid w:val="00F82EF8"/>
    <w:rsid w:val="00F82F08"/>
    <w:rsid w:val="00F82F27"/>
    <w:rsid w:val="00F82FD4"/>
    <w:rsid w:val="00F830EC"/>
    <w:rsid w:val="00F8319E"/>
    <w:rsid w:val="00F83370"/>
    <w:rsid w:val="00F836AD"/>
    <w:rsid w:val="00F837DB"/>
    <w:rsid w:val="00F83808"/>
    <w:rsid w:val="00F838D7"/>
    <w:rsid w:val="00F838E8"/>
    <w:rsid w:val="00F83930"/>
    <w:rsid w:val="00F839A0"/>
    <w:rsid w:val="00F83A7D"/>
    <w:rsid w:val="00F83C7F"/>
    <w:rsid w:val="00F83D78"/>
    <w:rsid w:val="00F83F10"/>
    <w:rsid w:val="00F8402A"/>
    <w:rsid w:val="00F840FB"/>
    <w:rsid w:val="00F84278"/>
    <w:rsid w:val="00F84466"/>
    <w:rsid w:val="00F845E1"/>
    <w:rsid w:val="00F84663"/>
    <w:rsid w:val="00F84907"/>
    <w:rsid w:val="00F84BB6"/>
    <w:rsid w:val="00F84CAB"/>
    <w:rsid w:val="00F84ED3"/>
    <w:rsid w:val="00F84F2B"/>
    <w:rsid w:val="00F84F5D"/>
    <w:rsid w:val="00F84FFE"/>
    <w:rsid w:val="00F850A9"/>
    <w:rsid w:val="00F8515C"/>
    <w:rsid w:val="00F85295"/>
    <w:rsid w:val="00F85300"/>
    <w:rsid w:val="00F85305"/>
    <w:rsid w:val="00F85599"/>
    <w:rsid w:val="00F85771"/>
    <w:rsid w:val="00F857A2"/>
    <w:rsid w:val="00F857D6"/>
    <w:rsid w:val="00F858F6"/>
    <w:rsid w:val="00F85901"/>
    <w:rsid w:val="00F85B3E"/>
    <w:rsid w:val="00F85B4D"/>
    <w:rsid w:val="00F85D8E"/>
    <w:rsid w:val="00F85DD0"/>
    <w:rsid w:val="00F85E40"/>
    <w:rsid w:val="00F85E84"/>
    <w:rsid w:val="00F85E8F"/>
    <w:rsid w:val="00F85FC9"/>
    <w:rsid w:val="00F85FF0"/>
    <w:rsid w:val="00F86089"/>
    <w:rsid w:val="00F860A5"/>
    <w:rsid w:val="00F860DE"/>
    <w:rsid w:val="00F86160"/>
    <w:rsid w:val="00F86175"/>
    <w:rsid w:val="00F862FB"/>
    <w:rsid w:val="00F86341"/>
    <w:rsid w:val="00F86374"/>
    <w:rsid w:val="00F864E3"/>
    <w:rsid w:val="00F86534"/>
    <w:rsid w:val="00F86564"/>
    <w:rsid w:val="00F86731"/>
    <w:rsid w:val="00F86752"/>
    <w:rsid w:val="00F868AD"/>
    <w:rsid w:val="00F86983"/>
    <w:rsid w:val="00F869E7"/>
    <w:rsid w:val="00F869F5"/>
    <w:rsid w:val="00F86A77"/>
    <w:rsid w:val="00F86A83"/>
    <w:rsid w:val="00F86C8C"/>
    <w:rsid w:val="00F86D2A"/>
    <w:rsid w:val="00F86E00"/>
    <w:rsid w:val="00F86EDE"/>
    <w:rsid w:val="00F8700B"/>
    <w:rsid w:val="00F872AB"/>
    <w:rsid w:val="00F873CA"/>
    <w:rsid w:val="00F87602"/>
    <w:rsid w:val="00F876B2"/>
    <w:rsid w:val="00F87814"/>
    <w:rsid w:val="00F8783A"/>
    <w:rsid w:val="00F87A55"/>
    <w:rsid w:val="00F87AE6"/>
    <w:rsid w:val="00F87BA1"/>
    <w:rsid w:val="00F87D7D"/>
    <w:rsid w:val="00F87E16"/>
    <w:rsid w:val="00F87E3D"/>
    <w:rsid w:val="00F87E7E"/>
    <w:rsid w:val="00F87E8D"/>
    <w:rsid w:val="00F87ED1"/>
    <w:rsid w:val="00F87FEF"/>
    <w:rsid w:val="00F8CB69"/>
    <w:rsid w:val="00F900B0"/>
    <w:rsid w:val="00F903C2"/>
    <w:rsid w:val="00F904C9"/>
    <w:rsid w:val="00F90520"/>
    <w:rsid w:val="00F90547"/>
    <w:rsid w:val="00F90679"/>
    <w:rsid w:val="00F908E3"/>
    <w:rsid w:val="00F9092A"/>
    <w:rsid w:val="00F909F6"/>
    <w:rsid w:val="00F90A86"/>
    <w:rsid w:val="00F90C03"/>
    <w:rsid w:val="00F90DFE"/>
    <w:rsid w:val="00F90E2D"/>
    <w:rsid w:val="00F90F65"/>
    <w:rsid w:val="00F90FD9"/>
    <w:rsid w:val="00F90FF1"/>
    <w:rsid w:val="00F9108E"/>
    <w:rsid w:val="00F91137"/>
    <w:rsid w:val="00F91429"/>
    <w:rsid w:val="00F914FF"/>
    <w:rsid w:val="00F9151A"/>
    <w:rsid w:val="00F91537"/>
    <w:rsid w:val="00F9155F"/>
    <w:rsid w:val="00F91690"/>
    <w:rsid w:val="00F91720"/>
    <w:rsid w:val="00F9176F"/>
    <w:rsid w:val="00F9189C"/>
    <w:rsid w:val="00F919B8"/>
    <w:rsid w:val="00F91B89"/>
    <w:rsid w:val="00F91BC9"/>
    <w:rsid w:val="00F91C56"/>
    <w:rsid w:val="00F91C5E"/>
    <w:rsid w:val="00F91C7A"/>
    <w:rsid w:val="00F91E4C"/>
    <w:rsid w:val="00F920BC"/>
    <w:rsid w:val="00F920EF"/>
    <w:rsid w:val="00F9219C"/>
    <w:rsid w:val="00F92778"/>
    <w:rsid w:val="00F928DA"/>
    <w:rsid w:val="00F928E0"/>
    <w:rsid w:val="00F92997"/>
    <w:rsid w:val="00F92BB6"/>
    <w:rsid w:val="00F92BE3"/>
    <w:rsid w:val="00F92CFE"/>
    <w:rsid w:val="00F92DC6"/>
    <w:rsid w:val="00F92DD3"/>
    <w:rsid w:val="00F92EA5"/>
    <w:rsid w:val="00F92EEC"/>
    <w:rsid w:val="00F93046"/>
    <w:rsid w:val="00F9306D"/>
    <w:rsid w:val="00F930FB"/>
    <w:rsid w:val="00F93137"/>
    <w:rsid w:val="00F9329C"/>
    <w:rsid w:val="00F932B6"/>
    <w:rsid w:val="00F932EB"/>
    <w:rsid w:val="00F9332C"/>
    <w:rsid w:val="00F933A6"/>
    <w:rsid w:val="00F933F0"/>
    <w:rsid w:val="00F9344B"/>
    <w:rsid w:val="00F93468"/>
    <w:rsid w:val="00F9347A"/>
    <w:rsid w:val="00F936ED"/>
    <w:rsid w:val="00F9371C"/>
    <w:rsid w:val="00F937BB"/>
    <w:rsid w:val="00F937E2"/>
    <w:rsid w:val="00F93842"/>
    <w:rsid w:val="00F938DD"/>
    <w:rsid w:val="00F93971"/>
    <w:rsid w:val="00F93975"/>
    <w:rsid w:val="00F939B3"/>
    <w:rsid w:val="00F93AA1"/>
    <w:rsid w:val="00F93BE6"/>
    <w:rsid w:val="00F93CB5"/>
    <w:rsid w:val="00F93DE2"/>
    <w:rsid w:val="00F93E92"/>
    <w:rsid w:val="00F93F0D"/>
    <w:rsid w:val="00F94015"/>
    <w:rsid w:val="00F94058"/>
    <w:rsid w:val="00F94095"/>
    <w:rsid w:val="00F942EF"/>
    <w:rsid w:val="00F94308"/>
    <w:rsid w:val="00F94575"/>
    <w:rsid w:val="00F945AF"/>
    <w:rsid w:val="00F94622"/>
    <w:rsid w:val="00F94633"/>
    <w:rsid w:val="00F94717"/>
    <w:rsid w:val="00F94802"/>
    <w:rsid w:val="00F94995"/>
    <w:rsid w:val="00F94AFC"/>
    <w:rsid w:val="00F94B55"/>
    <w:rsid w:val="00F94BD0"/>
    <w:rsid w:val="00F94C1D"/>
    <w:rsid w:val="00F94C83"/>
    <w:rsid w:val="00F94EE8"/>
    <w:rsid w:val="00F94F98"/>
    <w:rsid w:val="00F94FE0"/>
    <w:rsid w:val="00F95037"/>
    <w:rsid w:val="00F95060"/>
    <w:rsid w:val="00F95069"/>
    <w:rsid w:val="00F95120"/>
    <w:rsid w:val="00F9514C"/>
    <w:rsid w:val="00F9518E"/>
    <w:rsid w:val="00F95203"/>
    <w:rsid w:val="00F95305"/>
    <w:rsid w:val="00F95482"/>
    <w:rsid w:val="00F954DD"/>
    <w:rsid w:val="00F95525"/>
    <w:rsid w:val="00F95619"/>
    <w:rsid w:val="00F9568F"/>
    <w:rsid w:val="00F956CE"/>
    <w:rsid w:val="00F9575A"/>
    <w:rsid w:val="00F95791"/>
    <w:rsid w:val="00F95882"/>
    <w:rsid w:val="00F95A4E"/>
    <w:rsid w:val="00F95AE1"/>
    <w:rsid w:val="00F95AF1"/>
    <w:rsid w:val="00F95B48"/>
    <w:rsid w:val="00F95CB6"/>
    <w:rsid w:val="00F95D36"/>
    <w:rsid w:val="00F95D67"/>
    <w:rsid w:val="00F9601F"/>
    <w:rsid w:val="00F9631A"/>
    <w:rsid w:val="00F9631F"/>
    <w:rsid w:val="00F9633E"/>
    <w:rsid w:val="00F963BA"/>
    <w:rsid w:val="00F96437"/>
    <w:rsid w:val="00F964D5"/>
    <w:rsid w:val="00F9655B"/>
    <w:rsid w:val="00F96560"/>
    <w:rsid w:val="00F96590"/>
    <w:rsid w:val="00F96594"/>
    <w:rsid w:val="00F965CF"/>
    <w:rsid w:val="00F965FE"/>
    <w:rsid w:val="00F966AB"/>
    <w:rsid w:val="00F96781"/>
    <w:rsid w:val="00F96837"/>
    <w:rsid w:val="00F96B02"/>
    <w:rsid w:val="00F96B29"/>
    <w:rsid w:val="00F96BF8"/>
    <w:rsid w:val="00F96E18"/>
    <w:rsid w:val="00F96E56"/>
    <w:rsid w:val="00F96EFA"/>
    <w:rsid w:val="00F96F14"/>
    <w:rsid w:val="00F96F72"/>
    <w:rsid w:val="00F9708F"/>
    <w:rsid w:val="00F970B3"/>
    <w:rsid w:val="00F972CA"/>
    <w:rsid w:val="00F97353"/>
    <w:rsid w:val="00F973CC"/>
    <w:rsid w:val="00F974E9"/>
    <w:rsid w:val="00F975A2"/>
    <w:rsid w:val="00F975B8"/>
    <w:rsid w:val="00F978A3"/>
    <w:rsid w:val="00F9796B"/>
    <w:rsid w:val="00F97A0F"/>
    <w:rsid w:val="00F97BB5"/>
    <w:rsid w:val="00F97C39"/>
    <w:rsid w:val="00F97EFA"/>
    <w:rsid w:val="00F97F55"/>
    <w:rsid w:val="00FA00AC"/>
    <w:rsid w:val="00FA022F"/>
    <w:rsid w:val="00FA0339"/>
    <w:rsid w:val="00FA03FD"/>
    <w:rsid w:val="00FA0412"/>
    <w:rsid w:val="00FA057F"/>
    <w:rsid w:val="00FA05B5"/>
    <w:rsid w:val="00FA063D"/>
    <w:rsid w:val="00FA0659"/>
    <w:rsid w:val="00FA06F9"/>
    <w:rsid w:val="00FA0966"/>
    <w:rsid w:val="00FA0A02"/>
    <w:rsid w:val="00FA0A4A"/>
    <w:rsid w:val="00FA0AAF"/>
    <w:rsid w:val="00FA0B5D"/>
    <w:rsid w:val="00FA0C93"/>
    <w:rsid w:val="00FA0FBE"/>
    <w:rsid w:val="00FA0FFC"/>
    <w:rsid w:val="00FA1132"/>
    <w:rsid w:val="00FA115A"/>
    <w:rsid w:val="00FA116F"/>
    <w:rsid w:val="00FA11E5"/>
    <w:rsid w:val="00FA135D"/>
    <w:rsid w:val="00FA13CA"/>
    <w:rsid w:val="00FA141F"/>
    <w:rsid w:val="00FA1448"/>
    <w:rsid w:val="00FA14A6"/>
    <w:rsid w:val="00FA1551"/>
    <w:rsid w:val="00FA157D"/>
    <w:rsid w:val="00FA1625"/>
    <w:rsid w:val="00FA1670"/>
    <w:rsid w:val="00FA171E"/>
    <w:rsid w:val="00FA175A"/>
    <w:rsid w:val="00FA1761"/>
    <w:rsid w:val="00FA18A5"/>
    <w:rsid w:val="00FA18AB"/>
    <w:rsid w:val="00FA1968"/>
    <w:rsid w:val="00FA19CE"/>
    <w:rsid w:val="00FA1A98"/>
    <w:rsid w:val="00FA1AB8"/>
    <w:rsid w:val="00FA1CE5"/>
    <w:rsid w:val="00FA1F6E"/>
    <w:rsid w:val="00FA1F8C"/>
    <w:rsid w:val="00FA1FD2"/>
    <w:rsid w:val="00FA22D1"/>
    <w:rsid w:val="00FA2576"/>
    <w:rsid w:val="00FA2690"/>
    <w:rsid w:val="00FA270B"/>
    <w:rsid w:val="00FA274D"/>
    <w:rsid w:val="00FA27EF"/>
    <w:rsid w:val="00FA29D2"/>
    <w:rsid w:val="00FA2BB8"/>
    <w:rsid w:val="00FA2BBE"/>
    <w:rsid w:val="00FA2BCE"/>
    <w:rsid w:val="00FA2BCF"/>
    <w:rsid w:val="00FA2CAC"/>
    <w:rsid w:val="00FA2E6F"/>
    <w:rsid w:val="00FA2E88"/>
    <w:rsid w:val="00FA2EB0"/>
    <w:rsid w:val="00FA30A3"/>
    <w:rsid w:val="00FA3116"/>
    <w:rsid w:val="00FA31DA"/>
    <w:rsid w:val="00FA32E2"/>
    <w:rsid w:val="00FA32E3"/>
    <w:rsid w:val="00FA34DF"/>
    <w:rsid w:val="00FA359E"/>
    <w:rsid w:val="00FA3693"/>
    <w:rsid w:val="00FA3764"/>
    <w:rsid w:val="00FA37DA"/>
    <w:rsid w:val="00FA3815"/>
    <w:rsid w:val="00FA395B"/>
    <w:rsid w:val="00FA3B75"/>
    <w:rsid w:val="00FA3B7F"/>
    <w:rsid w:val="00FA3BBF"/>
    <w:rsid w:val="00FA3C2A"/>
    <w:rsid w:val="00FA3C62"/>
    <w:rsid w:val="00FA3CE4"/>
    <w:rsid w:val="00FA3D4B"/>
    <w:rsid w:val="00FA3DC5"/>
    <w:rsid w:val="00FA3E73"/>
    <w:rsid w:val="00FA40CA"/>
    <w:rsid w:val="00FA41A2"/>
    <w:rsid w:val="00FA4239"/>
    <w:rsid w:val="00FA423D"/>
    <w:rsid w:val="00FA427D"/>
    <w:rsid w:val="00FA42F5"/>
    <w:rsid w:val="00FA4375"/>
    <w:rsid w:val="00FA4760"/>
    <w:rsid w:val="00FA4798"/>
    <w:rsid w:val="00FA47C4"/>
    <w:rsid w:val="00FA47CE"/>
    <w:rsid w:val="00FA4822"/>
    <w:rsid w:val="00FA49B9"/>
    <w:rsid w:val="00FA49DC"/>
    <w:rsid w:val="00FA4A27"/>
    <w:rsid w:val="00FA4A4E"/>
    <w:rsid w:val="00FA4D19"/>
    <w:rsid w:val="00FA4E24"/>
    <w:rsid w:val="00FA4F09"/>
    <w:rsid w:val="00FA502E"/>
    <w:rsid w:val="00FA51C6"/>
    <w:rsid w:val="00FA5240"/>
    <w:rsid w:val="00FA5354"/>
    <w:rsid w:val="00FA54D6"/>
    <w:rsid w:val="00FA557A"/>
    <w:rsid w:val="00FA55F1"/>
    <w:rsid w:val="00FA56AF"/>
    <w:rsid w:val="00FA56E9"/>
    <w:rsid w:val="00FA5746"/>
    <w:rsid w:val="00FA5871"/>
    <w:rsid w:val="00FA58AA"/>
    <w:rsid w:val="00FA5A50"/>
    <w:rsid w:val="00FA5B95"/>
    <w:rsid w:val="00FA5C43"/>
    <w:rsid w:val="00FA5DA8"/>
    <w:rsid w:val="00FA5E92"/>
    <w:rsid w:val="00FA5EA3"/>
    <w:rsid w:val="00FA5F6E"/>
    <w:rsid w:val="00FA5F88"/>
    <w:rsid w:val="00FA5F8F"/>
    <w:rsid w:val="00FA6073"/>
    <w:rsid w:val="00FA611F"/>
    <w:rsid w:val="00FA6127"/>
    <w:rsid w:val="00FA6145"/>
    <w:rsid w:val="00FA616D"/>
    <w:rsid w:val="00FA61F3"/>
    <w:rsid w:val="00FA6325"/>
    <w:rsid w:val="00FA63A1"/>
    <w:rsid w:val="00FA6497"/>
    <w:rsid w:val="00FA6575"/>
    <w:rsid w:val="00FA66DE"/>
    <w:rsid w:val="00FA674F"/>
    <w:rsid w:val="00FA677C"/>
    <w:rsid w:val="00FA683B"/>
    <w:rsid w:val="00FA6978"/>
    <w:rsid w:val="00FA69B6"/>
    <w:rsid w:val="00FA6A4A"/>
    <w:rsid w:val="00FA6A56"/>
    <w:rsid w:val="00FA6C13"/>
    <w:rsid w:val="00FA6C4E"/>
    <w:rsid w:val="00FA6CE0"/>
    <w:rsid w:val="00FA6D79"/>
    <w:rsid w:val="00FA6F48"/>
    <w:rsid w:val="00FA7028"/>
    <w:rsid w:val="00FA7031"/>
    <w:rsid w:val="00FA725F"/>
    <w:rsid w:val="00FA72EB"/>
    <w:rsid w:val="00FA7301"/>
    <w:rsid w:val="00FA7380"/>
    <w:rsid w:val="00FA7476"/>
    <w:rsid w:val="00FA76CE"/>
    <w:rsid w:val="00FA7758"/>
    <w:rsid w:val="00FA77E3"/>
    <w:rsid w:val="00FA78E3"/>
    <w:rsid w:val="00FA7937"/>
    <w:rsid w:val="00FA7976"/>
    <w:rsid w:val="00FA79E9"/>
    <w:rsid w:val="00FA7A21"/>
    <w:rsid w:val="00FA7D1C"/>
    <w:rsid w:val="00FA7D27"/>
    <w:rsid w:val="00FA7DB3"/>
    <w:rsid w:val="00FA7EC2"/>
    <w:rsid w:val="00FA7FD0"/>
    <w:rsid w:val="00FB005E"/>
    <w:rsid w:val="00FB006D"/>
    <w:rsid w:val="00FB029D"/>
    <w:rsid w:val="00FB03CD"/>
    <w:rsid w:val="00FB045E"/>
    <w:rsid w:val="00FB0564"/>
    <w:rsid w:val="00FB0686"/>
    <w:rsid w:val="00FB078A"/>
    <w:rsid w:val="00FB08CE"/>
    <w:rsid w:val="00FB0966"/>
    <w:rsid w:val="00FB0B0E"/>
    <w:rsid w:val="00FB0B1B"/>
    <w:rsid w:val="00FB0B7D"/>
    <w:rsid w:val="00FB0C4B"/>
    <w:rsid w:val="00FB0C57"/>
    <w:rsid w:val="00FB0D95"/>
    <w:rsid w:val="00FB0DF6"/>
    <w:rsid w:val="00FB0E20"/>
    <w:rsid w:val="00FB0E91"/>
    <w:rsid w:val="00FB0FAC"/>
    <w:rsid w:val="00FB0FB9"/>
    <w:rsid w:val="00FB0FE6"/>
    <w:rsid w:val="00FB0FEC"/>
    <w:rsid w:val="00FB10EF"/>
    <w:rsid w:val="00FB1109"/>
    <w:rsid w:val="00FB1171"/>
    <w:rsid w:val="00FB11FB"/>
    <w:rsid w:val="00FB128E"/>
    <w:rsid w:val="00FB1461"/>
    <w:rsid w:val="00FB1487"/>
    <w:rsid w:val="00FB14CF"/>
    <w:rsid w:val="00FB17A3"/>
    <w:rsid w:val="00FB1887"/>
    <w:rsid w:val="00FB19A2"/>
    <w:rsid w:val="00FB1DCE"/>
    <w:rsid w:val="00FB1EAF"/>
    <w:rsid w:val="00FB2204"/>
    <w:rsid w:val="00FB2221"/>
    <w:rsid w:val="00FB2252"/>
    <w:rsid w:val="00FB227F"/>
    <w:rsid w:val="00FB2440"/>
    <w:rsid w:val="00FB245A"/>
    <w:rsid w:val="00FB246F"/>
    <w:rsid w:val="00FB254F"/>
    <w:rsid w:val="00FB25A0"/>
    <w:rsid w:val="00FB2768"/>
    <w:rsid w:val="00FB2782"/>
    <w:rsid w:val="00FB27D1"/>
    <w:rsid w:val="00FB27D8"/>
    <w:rsid w:val="00FB27DD"/>
    <w:rsid w:val="00FB2831"/>
    <w:rsid w:val="00FB2AEB"/>
    <w:rsid w:val="00FB2B9C"/>
    <w:rsid w:val="00FB2BB3"/>
    <w:rsid w:val="00FB2BBD"/>
    <w:rsid w:val="00FB2C1F"/>
    <w:rsid w:val="00FB2CF3"/>
    <w:rsid w:val="00FB2D6F"/>
    <w:rsid w:val="00FB2E1B"/>
    <w:rsid w:val="00FB2E79"/>
    <w:rsid w:val="00FB2FAB"/>
    <w:rsid w:val="00FB3084"/>
    <w:rsid w:val="00FB3181"/>
    <w:rsid w:val="00FB31E2"/>
    <w:rsid w:val="00FB325A"/>
    <w:rsid w:val="00FB32D5"/>
    <w:rsid w:val="00FB32EC"/>
    <w:rsid w:val="00FB3312"/>
    <w:rsid w:val="00FB33D8"/>
    <w:rsid w:val="00FB34D9"/>
    <w:rsid w:val="00FB36AE"/>
    <w:rsid w:val="00FB36F6"/>
    <w:rsid w:val="00FB3862"/>
    <w:rsid w:val="00FB3A32"/>
    <w:rsid w:val="00FB3AAA"/>
    <w:rsid w:val="00FB3AD5"/>
    <w:rsid w:val="00FB3B9C"/>
    <w:rsid w:val="00FB3C0F"/>
    <w:rsid w:val="00FB3C29"/>
    <w:rsid w:val="00FB3C38"/>
    <w:rsid w:val="00FB3C4F"/>
    <w:rsid w:val="00FB3CC2"/>
    <w:rsid w:val="00FB3D4F"/>
    <w:rsid w:val="00FB3E81"/>
    <w:rsid w:val="00FB3EDD"/>
    <w:rsid w:val="00FB3EE3"/>
    <w:rsid w:val="00FB3EFC"/>
    <w:rsid w:val="00FB3F96"/>
    <w:rsid w:val="00FB400A"/>
    <w:rsid w:val="00FB4029"/>
    <w:rsid w:val="00FB40A6"/>
    <w:rsid w:val="00FB41B9"/>
    <w:rsid w:val="00FB4281"/>
    <w:rsid w:val="00FB42B9"/>
    <w:rsid w:val="00FB44F9"/>
    <w:rsid w:val="00FB45B4"/>
    <w:rsid w:val="00FB4644"/>
    <w:rsid w:val="00FB472F"/>
    <w:rsid w:val="00FB48D4"/>
    <w:rsid w:val="00FB4B09"/>
    <w:rsid w:val="00FB4B0E"/>
    <w:rsid w:val="00FB4CD2"/>
    <w:rsid w:val="00FB4DDB"/>
    <w:rsid w:val="00FB4F55"/>
    <w:rsid w:val="00FB506C"/>
    <w:rsid w:val="00FB5092"/>
    <w:rsid w:val="00FB533E"/>
    <w:rsid w:val="00FB5365"/>
    <w:rsid w:val="00FB53A9"/>
    <w:rsid w:val="00FB54E8"/>
    <w:rsid w:val="00FB5627"/>
    <w:rsid w:val="00FB57AF"/>
    <w:rsid w:val="00FB57BE"/>
    <w:rsid w:val="00FB585F"/>
    <w:rsid w:val="00FB59A8"/>
    <w:rsid w:val="00FB5A79"/>
    <w:rsid w:val="00FB5B0B"/>
    <w:rsid w:val="00FB5B12"/>
    <w:rsid w:val="00FB5B6C"/>
    <w:rsid w:val="00FB5C4C"/>
    <w:rsid w:val="00FB5F5A"/>
    <w:rsid w:val="00FB6078"/>
    <w:rsid w:val="00FB6084"/>
    <w:rsid w:val="00FB60E3"/>
    <w:rsid w:val="00FB621B"/>
    <w:rsid w:val="00FB62B6"/>
    <w:rsid w:val="00FB6432"/>
    <w:rsid w:val="00FB658B"/>
    <w:rsid w:val="00FB6594"/>
    <w:rsid w:val="00FB661F"/>
    <w:rsid w:val="00FB6693"/>
    <w:rsid w:val="00FB676F"/>
    <w:rsid w:val="00FB6879"/>
    <w:rsid w:val="00FB68CC"/>
    <w:rsid w:val="00FB6A09"/>
    <w:rsid w:val="00FB6BF9"/>
    <w:rsid w:val="00FB6D64"/>
    <w:rsid w:val="00FB6DFC"/>
    <w:rsid w:val="00FB6EA5"/>
    <w:rsid w:val="00FB6F23"/>
    <w:rsid w:val="00FB70E6"/>
    <w:rsid w:val="00FB721D"/>
    <w:rsid w:val="00FB74E1"/>
    <w:rsid w:val="00FB7560"/>
    <w:rsid w:val="00FB7633"/>
    <w:rsid w:val="00FB7715"/>
    <w:rsid w:val="00FB79A0"/>
    <w:rsid w:val="00FB79C4"/>
    <w:rsid w:val="00FB7B3F"/>
    <w:rsid w:val="00FB7C7E"/>
    <w:rsid w:val="00FC000A"/>
    <w:rsid w:val="00FC010D"/>
    <w:rsid w:val="00FC0141"/>
    <w:rsid w:val="00FC017F"/>
    <w:rsid w:val="00FC02EC"/>
    <w:rsid w:val="00FC0391"/>
    <w:rsid w:val="00FC059D"/>
    <w:rsid w:val="00FC0601"/>
    <w:rsid w:val="00FC067A"/>
    <w:rsid w:val="00FC0705"/>
    <w:rsid w:val="00FC07C0"/>
    <w:rsid w:val="00FC07C3"/>
    <w:rsid w:val="00FC0898"/>
    <w:rsid w:val="00FC08FD"/>
    <w:rsid w:val="00FC0986"/>
    <w:rsid w:val="00FC0AF8"/>
    <w:rsid w:val="00FC0CB6"/>
    <w:rsid w:val="00FC0DE2"/>
    <w:rsid w:val="00FC0E64"/>
    <w:rsid w:val="00FC0F08"/>
    <w:rsid w:val="00FC0F62"/>
    <w:rsid w:val="00FC0FAD"/>
    <w:rsid w:val="00FC0FEC"/>
    <w:rsid w:val="00FC106F"/>
    <w:rsid w:val="00FC1175"/>
    <w:rsid w:val="00FC122D"/>
    <w:rsid w:val="00FC1295"/>
    <w:rsid w:val="00FC12A7"/>
    <w:rsid w:val="00FC12F6"/>
    <w:rsid w:val="00FC17B9"/>
    <w:rsid w:val="00FC19C3"/>
    <w:rsid w:val="00FC19E7"/>
    <w:rsid w:val="00FC1A1F"/>
    <w:rsid w:val="00FC1A4A"/>
    <w:rsid w:val="00FC1AB2"/>
    <w:rsid w:val="00FC1ADA"/>
    <w:rsid w:val="00FC1AE7"/>
    <w:rsid w:val="00FC1C85"/>
    <w:rsid w:val="00FC1C92"/>
    <w:rsid w:val="00FC1D43"/>
    <w:rsid w:val="00FC1DDF"/>
    <w:rsid w:val="00FC1E28"/>
    <w:rsid w:val="00FC1EF9"/>
    <w:rsid w:val="00FC1F2A"/>
    <w:rsid w:val="00FC1F3B"/>
    <w:rsid w:val="00FC1F56"/>
    <w:rsid w:val="00FC1FC9"/>
    <w:rsid w:val="00FC21C5"/>
    <w:rsid w:val="00FC225F"/>
    <w:rsid w:val="00FC2353"/>
    <w:rsid w:val="00FC23C4"/>
    <w:rsid w:val="00FC23ED"/>
    <w:rsid w:val="00FC2408"/>
    <w:rsid w:val="00FC25D9"/>
    <w:rsid w:val="00FC2618"/>
    <w:rsid w:val="00FC26A1"/>
    <w:rsid w:val="00FC272A"/>
    <w:rsid w:val="00FC281B"/>
    <w:rsid w:val="00FC29FE"/>
    <w:rsid w:val="00FC2A63"/>
    <w:rsid w:val="00FC2ABA"/>
    <w:rsid w:val="00FC2AED"/>
    <w:rsid w:val="00FC2B27"/>
    <w:rsid w:val="00FC2B9D"/>
    <w:rsid w:val="00FC2D99"/>
    <w:rsid w:val="00FC2E82"/>
    <w:rsid w:val="00FC2FDD"/>
    <w:rsid w:val="00FC3001"/>
    <w:rsid w:val="00FC30CF"/>
    <w:rsid w:val="00FC30DE"/>
    <w:rsid w:val="00FC3145"/>
    <w:rsid w:val="00FC3347"/>
    <w:rsid w:val="00FC339B"/>
    <w:rsid w:val="00FC3404"/>
    <w:rsid w:val="00FC358A"/>
    <w:rsid w:val="00FC360C"/>
    <w:rsid w:val="00FC377B"/>
    <w:rsid w:val="00FC37D5"/>
    <w:rsid w:val="00FC38D7"/>
    <w:rsid w:val="00FC390C"/>
    <w:rsid w:val="00FC3932"/>
    <w:rsid w:val="00FC3A61"/>
    <w:rsid w:val="00FC3B95"/>
    <w:rsid w:val="00FC3CA1"/>
    <w:rsid w:val="00FC3DE6"/>
    <w:rsid w:val="00FC3DEC"/>
    <w:rsid w:val="00FC3F24"/>
    <w:rsid w:val="00FC4089"/>
    <w:rsid w:val="00FC40A0"/>
    <w:rsid w:val="00FC4134"/>
    <w:rsid w:val="00FC4229"/>
    <w:rsid w:val="00FC440B"/>
    <w:rsid w:val="00FC443A"/>
    <w:rsid w:val="00FC4569"/>
    <w:rsid w:val="00FC4637"/>
    <w:rsid w:val="00FC4678"/>
    <w:rsid w:val="00FC46CC"/>
    <w:rsid w:val="00FC4745"/>
    <w:rsid w:val="00FC49A4"/>
    <w:rsid w:val="00FC4A2F"/>
    <w:rsid w:val="00FC4ABE"/>
    <w:rsid w:val="00FC4AD8"/>
    <w:rsid w:val="00FC4B47"/>
    <w:rsid w:val="00FC4E02"/>
    <w:rsid w:val="00FC4E53"/>
    <w:rsid w:val="00FC4F65"/>
    <w:rsid w:val="00FC4F9B"/>
    <w:rsid w:val="00FC517C"/>
    <w:rsid w:val="00FC51B1"/>
    <w:rsid w:val="00FC5272"/>
    <w:rsid w:val="00FC52D7"/>
    <w:rsid w:val="00FC53C9"/>
    <w:rsid w:val="00FC53F9"/>
    <w:rsid w:val="00FC5716"/>
    <w:rsid w:val="00FC583A"/>
    <w:rsid w:val="00FC584C"/>
    <w:rsid w:val="00FC58DB"/>
    <w:rsid w:val="00FC5909"/>
    <w:rsid w:val="00FC59FE"/>
    <w:rsid w:val="00FC5C85"/>
    <w:rsid w:val="00FC5D1F"/>
    <w:rsid w:val="00FC5D49"/>
    <w:rsid w:val="00FC5F70"/>
    <w:rsid w:val="00FC5F84"/>
    <w:rsid w:val="00FC6010"/>
    <w:rsid w:val="00FC609D"/>
    <w:rsid w:val="00FC60BE"/>
    <w:rsid w:val="00FC62DB"/>
    <w:rsid w:val="00FC63C0"/>
    <w:rsid w:val="00FC6406"/>
    <w:rsid w:val="00FC6519"/>
    <w:rsid w:val="00FC6652"/>
    <w:rsid w:val="00FC66E8"/>
    <w:rsid w:val="00FC6A9E"/>
    <w:rsid w:val="00FC6B64"/>
    <w:rsid w:val="00FC6B7C"/>
    <w:rsid w:val="00FC6B87"/>
    <w:rsid w:val="00FC6B9F"/>
    <w:rsid w:val="00FC6DB1"/>
    <w:rsid w:val="00FC6DE3"/>
    <w:rsid w:val="00FC6F11"/>
    <w:rsid w:val="00FC6F35"/>
    <w:rsid w:val="00FC6F8C"/>
    <w:rsid w:val="00FC6F96"/>
    <w:rsid w:val="00FC7046"/>
    <w:rsid w:val="00FC7083"/>
    <w:rsid w:val="00FC7156"/>
    <w:rsid w:val="00FC7220"/>
    <w:rsid w:val="00FC726A"/>
    <w:rsid w:val="00FC7279"/>
    <w:rsid w:val="00FC7315"/>
    <w:rsid w:val="00FC7510"/>
    <w:rsid w:val="00FC7583"/>
    <w:rsid w:val="00FC7603"/>
    <w:rsid w:val="00FC7635"/>
    <w:rsid w:val="00FC767D"/>
    <w:rsid w:val="00FC7747"/>
    <w:rsid w:val="00FC78B5"/>
    <w:rsid w:val="00FC7BF8"/>
    <w:rsid w:val="00FC7CAA"/>
    <w:rsid w:val="00FC7E38"/>
    <w:rsid w:val="00FC7EE5"/>
    <w:rsid w:val="00FC7F64"/>
    <w:rsid w:val="00FD00D0"/>
    <w:rsid w:val="00FD0161"/>
    <w:rsid w:val="00FD0283"/>
    <w:rsid w:val="00FD0656"/>
    <w:rsid w:val="00FD0810"/>
    <w:rsid w:val="00FD0821"/>
    <w:rsid w:val="00FD0950"/>
    <w:rsid w:val="00FD09EB"/>
    <w:rsid w:val="00FD0AC3"/>
    <w:rsid w:val="00FD0BE5"/>
    <w:rsid w:val="00FD0DBA"/>
    <w:rsid w:val="00FD0F0F"/>
    <w:rsid w:val="00FD0F3C"/>
    <w:rsid w:val="00FD0F75"/>
    <w:rsid w:val="00FD0F9B"/>
    <w:rsid w:val="00FD0F9F"/>
    <w:rsid w:val="00FD0FD0"/>
    <w:rsid w:val="00FD107D"/>
    <w:rsid w:val="00FD10AA"/>
    <w:rsid w:val="00FD1337"/>
    <w:rsid w:val="00FD13DD"/>
    <w:rsid w:val="00FD13E2"/>
    <w:rsid w:val="00FD142F"/>
    <w:rsid w:val="00FD14AC"/>
    <w:rsid w:val="00FD14DC"/>
    <w:rsid w:val="00FD1543"/>
    <w:rsid w:val="00FD1655"/>
    <w:rsid w:val="00FD1729"/>
    <w:rsid w:val="00FD17E0"/>
    <w:rsid w:val="00FD1916"/>
    <w:rsid w:val="00FD196C"/>
    <w:rsid w:val="00FD19E6"/>
    <w:rsid w:val="00FD1A5C"/>
    <w:rsid w:val="00FD1B6C"/>
    <w:rsid w:val="00FD1BC8"/>
    <w:rsid w:val="00FD1C9A"/>
    <w:rsid w:val="00FD1CC8"/>
    <w:rsid w:val="00FD1D47"/>
    <w:rsid w:val="00FD1EBA"/>
    <w:rsid w:val="00FD1F80"/>
    <w:rsid w:val="00FD1F87"/>
    <w:rsid w:val="00FD2057"/>
    <w:rsid w:val="00FD2137"/>
    <w:rsid w:val="00FD2142"/>
    <w:rsid w:val="00FD2205"/>
    <w:rsid w:val="00FD251A"/>
    <w:rsid w:val="00FD25C8"/>
    <w:rsid w:val="00FD277B"/>
    <w:rsid w:val="00FD29E6"/>
    <w:rsid w:val="00FD2A56"/>
    <w:rsid w:val="00FD2AE6"/>
    <w:rsid w:val="00FD2BC0"/>
    <w:rsid w:val="00FD2C6D"/>
    <w:rsid w:val="00FD2CEB"/>
    <w:rsid w:val="00FD2D58"/>
    <w:rsid w:val="00FD2D99"/>
    <w:rsid w:val="00FD2EEB"/>
    <w:rsid w:val="00FD32D1"/>
    <w:rsid w:val="00FD3497"/>
    <w:rsid w:val="00FD3525"/>
    <w:rsid w:val="00FD35D3"/>
    <w:rsid w:val="00FD36E5"/>
    <w:rsid w:val="00FD3772"/>
    <w:rsid w:val="00FD39BE"/>
    <w:rsid w:val="00FD3B98"/>
    <w:rsid w:val="00FD3C7D"/>
    <w:rsid w:val="00FD3D8C"/>
    <w:rsid w:val="00FD3EFE"/>
    <w:rsid w:val="00FD3F8F"/>
    <w:rsid w:val="00FD3FC1"/>
    <w:rsid w:val="00FD4077"/>
    <w:rsid w:val="00FD42ED"/>
    <w:rsid w:val="00FD437C"/>
    <w:rsid w:val="00FD43B0"/>
    <w:rsid w:val="00FD4708"/>
    <w:rsid w:val="00FD47CE"/>
    <w:rsid w:val="00FD483F"/>
    <w:rsid w:val="00FD49B9"/>
    <w:rsid w:val="00FD4A8B"/>
    <w:rsid w:val="00FD4AD1"/>
    <w:rsid w:val="00FD4B35"/>
    <w:rsid w:val="00FD4BB6"/>
    <w:rsid w:val="00FD4C96"/>
    <w:rsid w:val="00FD4CC4"/>
    <w:rsid w:val="00FD4D3A"/>
    <w:rsid w:val="00FD4E31"/>
    <w:rsid w:val="00FD4E87"/>
    <w:rsid w:val="00FD4F7F"/>
    <w:rsid w:val="00FD4F95"/>
    <w:rsid w:val="00FD5141"/>
    <w:rsid w:val="00FD519A"/>
    <w:rsid w:val="00FD5251"/>
    <w:rsid w:val="00FD52CB"/>
    <w:rsid w:val="00FD547F"/>
    <w:rsid w:val="00FD56F8"/>
    <w:rsid w:val="00FD5811"/>
    <w:rsid w:val="00FD58E8"/>
    <w:rsid w:val="00FD591A"/>
    <w:rsid w:val="00FD5932"/>
    <w:rsid w:val="00FD5A3D"/>
    <w:rsid w:val="00FD5A83"/>
    <w:rsid w:val="00FD5B13"/>
    <w:rsid w:val="00FD5B15"/>
    <w:rsid w:val="00FD5B2B"/>
    <w:rsid w:val="00FD5DC3"/>
    <w:rsid w:val="00FD62A8"/>
    <w:rsid w:val="00FD6587"/>
    <w:rsid w:val="00FD658C"/>
    <w:rsid w:val="00FD65F0"/>
    <w:rsid w:val="00FD664A"/>
    <w:rsid w:val="00FD671B"/>
    <w:rsid w:val="00FD69B2"/>
    <w:rsid w:val="00FD6A57"/>
    <w:rsid w:val="00FD6AF3"/>
    <w:rsid w:val="00FD6B3D"/>
    <w:rsid w:val="00FD6B8D"/>
    <w:rsid w:val="00FD6C4D"/>
    <w:rsid w:val="00FD6CA2"/>
    <w:rsid w:val="00FD6FDF"/>
    <w:rsid w:val="00FD7007"/>
    <w:rsid w:val="00FD7021"/>
    <w:rsid w:val="00FD709F"/>
    <w:rsid w:val="00FD71BF"/>
    <w:rsid w:val="00FD7312"/>
    <w:rsid w:val="00FD7337"/>
    <w:rsid w:val="00FD743E"/>
    <w:rsid w:val="00FD7624"/>
    <w:rsid w:val="00FD76A5"/>
    <w:rsid w:val="00FD78B2"/>
    <w:rsid w:val="00FD78BC"/>
    <w:rsid w:val="00FD79EA"/>
    <w:rsid w:val="00FD7AA9"/>
    <w:rsid w:val="00FD7B29"/>
    <w:rsid w:val="00FD7BA7"/>
    <w:rsid w:val="00FD7C78"/>
    <w:rsid w:val="00FD7CFA"/>
    <w:rsid w:val="00FE0040"/>
    <w:rsid w:val="00FE00F8"/>
    <w:rsid w:val="00FE01E7"/>
    <w:rsid w:val="00FE0335"/>
    <w:rsid w:val="00FE066A"/>
    <w:rsid w:val="00FE0706"/>
    <w:rsid w:val="00FE0871"/>
    <w:rsid w:val="00FE0887"/>
    <w:rsid w:val="00FE0A09"/>
    <w:rsid w:val="00FE0BBE"/>
    <w:rsid w:val="00FE0C2B"/>
    <w:rsid w:val="00FE0CE6"/>
    <w:rsid w:val="00FE0D07"/>
    <w:rsid w:val="00FE0DE8"/>
    <w:rsid w:val="00FE0E23"/>
    <w:rsid w:val="00FE0E50"/>
    <w:rsid w:val="00FE0E54"/>
    <w:rsid w:val="00FE0FD7"/>
    <w:rsid w:val="00FE100E"/>
    <w:rsid w:val="00FE1065"/>
    <w:rsid w:val="00FE137C"/>
    <w:rsid w:val="00FE1392"/>
    <w:rsid w:val="00FE13DE"/>
    <w:rsid w:val="00FE145D"/>
    <w:rsid w:val="00FE14D5"/>
    <w:rsid w:val="00FE1532"/>
    <w:rsid w:val="00FE155F"/>
    <w:rsid w:val="00FE16DA"/>
    <w:rsid w:val="00FE1701"/>
    <w:rsid w:val="00FE17ED"/>
    <w:rsid w:val="00FE186C"/>
    <w:rsid w:val="00FE1A0E"/>
    <w:rsid w:val="00FE1ABA"/>
    <w:rsid w:val="00FE1C11"/>
    <w:rsid w:val="00FE1EB3"/>
    <w:rsid w:val="00FE1F96"/>
    <w:rsid w:val="00FE1F9F"/>
    <w:rsid w:val="00FE2219"/>
    <w:rsid w:val="00FE22BB"/>
    <w:rsid w:val="00FE23CE"/>
    <w:rsid w:val="00FE2424"/>
    <w:rsid w:val="00FE24CA"/>
    <w:rsid w:val="00FE24F2"/>
    <w:rsid w:val="00FE2578"/>
    <w:rsid w:val="00FE26EE"/>
    <w:rsid w:val="00FE26FD"/>
    <w:rsid w:val="00FE2749"/>
    <w:rsid w:val="00FE274C"/>
    <w:rsid w:val="00FE27C0"/>
    <w:rsid w:val="00FE27DB"/>
    <w:rsid w:val="00FE2803"/>
    <w:rsid w:val="00FE28B2"/>
    <w:rsid w:val="00FE2B04"/>
    <w:rsid w:val="00FE2C42"/>
    <w:rsid w:val="00FE2D17"/>
    <w:rsid w:val="00FE2D8D"/>
    <w:rsid w:val="00FE2DD2"/>
    <w:rsid w:val="00FE2DE0"/>
    <w:rsid w:val="00FE2FB9"/>
    <w:rsid w:val="00FE316E"/>
    <w:rsid w:val="00FE334F"/>
    <w:rsid w:val="00FE343B"/>
    <w:rsid w:val="00FE3442"/>
    <w:rsid w:val="00FE346E"/>
    <w:rsid w:val="00FE35BF"/>
    <w:rsid w:val="00FE3623"/>
    <w:rsid w:val="00FE3657"/>
    <w:rsid w:val="00FE389B"/>
    <w:rsid w:val="00FE38F3"/>
    <w:rsid w:val="00FE3CA4"/>
    <w:rsid w:val="00FE3CDA"/>
    <w:rsid w:val="00FE3D5D"/>
    <w:rsid w:val="00FE3E4A"/>
    <w:rsid w:val="00FE3EAB"/>
    <w:rsid w:val="00FE3F1E"/>
    <w:rsid w:val="00FE3FA6"/>
    <w:rsid w:val="00FE400C"/>
    <w:rsid w:val="00FE4413"/>
    <w:rsid w:val="00FE443A"/>
    <w:rsid w:val="00FE4638"/>
    <w:rsid w:val="00FE4688"/>
    <w:rsid w:val="00FE4792"/>
    <w:rsid w:val="00FE48DA"/>
    <w:rsid w:val="00FE4989"/>
    <w:rsid w:val="00FE4A23"/>
    <w:rsid w:val="00FE4A66"/>
    <w:rsid w:val="00FE4A93"/>
    <w:rsid w:val="00FE4BAB"/>
    <w:rsid w:val="00FE4D51"/>
    <w:rsid w:val="00FE4DD1"/>
    <w:rsid w:val="00FE4E59"/>
    <w:rsid w:val="00FE4F4E"/>
    <w:rsid w:val="00FE4F76"/>
    <w:rsid w:val="00FE4F7E"/>
    <w:rsid w:val="00FE4F8D"/>
    <w:rsid w:val="00FE4F9B"/>
    <w:rsid w:val="00FE5014"/>
    <w:rsid w:val="00FE50C5"/>
    <w:rsid w:val="00FE5340"/>
    <w:rsid w:val="00FE55C9"/>
    <w:rsid w:val="00FE56A9"/>
    <w:rsid w:val="00FE5804"/>
    <w:rsid w:val="00FE5858"/>
    <w:rsid w:val="00FE5922"/>
    <w:rsid w:val="00FE5AC8"/>
    <w:rsid w:val="00FE5B5F"/>
    <w:rsid w:val="00FE5C4E"/>
    <w:rsid w:val="00FE5C54"/>
    <w:rsid w:val="00FE5CB3"/>
    <w:rsid w:val="00FE5CBA"/>
    <w:rsid w:val="00FE608E"/>
    <w:rsid w:val="00FE609C"/>
    <w:rsid w:val="00FE60CB"/>
    <w:rsid w:val="00FE611B"/>
    <w:rsid w:val="00FE625A"/>
    <w:rsid w:val="00FE62EE"/>
    <w:rsid w:val="00FE63B7"/>
    <w:rsid w:val="00FE6553"/>
    <w:rsid w:val="00FE6581"/>
    <w:rsid w:val="00FE6592"/>
    <w:rsid w:val="00FE666C"/>
    <w:rsid w:val="00FE66D9"/>
    <w:rsid w:val="00FE6767"/>
    <w:rsid w:val="00FE6776"/>
    <w:rsid w:val="00FE68E4"/>
    <w:rsid w:val="00FE6CF2"/>
    <w:rsid w:val="00FE6DF1"/>
    <w:rsid w:val="00FE6EF2"/>
    <w:rsid w:val="00FE6FC1"/>
    <w:rsid w:val="00FE7076"/>
    <w:rsid w:val="00FE708C"/>
    <w:rsid w:val="00FE715D"/>
    <w:rsid w:val="00FE7161"/>
    <w:rsid w:val="00FE71B0"/>
    <w:rsid w:val="00FE72B5"/>
    <w:rsid w:val="00FE72E6"/>
    <w:rsid w:val="00FE7322"/>
    <w:rsid w:val="00FE73A8"/>
    <w:rsid w:val="00FE7406"/>
    <w:rsid w:val="00FE76A2"/>
    <w:rsid w:val="00FE798A"/>
    <w:rsid w:val="00FE7BF7"/>
    <w:rsid w:val="00FE7ECE"/>
    <w:rsid w:val="00FE7EE4"/>
    <w:rsid w:val="00FE7F53"/>
    <w:rsid w:val="00FF0027"/>
    <w:rsid w:val="00FF004F"/>
    <w:rsid w:val="00FF0263"/>
    <w:rsid w:val="00FF059A"/>
    <w:rsid w:val="00FF05AD"/>
    <w:rsid w:val="00FF0662"/>
    <w:rsid w:val="00FF0666"/>
    <w:rsid w:val="00FF0722"/>
    <w:rsid w:val="00FF0879"/>
    <w:rsid w:val="00FF0931"/>
    <w:rsid w:val="00FF093C"/>
    <w:rsid w:val="00FF096E"/>
    <w:rsid w:val="00FF09FB"/>
    <w:rsid w:val="00FF0A7C"/>
    <w:rsid w:val="00FF0B3D"/>
    <w:rsid w:val="00FF0C57"/>
    <w:rsid w:val="00FF0CA8"/>
    <w:rsid w:val="00FF0CB3"/>
    <w:rsid w:val="00FF0DFC"/>
    <w:rsid w:val="00FF0E51"/>
    <w:rsid w:val="00FF0F99"/>
    <w:rsid w:val="00FF1121"/>
    <w:rsid w:val="00FF11EA"/>
    <w:rsid w:val="00FF135C"/>
    <w:rsid w:val="00FF13F7"/>
    <w:rsid w:val="00FF1484"/>
    <w:rsid w:val="00FF1494"/>
    <w:rsid w:val="00FF152C"/>
    <w:rsid w:val="00FF164C"/>
    <w:rsid w:val="00FF178C"/>
    <w:rsid w:val="00FF18B1"/>
    <w:rsid w:val="00FF18FB"/>
    <w:rsid w:val="00FF19CE"/>
    <w:rsid w:val="00FF19E4"/>
    <w:rsid w:val="00FF1A4D"/>
    <w:rsid w:val="00FF1B28"/>
    <w:rsid w:val="00FF1B99"/>
    <w:rsid w:val="00FF1BD9"/>
    <w:rsid w:val="00FF1CBC"/>
    <w:rsid w:val="00FF1E25"/>
    <w:rsid w:val="00FF1E27"/>
    <w:rsid w:val="00FF1EDE"/>
    <w:rsid w:val="00FF1F3E"/>
    <w:rsid w:val="00FF1FB5"/>
    <w:rsid w:val="00FF20AB"/>
    <w:rsid w:val="00FF20B5"/>
    <w:rsid w:val="00FF20D1"/>
    <w:rsid w:val="00FF2252"/>
    <w:rsid w:val="00FF23FE"/>
    <w:rsid w:val="00FF258C"/>
    <w:rsid w:val="00FF25B7"/>
    <w:rsid w:val="00FF2688"/>
    <w:rsid w:val="00FF26FA"/>
    <w:rsid w:val="00FF284C"/>
    <w:rsid w:val="00FF2975"/>
    <w:rsid w:val="00FF2B6D"/>
    <w:rsid w:val="00FF2C91"/>
    <w:rsid w:val="00FF2D39"/>
    <w:rsid w:val="00FF2E9F"/>
    <w:rsid w:val="00FF2F55"/>
    <w:rsid w:val="00FF30D8"/>
    <w:rsid w:val="00FF321D"/>
    <w:rsid w:val="00FF3225"/>
    <w:rsid w:val="00FF3347"/>
    <w:rsid w:val="00FF33D8"/>
    <w:rsid w:val="00FF3651"/>
    <w:rsid w:val="00FF367C"/>
    <w:rsid w:val="00FF375B"/>
    <w:rsid w:val="00FF3B9F"/>
    <w:rsid w:val="00FF3CD7"/>
    <w:rsid w:val="00FF3E5E"/>
    <w:rsid w:val="00FF3ED3"/>
    <w:rsid w:val="00FF4028"/>
    <w:rsid w:val="00FF404F"/>
    <w:rsid w:val="00FF407C"/>
    <w:rsid w:val="00FF40D3"/>
    <w:rsid w:val="00FF411C"/>
    <w:rsid w:val="00FF4147"/>
    <w:rsid w:val="00FF41F1"/>
    <w:rsid w:val="00FF424E"/>
    <w:rsid w:val="00FF42E4"/>
    <w:rsid w:val="00FF4329"/>
    <w:rsid w:val="00FF433B"/>
    <w:rsid w:val="00FF4561"/>
    <w:rsid w:val="00FF4819"/>
    <w:rsid w:val="00FF4844"/>
    <w:rsid w:val="00FF485F"/>
    <w:rsid w:val="00FF495A"/>
    <w:rsid w:val="00FF49A8"/>
    <w:rsid w:val="00FF4A00"/>
    <w:rsid w:val="00FF4A0D"/>
    <w:rsid w:val="00FF4A10"/>
    <w:rsid w:val="00FF4A66"/>
    <w:rsid w:val="00FF4B86"/>
    <w:rsid w:val="00FF4C56"/>
    <w:rsid w:val="00FF4D1A"/>
    <w:rsid w:val="00FF4DB9"/>
    <w:rsid w:val="00FF4E54"/>
    <w:rsid w:val="00FF4EB0"/>
    <w:rsid w:val="00FF4EC1"/>
    <w:rsid w:val="00FF4ED3"/>
    <w:rsid w:val="00FF4F7E"/>
    <w:rsid w:val="00FF4F9C"/>
    <w:rsid w:val="00FF50AD"/>
    <w:rsid w:val="00FF5120"/>
    <w:rsid w:val="00FF5143"/>
    <w:rsid w:val="00FF5289"/>
    <w:rsid w:val="00FF542F"/>
    <w:rsid w:val="00FF544E"/>
    <w:rsid w:val="00FF54EB"/>
    <w:rsid w:val="00FF55A2"/>
    <w:rsid w:val="00FF5733"/>
    <w:rsid w:val="00FF582C"/>
    <w:rsid w:val="00FF585F"/>
    <w:rsid w:val="00FF596B"/>
    <w:rsid w:val="00FF5996"/>
    <w:rsid w:val="00FF5998"/>
    <w:rsid w:val="00FF5A34"/>
    <w:rsid w:val="00FF5DD1"/>
    <w:rsid w:val="00FF5E67"/>
    <w:rsid w:val="00FF6019"/>
    <w:rsid w:val="00FF6025"/>
    <w:rsid w:val="00FF616F"/>
    <w:rsid w:val="00FF61D8"/>
    <w:rsid w:val="00FF61F1"/>
    <w:rsid w:val="00FF62FE"/>
    <w:rsid w:val="00FF635D"/>
    <w:rsid w:val="00FF64A8"/>
    <w:rsid w:val="00FF65F0"/>
    <w:rsid w:val="00FF6654"/>
    <w:rsid w:val="00FF6664"/>
    <w:rsid w:val="00FF679A"/>
    <w:rsid w:val="00FF67E8"/>
    <w:rsid w:val="00FF6899"/>
    <w:rsid w:val="00FF68AE"/>
    <w:rsid w:val="00FF6920"/>
    <w:rsid w:val="00FF6984"/>
    <w:rsid w:val="00FF69EC"/>
    <w:rsid w:val="00FF6AAC"/>
    <w:rsid w:val="00FF7177"/>
    <w:rsid w:val="00FF71BA"/>
    <w:rsid w:val="00FF7309"/>
    <w:rsid w:val="00FF7383"/>
    <w:rsid w:val="00FF7389"/>
    <w:rsid w:val="00FF74B5"/>
    <w:rsid w:val="00FF74DA"/>
    <w:rsid w:val="00FF7557"/>
    <w:rsid w:val="00FF7754"/>
    <w:rsid w:val="00FF778A"/>
    <w:rsid w:val="00FF77E9"/>
    <w:rsid w:val="00FF7AB3"/>
    <w:rsid w:val="00FF7BEA"/>
    <w:rsid w:val="00FF7CCC"/>
    <w:rsid w:val="00FF7E90"/>
    <w:rsid w:val="00FF7F3C"/>
    <w:rsid w:val="00FF7F8B"/>
    <w:rsid w:val="01078CB5"/>
    <w:rsid w:val="010D5C49"/>
    <w:rsid w:val="010F90C8"/>
    <w:rsid w:val="011BB2A0"/>
    <w:rsid w:val="013B33F1"/>
    <w:rsid w:val="014091E5"/>
    <w:rsid w:val="0141DC59"/>
    <w:rsid w:val="0141E549"/>
    <w:rsid w:val="01480C67"/>
    <w:rsid w:val="0159AD90"/>
    <w:rsid w:val="017B11A8"/>
    <w:rsid w:val="017C24D5"/>
    <w:rsid w:val="017FFC13"/>
    <w:rsid w:val="01801586"/>
    <w:rsid w:val="01810514"/>
    <w:rsid w:val="0185CA71"/>
    <w:rsid w:val="018653D1"/>
    <w:rsid w:val="0192E93E"/>
    <w:rsid w:val="01A32932"/>
    <w:rsid w:val="01CA29E8"/>
    <w:rsid w:val="01D4E073"/>
    <w:rsid w:val="01E9BD32"/>
    <w:rsid w:val="01EF30A6"/>
    <w:rsid w:val="01F68AC9"/>
    <w:rsid w:val="01F69C30"/>
    <w:rsid w:val="01FB0BFF"/>
    <w:rsid w:val="01FEEDB2"/>
    <w:rsid w:val="02013A08"/>
    <w:rsid w:val="020EEF2B"/>
    <w:rsid w:val="02295239"/>
    <w:rsid w:val="02343C66"/>
    <w:rsid w:val="023C97B2"/>
    <w:rsid w:val="0242FFA6"/>
    <w:rsid w:val="024CB519"/>
    <w:rsid w:val="024E8820"/>
    <w:rsid w:val="02582D9C"/>
    <w:rsid w:val="026D2F3D"/>
    <w:rsid w:val="026D6DDC"/>
    <w:rsid w:val="027782F1"/>
    <w:rsid w:val="02782C9E"/>
    <w:rsid w:val="028B2DDD"/>
    <w:rsid w:val="028FBA45"/>
    <w:rsid w:val="0292EC85"/>
    <w:rsid w:val="02A79F07"/>
    <w:rsid w:val="02AC735D"/>
    <w:rsid w:val="02B53E1B"/>
    <w:rsid w:val="02C3107D"/>
    <w:rsid w:val="02CFB8AF"/>
    <w:rsid w:val="02D2A610"/>
    <w:rsid w:val="02EB27C6"/>
    <w:rsid w:val="02F8F90A"/>
    <w:rsid w:val="03006D60"/>
    <w:rsid w:val="0302F815"/>
    <w:rsid w:val="0303D554"/>
    <w:rsid w:val="03064861"/>
    <w:rsid w:val="03067030"/>
    <w:rsid w:val="03107188"/>
    <w:rsid w:val="032381D6"/>
    <w:rsid w:val="0337427D"/>
    <w:rsid w:val="033A8246"/>
    <w:rsid w:val="034BE746"/>
    <w:rsid w:val="03649DF7"/>
    <w:rsid w:val="037C59FB"/>
    <w:rsid w:val="038C2408"/>
    <w:rsid w:val="038F33A5"/>
    <w:rsid w:val="039B365E"/>
    <w:rsid w:val="039C3BA9"/>
    <w:rsid w:val="03B86745"/>
    <w:rsid w:val="03C18737"/>
    <w:rsid w:val="03CCCB54"/>
    <w:rsid w:val="03CFF797"/>
    <w:rsid w:val="03F72C00"/>
    <w:rsid w:val="03FA9C1F"/>
    <w:rsid w:val="040DCB49"/>
    <w:rsid w:val="041C0491"/>
    <w:rsid w:val="0421D33F"/>
    <w:rsid w:val="043B1436"/>
    <w:rsid w:val="0443ECAD"/>
    <w:rsid w:val="044C56B3"/>
    <w:rsid w:val="0469250F"/>
    <w:rsid w:val="046FA1EA"/>
    <w:rsid w:val="048136DF"/>
    <w:rsid w:val="04818320"/>
    <w:rsid w:val="04871A69"/>
    <w:rsid w:val="048C817D"/>
    <w:rsid w:val="04901467"/>
    <w:rsid w:val="049A3CDD"/>
    <w:rsid w:val="04A0F4E2"/>
    <w:rsid w:val="04B3ADA8"/>
    <w:rsid w:val="04B5A093"/>
    <w:rsid w:val="04BC0476"/>
    <w:rsid w:val="04C05B76"/>
    <w:rsid w:val="04C477D8"/>
    <w:rsid w:val="04C70215"/>
    <w:rsid w:val="04DF4A64"/>
    <w:rsid w:val="04E09CB8"/>
    <w:rsid w:val="04E59D0A"/>
    <w:rsid w:val="04F86B64"/>
    <w:rsid w:val="04F92464"/>
    <w:rsid w:val="05009691"/>
    <w:rsid w:val="050486E3"/>
    <w:rsid w:val="0511E89F"/>
    <w:rsid w:val="0514BC0F"/>
    <w:rsid w:val="05216253"/>
    <w:rsid w:val="05274BDB"/>
    <w:rsid w:val="052906B0"/>
    <w:rsid w:val="052ACD18"/>
    <w:rsid w:val="052D52D0"/>
    <w:rsid w:val="0530AC82"/>
    <w:rsid w:val="0532B9A3"/>
    <w:rsid w:val="054164C4"/>
    <w:rsid w:val="0555F3E9"/>
    <w:rsid w:val="05571A49"/>
    <w:rsid w:val="058FD55A"/>
    <w:rsid w:val="059D22F7"/>
    <w:rsid w:val="059F97DD"/>
    <w:rsid w:val="05A1354B"/>
    <w:rsid w:val="05C518F3"/>
    <w:rsid w:val="05C55E55"/>
    <w:rsid w:val="05DBEFDD"/>
    <w:rsid w:val="05DFBF3F"/>
    <w:rsid w:val="05F75BA5"/>
    <w:rsid w:val="060476CB"/>
    <w:rsid w:val="0606C874"/>
    <w:rsid w:val="0609AFB4"/>
    <w:rsid w:val="0617E33F"/>
    <w:rsid w:val="061C2793"/>
    <w:rsid w:val="062772BE"/>
    <w:rsid w:val="0639898D"/>
    <w:rsid w:val="063E58DA"/>
    <w:rsid w:val="06473BE3"/>
    <w:rsid w:val="06588B6C"/>
    <w:rsid w:val="0660F649"/>
    <w:rsid w:val="066DA335"/>
    <w:rsid w:val="066FDB08"/>
    <w:rsid w:val="0678D631"/>
    <w:rsid w:val="068173B9"/>
    <w:rsid w:val="068C88E8"/>
    <w:rsid w:val="0698D2EA"/>
    <w:rsid w:val="06996D26"/>
    <w:rsid w:val="06A96275"/>
    <w:rsid w:val="06ACBBFE"/>
    <w:rsid w:val="06B62182"/>
    <w:rsid w:val="06B850B1"/>
    <w:rsid w:val="06BCA6CF"/>
    <w:rsid w:val="06BF8948"/>
    <w:rsid w:val="0715E20E"/>
    <w:rsid w:val="071F850F"/>
    <w:rsid w:val="071FCE34"/>
    <w:rsid w:val="07202429"/>
    <w:rsid w:val="072C680D"/>
    <w:rsid w:val="074D9A73"/>
    <w:rsid w:val="07543FD9"/>
    <w:rsid w:val="0754A856"/>
    <w:rsid w:val="075658B8"/>
    <w:rsid w:val="0767EB1D"/>
    <w:rsid w:val="076CF690"/>
    <w:rsid w:val="077DE0E1"/>
    <w:rsid w:val="0785064F"/>
    <w:rsid w:val="0791F576"/>
    <w:rsid w:val="07D377F7"/>
    <w:rsid w:val="07D84D2B"/>
    <w:rsid w:val="07DEF6A0"/>
    <w:rsid w:val="07E7EF6F"/>
    <w:rsid w:val="07E8BEB4"/>
    <w:rsid w:val="07FBAD62"/>
    <w:rsid w:val="0811736F"/>
    <w:rsid w:val="0818C5AE"/>
    <w:rsid w:val="082B0BE0"/>
    <w:rsid w:val="083257DF"/>
    <w:rsid w:val="083C5B18"/>
    <w:rsid w:val="084BF5CF"/>
    <w:rsid w:val="085AB325"/>
    <w:rsid w:val="087BA74A"/>
    <w:rsid w:val="088451AC"/>
    <w:rsid w:val="0889861B"/>
    <w:rsid w:val="08B81B41"/>
    <w:rsid w:val="08C6DE7D"/>
    <w:rsid w:val="08CE91BC"/>
    <w:rsid w:val="08D6F201"/>
    <w:rsid w:val="08F50D85"/>
    <w:rsid w:val="08FE4B8D"/>
    <w:rsid w:val="090E33A0"/>
    <w:rsid w:val="0917F3C5"/>
    <w:rsid w:val="0922A120"/>
    <w:rsid w:val="0922EF87"/>
    <w:rsid w:val="09368329"/>
    <w:rsid w:val="094086FC"/>
    <w:rsid w:val="09453E4E"/>
    <w:rsid w:val="09641C3D"/>
    <w:rsid w:val="097E0786"/>
    <w:rsid w:val="099008F3"/>
    <w:rsid w:val="09AD14EF"/>
    <w:rsid w:val="09D0E691"/>
    <w:rsid w:val="09D64E6C"/>
    <w:rsid w:val="09D8B48F"/>
    <w:rsid w:val="09D9AEDE"/>
    <w:rsid w:val="09E8F12D"/>
    <w:rsid w:val="0A00FBAD"/>
    <w:rsid w:val="0A06CB3E"/>
    <w:rsid w:val="0A0AE58B"/>
    <w:rsid w:val="0A11A895"/>
    <w:rsid w:val="0A219487"/>
    <w:rsid w:val="0A21B369"/>
    <w:rsid w:val="0A254C11"/>
    <w:rsid w:val="0A26D787"/>
    <w:rsid w:val="0A2F31A8"/>
    <w:rsid w:val="0A36F1AD"/>
    <w:rsid w:val="0A3ADB60"/>
    <w:rsid w:val="0A647BE8"/>
    <w:rsid w:val="0A96F5DE"/>
    <w:rsid w:val="0A99A483"/>
    <w:rsid w:val="0A9BAA78"/>
    <w:rsid w:val="0AA26518"/>
    <w:rsid w:val="0AA867FA"/>
    <w:rsid w:val="0AB9A9D2"/>
    <w:rsid w:val="0ABFAB78"/>
    <w:rsid w:val="0AC61A29"/>
    <w:rsid w:val="0ACEC5AB"/>
    <w:rsid w:val="0AD14AF6"/>
    <w:rsid w:val="0AD7BBF5"/>
    <w:rsid w:val="0AE7CC4A"/>
    <w:rsid w:val="0AFF17BD"/>
    <w:rsid w:val="0B009542"/>
    <w:rsid w:val="0B05F956"/>
    <w:rsid w:val="0B0B92D3"/>
    <w:rsid w:val="0B0D42AF"/>
    <w:rsid w:val="0B32C93D"/>
    <w:rsid w:val="0B34F44C"/>
    <w:rsid w:val="0B3B8AA9"/>
    <w:rsid w:val="0B57ACFF"/>
    <w:rsid w:val="0B5DE3B1"/>
    <w:rsid w:val="0B894A80"/>
    <w:rsid w:val="0BD37380"/>
    <w:rsid w:val="0BD4BE1B"/>
    <w:rsid w:val="0BDA6B22"/>
    <w:rsid w:val="0BDCCC7D"/>
    <w:rsid w:val="0BEDEF0F"/>
    <w:rsid w:val="0BFEB264"/>
    <w:rsid w:val="0BFF6DCE"/>
    <w:rsid w:val="0C10B635"/>
    <w:rsid w:val="0C14EFED"/>
    <w:rsid w:val="0C190017"/>
    <w:rsid w:val="0C37C0B9"/>
    <w:rsid w:val="0C451425"/>
    <w:rsid w:val="0C4F983B"/>
    <w:rsid w:val="0C533417"/>
    <w:rsid w:val="0C5EA3AF"/>
    <w:rsid w:val="0C6049EF"/>
    <w:rsid w:val="0C71706F"/>
    <w:rsid w:val="0C808BD5"/>
    <w:rsid w:val="0C84C051"/>
    <w:rsid w:val="0C9A7909"/>
    <w:rsid w:val="0C9D41E1"/>
    <w:rsid w:val="0CA52170"/>
    <w:rsid w:val="0CAB92F6"/>
    <w:rsid w:val="0CB0473D"/>
    <w:rsid w:val="0CB962E2"/>
    <w:rsid w:val="0CC256F5"/>
    <w:rsid w:val="0CCD2462"/>
    <w:rsid w:val="0CE16605"/>
    <w:rsid w:val="0CFE22BC"/>
    <w:rsid w:val="0D2990C1"/>
    <w:rsid w:val="0D318CFC"/>
    <w:rsid w:val="0D42D653"/>
    <w:rsid w:val="0D4DF344"/>
    <w:rsid w:val="0D542D64"/>
    <w:rsid w:val="0D6A4067"/>
    <w:rsid w:val="0D71AF3C"/>
    <w:rsid w:val="0D8BAC47"/>
    <w:rsid w:val="0D97D546"/>
    <w:rsid w:val="0D9FBE7B"/>
    <w:rsid w:val="0DBD17EB"/>
    <w:rsid w:val="0DBE6C3F"/>
    <w:rsid w:val="0DE63F49"/>
    <w:rsid w:val="0DE6BA5C"/>
    <w:rsid w:val="0DF52F8E"/>
    <w:rsid w:val="0DF5B0E8"/>
    <w:rsid w:val="0E119E15"/>
    <w:rsid w:val="0E19CD92"/>
    <w:rsid w:val="0E1A2C86"/>
    <w:rsid w:val="0E31346C"/>
    <w:rsid w:val="0E477E85"/>
    <w:rsid w:val="0E4D414F"/>
    <w:rsid w:val="0E60BBAD"/>
    <w:rsid w:val="0E68E653"/>
    <w:rsid w:val="0E6A3CCA"/>
    <w:rsid w:val="0E732C90"/>
    <w:rsid w:val="0E784F0D"/>
    <w:rsid w:val="0E78E24F"/>
    <w:rsid w:val="0E8529A1"/>
    <w:rsid w:val="0E914453"/>
    <w:rsid w:val="0EABFF52"/>
    <w:rsid w:val="0EAC4B59"/>
    <w:rsid w:val="0EB6E062"/>
    <w:rsid w:val="0ED278AC"/>
    <w:rsid w:val="0ED8CA4B"/>
    <w:rsid w:val="0EEFB9E8"/>
    <w:rsid w:val="0EF1E7EC"/>
    <w:rsid w:val="0F084D42"/>
    <w:rsid w:val="0F1704A6"/>
    <w:rsid w:val="0F219598"/>
    <w:rsid w:val="0F3CCEA1"/>
    <w:rsid w:val="0F82B80A"/>
    <w:rsid w:val="0F830F8C"/>
    <w:rsid w:val="0F840D16"/>
    <w:rsid w:val="0F86A185"/>
    <w:rsid w:val="0FA91545"/>
    <w:rsid w:val="0FAA1299"/>
    <w:rsid w:val="0FB57611"/>
    <w:rsid w:val="0FB5AD70"/>
    <w:rsid w:val="0FBBED04"/>
    <w:rsid w:val="0FC8CB55"/>
    <w:rsid w:val="0FD109F6"/>
    <w:rsid w:val="0FE660E2"/>
    <w:rsid w:val="0FEFC819"/>
    <w:rsid w:val="0FFD72F9"/>
    <w:rsid w:val="0FFE0E65"/>
    <w:rsid w:val="1002062D"/>
    <w:rsid w:val="100ADCF3"/>
    <w:rsid w:val="10224F21"/>
    <w:rsid w:val="103D3A1F"/>
    <w:rsid w:val="10493EC5"/>
    <w:rsid w:val="104AE1D8"/>
    <w:rsid w:val="104BBA55"/>
    <w:rsid w:val="1068B2C5"/>
    <w:rsid w:val="106FDA1F"/>
    <w:rsid w:val="10A2622F"/>
    <w:rsid w:val="10A58AAC"/>
    <w:rsid w:val="10A5CE63"/>
    <w:rsid w:val="10AA0F07"/>
    <w:rsid w:val="10B41951"/>
    <w:rsid w:val="10BA9870"/>
    <w:rsid w:val="10BF76A5"/>
    <w:rsid w:val="10CC55C8"/>
    <w:rsid w:val="10DD7463"/>
    <w:rsid w:val="111BE125"/>
    <w:rsid w:val="11202614"/>
    <w:rsid w:val="112802B1"/>
    <w:rsid w:val="1144A1BF"/>
    <w:rsid w:val="1156B490"/>
    <w:rsid w:val="11733E44"/>
    <w:rsid w:val="1192B82C"/>
    <w:rsid w:val="11965F90"/>
    <w:rsid w:val="1198E8F8"/>
    <w:rsid w:val="11B4E3C7"/>
    <w:rsid w:val="11B759B7"/>
    <w:rsid w:val="11BFB319"/>
    <w:rsid w:val="11CE6639"/>
    <w:rsid w:val="11DF80E4"/>
    <w:rsid w:val="11E3430A"/>
    <w:rsid w:val="11E4B5DE"/>
    <w:rsid w:val="12200868"/>
    <w:rsid w:val="1234CAB9"/>
    <w:rsid w:val="12361BC3"/>
    <w:rsid w:val="123AD47C"/>
    <w:rsid w:val="123D70DF"/>
    <w:rsid w:val="12568B61"/>
    <w:rsid w:val="12586941"/>
    <w:rsid w:val="12722F94"/>
    <w:rsid w:val="1277B98A"/>
    <w:rsid w:val="127E203F"/>
    <w:rsid w:val="127E3D49"/>
    <w:rsid w:val="127E6A75"/>
    <w:rsid w:val="128387AB"/>
    <w:rsid w:val="12876470"/>
    <w:rsid w:val="1287C4A3"/>
    <w:rsid w:val="128FA44C"/>
    <w:rsid w:val="128FC759"/>
    <w:rsid w:val="12958EC8"/>
    <w:rsid w:val="129DC4D7"/>
    <w:rsid w:val="12A2E1BE"/>
    <w:rsid w:val="12C7A15A"/>
    <w:rsid w:val="12CB7C13"/>
    <w:rsid w:val="12D76456"/>
    <w:rsid w:val="12E571AE"/>
    <w:rsid w:val="12F5EE2A"/>
    <w:rsid w:val="12FAB533"/>
    <w:rsid w:val="130922EE"/>
    <w:rsid w:val="131E852C"/>
    <w:rsid w:val="133AFC01"/>
    <w:rsid w:val="13421F89"/>
    <w:rsid w:val="1346AE9C"/>
    <w:rsid w:val="136B9475"/>
    <w:rsid w:val="136DD894"/>
    <w:rsid w:val="1376EDC1"/>
    <w:rsid w:val="13859F30"/>
    <w:rsid w:val="139DA566"/>
    <w:rsid w:val="13C7A0C7"/>
    <w:rsid w:val="13E9B604"/>
    <w:rsid w:val="140E23C9"/>
    <w:rsid w:val="142A41B9"/>
    <w:rsid w:val="142ABEBF"/>
    <w:rsid w:val="143C0943"/>
    <w:rsid w:val="1440C432"/>
    <w:rsid w:val="145AC2DE"/>
    <w:rsid w:val="145C351B"/>
    <w:rsid w:val="1469B9E8"/>
    <w:rsid w:val="147E4042"/>
    <w:rsid w:val="1484E2DC"/>
    <w:rsid w:val="149F5646"/>
    <w:rsid w:val="14BF78EF"/>
    <w:rsid w:val="14D6DF59"/>
    <w:rsid w:val="14DCEC76"/>
    <w:rsid w:val="14E0CCB9"/>
    <w:rsid w:val="14E1CAE2"/>
    <w:rsid w:val="14EC52B3"/>
    <w:rsid w:val="150760BD"/>
    <w:rsid w:val="150A4C0D"/>
    <w:rsid w:val="151C64D2"/>
    <w:rsid w:val="152C4F0F"/>
    <w:rsid w:val="1579EE7C"/>
    <w:rsid w:val="15824E1F"/>
    <w:rsid w:val="15AC1025"/>
    <w:rsid w:val="15CD4141"/>
    <w:rsid w:val="15D14FB8"/>
    <w:rsid w:val="15F0EFF3"/>
    <w:rsid w:val="15F407D0"/>
    <w:rsid w:val="161FB49C"/>
    <w:rsid w:val="162395A1"/>
    <w:rsid w:val="1634714A"/>
    <w:rsid w:val="163A8EE3"/>
    <w:rsid w:val="163FFABE"/>
    <w:rsid w:val="164421F6"/>
    <w:rsid w:val="1649BDFF"/>
    <w:rsid w:val="164D413A"/>
    <w:rsid w:val="16560B95"/>
    <w:rsid w:val="1664D0E8"/>
    <w:rsid w:val="166B2AFE"/>
    <w:rsid w:val="1672868C"/>
    <w:rsid w:val="167B0FFE"/>
    <w:rsid w:val="1690B547"/>
    <w:rsid w:val="169948E5"/>
    <w:rsid w:val="16C94AEF"/>
    <w:rsid w:val="16C96112"/>
    <w:rsid w:val="16D8FC79"/>
    <w:rsid w:val="16D900E6"/>
    <w:rsid w:val="16DDAAD1"/>
    <w:rsid w:val="16E9A721"/>
    <w:rsid w:val="16F20D59"/>
    <w:rsid w:val="16FA7C2C"/>
    <w:rsid w:val="17059DF5"/>
    <w:rsid w:val="170E25F9"/>
    <w:rsid w:val="17145B46"/>
    <w:rsid w:val="173B044D"/>
    <w:rsid w:val="1742FF4F"/>
    <w:rsid w:val="174F2C1D"/>
    <w:rsid w:val="175415F2"/>
    <w:rsid w:val="175FD348"/>
    <w:rsid w:val="1776D8ED"/>
    <w:rsid w:val="178D8046"/>
    <w:rsid w:val="179A9070"/>
    <w:rsid w:val="17B005CB"/>
    <w:rsid w:val="17BBB1F7"/>
    <w:rsid w:val="17BE53EE"/>
    <w:rsid w:val="17C6595B"/>
    <w:rsid w:val="17D14D84"/>
    <w:rsid w:val="17D4A68B"/>
    <w:rsid w:val="17E0C2BA"/>
    <w:rsid w:val="1804F39B"/>
    <w:rsid w:val="180F256C"/>
    <w:rsid w:val="181A6C29"/>
    <w:rsid w:val="181D36C5"/>
    <w:rsid w:val="181F931E"/>
    <w:rsid w:val="182C0C83"/>
    <w:rsid w:val="18317624"/>
    <w:rsid w:val="183B8403"/>
    <w:rsid w:val="18475EF4"/>
    <w:rsid w:val="1847CCE3"/>
    <w:rsid w:val="1868BC18"/>
    <w:rsid w:val="188E7992"/>
    <w:rsid w:val="1890DA59"/>
    <w:rsid w:val="189812F5"/>
    <w:rsid w:val="189E8314"/>
    <w:rsid w:val="18AF9B80"/>
    <w:rsid w:val="18AFAC5C"/>
    <w:rsid w:val="18B26971"/>
    <w:rsid w:val="18B95769"/>
    <w:rsid w:val="18BFE039"/>
    <w:rsid w:val="18C16E98"/>
    <w:rsid w:val="18CA888A"/>
    <w:rsid w:val="18D6133E"/>
    <w:rsid w:val="18D86DF9"/>
    <w:rsid w:val="18E3B0E7"/>
    <w:rsid w:val="18F5C760"/>
    <w:rsid w:val="18FC2A07"/>
    <w:rsid w:val="1900465B"/>
    <w:rsid w:val="190952C5"/>
    <w:rsid w:val="190D933E"/>
    <w:rsid w:val="192A8977"/>
    <w:rsid w:val="193CC664"/>
    <w:rsid w:val="193CE84F"/>
    <w:rsid w:val="1943DF7F"/>
    <w:rsid w:val="19916493"/>
    <w:rsid w:val="1995F0BD"/>
    <w:rsid w:val="199AE5B0"/>
    <w:rsid w:val="19AFE268"/>
    <w:rsid w:val="19B24363"/>
    <w:rsid w:val="19BD1CC3"/>
    <w:rsid w:val="19C90014"/>
    <w:rsid w:val="19E0D270"/>
    <w:rsid w:val="19F6982F"/>
    <w:rsid w:val="1A0684A6"/>
    <w:rsid w:val="1A0CD236"/>
    <w:rsid w:val="1A11D8CD"/>
    <w:rsid w:val="1A2FD539"/>
    <w:rsid w:val="1A3BEECD"/>
    <w:rsid w:val="1A3EAF0E"/>
    <w:rsid w:val="1A40F3C1"/>
    <w:rsid w:val="1A499CFD"/>
    <w:rsid w:val="1A5BB845"/>
    <w:rsid w:val="1A680415"/>
    <w:rsid w:val="1A69256B"/>
    <w:rsid w:val="1A6BA66C"/>
    <w:rsid w:val="1A883C23"/>
    <w:rsid w:val="1AA4CD12"/>
    <w:rsid w:val="1AB764B4"/>
    <w:rsid w:val="1AC48308"/>
    <w:rsid w:val="1AD381F1"/>
    <w:rsid w:val="1ADC1BF8"/>
    <w:rsid w:val="1AFAA7CC"/>
    <w:rsid w:val="1B150281"/>
    <w:rsid w:val="1B17BE20"/>
    <w:rsid w:val="1B1BEF88"/>
    <w:rsid w:val="1B1EB005"/>
    <w:rsid w:val="1B21362F"/>
    <w:rsid w:val="1B317904"/>
    <w:rsid w:val="1B40E401"/>
    <w:rsid w:val="1B44C21D"/>
    <w:rsid w:val="1B453440"/>
    <w:rsid w:val="1B6D259D"/>
    <w:rsid w:val="1B75753A"/>
    <w:rsid w:val="1B96B051"/>
    <w:rsid w:val="1BBA0DB5"/>
    <w:rsid w:val="1BC3F910"/>
    <w:rsid w:val="1BC6164B"/>
    <w:rsid w:val="1C0EECAF"/>
    <w:rsid w:val="1C1A3951"/>
    <w:rsid w:val="1C20A7ED"/>
    <w:rsid w:val="1C236BF4"/>
    <w:rsid w:val="1C31FFED"/>
    <w:rsid w:val="1C336D0A"/>
    <w:rsid w:val="1C366587"/>
    <w:rsid w:val="1C3C68F7"/>
    <w:rsid w:val="1C4A4C6B"/>
    <w:rsid w:val="1C55A423"/>
    <w:rsid w:val="1C5779C1"/>
    <w:rsid w:val="1C5A901A"/>
    <w:rsid w:val="1C6BD379"/>
    <w:rsid w:val="1C7DCFB6"/>
    <w:rsid w:val="1C82E071"/>
    <w:rsid w:val="1CB91EE5"/>
    <w:rsid w:val="1CC2B0AB"/>
    <w:rsid w:val="1CD5415C"/>
    <w:rsid w:val="1CDC3965"/>
    <w:rsid w:val="1CDD796B"/>
    <w:rsid w:val="1CE6EB72"/>
    <w:rsid w:val="1CEFCE42"/>
    <w:rsid w:val="1CF69D76"/>
    <w:rsid w:val="1CF7476F"/>
    <w:rsid w:val="1D0CD174"/>
    <w:rsid w:val="1D0FF482"/>
    <w:rsid w:val="1D1D74E9"/>
    <w:rsid w:val="1D40CE7E"/>
    <w:rsid w:val="1D424FD4"/>
    <w:rsid w:val="1D445FFB"/>
    <w:rsid w:val="1D4CEC55"/>
    <w:rsid w:val="1D5624F9"/>
    <w:rsid w:val="1D59472B"/>
    <w:rsid w:val="1D5FCB4D"/>
    <w:rsid w:val="1D6A46B6"/>
    <w:rsid w:val="1D6F4102"/>
    <w:rsid w:val="1D74D705"/>
    <w:rsid w:val="1D7CD544"/>
    <w:rsid w:val="1D7FF0B5"/>
    <w:rsid w:val="1D9BF6AE"/>
    <w:rsid w:val="1DA9CB7D"/>
    <w:rsid w:val="1DB5905B"/>
    <w:rsid w:val="1DB92ABC"/>
    <w:rsid w:val="1DC4B1B5"/>
    <w:rsid w:val="1DD1B3AD"/>
    <w:rsid w:val="1DDBCF60"/>
    <w:rsid w:val="1DDCF01D"/>
    <w:rsid w:val="1DF92FA1"/>
    <w:rsid w:val="1E0D6931"/>
    <w:rsid w:val="1E4E4D16"/>
    <w:rsid w:val="1E50BFA8"/>
    <w:rsid w:val="1E597203"/>
    <w:rsid w:val="1E5F4409"/>
    <w:rsid w:val="1E65F2CE"/>
    <w:rsid w:val="1E6E19C9"/>
    <w:rsid w:val="1E703D5A"/>
    <w:rsid w:val="1E896FD1"/>
    <w:rsid w:val="1E8E09FA"/>
    <w:rsid w:val="1E90CA37"/>
    <w:rsid w:val="1E9BCF27"/>
    <w:rsid w:val="1E9D7A25"/>
    <w:rsid w:val="1EA57FD4"/>
    <w:rsid w:val="1EAA2334"/>
    <w:rsid w:val="1EC153DF"/>
    <w:rsid w:val="1EEA56DE"/>
    <w:rsid w:val="1EEB7E9C"/>
    <w:rsid w:val="1EF7C156"/>
    <w:rsid w:val="1EFE143B"/>
    <w:rsid w:val="1EFEEFBB"/>
    <w:rsid w:val="1F08E1C2"/>
    <w:rsid w:val="1F15D526"/>
    <w:rsid w:val="1F180270"/>
    <w:rsid w:val="1F2B1C28"/>
    <w:rsid w:val="1F3541C1"/>
    <w:rsid w:val="1F3F4171"/>
    <w:rsid w:val="1F50E58B"/>
    <w:rsid w:val="1F5A951D"/>
    <w:rsid w:val="1F6889AE"/>
    <w:rsid w:val="1F7A0A9B"/>
    <w:rsid w:val="1F963F26"/>
    <w:rsid w:val="1FE14E99"/>
    <w:rsid w:val="1FEBB1FC"/>
    <w:rsid w:val="1FF2B727"/>
    <w:rsid w:val="201A2FC8"/>
    <w:rsid w:val="2022F487"/>
    <w:rsid w:val="202A5FA0"/>
    <w:rsid w:val="203E7E3D"/>
    <w:rsid w:val="2041F881"/>
    <w:rsid w:val="204263A3"/>
    <w:rsid w:val="20584460"/>
    <w:rsid w:val="206F2229"/>
    <w:rsid w:val="206FA06D"/>
    <w:rsid w:val="207AC577"/>
    <w:rsid w:val="20851565"/>
    <w:rsid w:val="20856D2C"/>
    <w:rsid w:val="208C9C3A"/>
    <w:rsid w:val="2094A8F8"/>
    <w:rsid w:val="209778AE"/>
    <w:rsid w:val="209D3EDA"/>
    <w:rsid w:val="209F554E"/>
    <w:rsid w:val="20A999A4"/>
    <w:rsid w:val="20AF6B3E"/>
    <w:rsid w:val="20B48C34"/>
    <w:rsid w:val="20B85707"/>
    <w:rsid w:val="20BB08EC"/>
    <w:rsid w:val="20BEA815"/>
    <w:rsid w:val="20C0D817"/>
    <w:rsid w:val="20C5DE6F"/>
    <w:rsid w:val="20C897A3"/>
    <w:rsid w:val="20CAB60E"/>
    <w:rsid w:val="20E161A7"/>
    <w:rsid w:val="20ED91A4"/>
    <w:rsid w:val="211FB5CC"/>
    <w:rsid w:val="213FDEDC"/>
    <w:rsid w:val="215B1868"/>
    <w:rsid w:val="215FE75E"/>
    <w:rsid w:val="2164E2AC"/>
    <w:rsid w:val="216D3067"/>
    <w:rsid w:val="217C049B"/>
    <w:rsid w:val="218410C7"/>
    <w:rsid w:val="218E29BF"/>
    <w:rsid w:val="219633AF"/>
    <w:rsid w:val="2199DF65"/>
    <w:rsid w:val="21A3E956"/>
    <w:rsid w:val="21B46DFB"/>
    <w:rsid w:val="21BF8197"/>
    <w:rsid w:val="21C22304"/>
    <w:rsid w:val="21C2E835"/>
    <w:rsid w:val="21CA31A4"/>
    <w:rsid w:val="21D8ED9A"/>
    <w:rsid w:val="21DA038C"/>
    <w:rsid w:val="21E51A56"/>
    <w:rsid w:val="22100DB2"/>
    <w:rsid w:val="221DC0DB"/>
    <w:rsid w:val="221FED63"/>
    <w:rsid w:val="22286F28"/>
    <w:rsid w:val="22360B09"/>
    <w:rsid w:val="22376C1F"/>
    <w:rsid w:val="22478565"/>
    <w:rsid w:val="2247FAF5"/>
    <w:rsid w:val="224A4CDB"/>
    <w:rsid w:val="224EAC94"/>
    <w:rsid w:val="2269D9D7"/>
    <w:rsid w:val="2278E959"/>
    <w:rsid w:val="228E3C15"/>
    <w:rsid w:val="22B8CFE9"/>
    <w:rsid w:val="22C14C0B"/>
    <w:rsid w:val="22C675B7"/>
    <w:rsid w:val="22E4D79A"/>
    <w:rsid w:val="22ED3EF7"/>
    <w:rsid w:val="230C8EC9"/>
    <w:rsid w:val="231CE482"/>
    <w:rsid w:val="2322F1DB"/>
    <w:rsid w:val="232770A9"/>
    <w:rsid w:val="23285BB9"/>
    <w:rsid w:val="23382A8A"/>
    <w:rsid w:val="233F92AE"/>
    <w:rsid w:val="235B7674"/>
    <w:rsid w:val="235F17EA"/>
    <w:rsid w:val="235FD914"/>
    <w:rsid w:val="2376DE86"/>
    <w:rsid w:val="237945E6"/>
    <w:rsid w:val="237FEEE9"/>
    <w:rsid w:val="23816FB9"/>
    <w:rsid w:val="23832DB4"/>
    <w:rsid w:val="23905C95"/>
    <w:rsid w:val="23915151"/>
    <w:rsid w:val="23A77AEB"/>
    <w:rsid w:val="23AA4D58"/>
    <w:rsid w:val="23CD5CCD"/>
    <w:rsid w:val="23DA5FFA"/>
    <w:rsid w:val="23F551A7"/>
    <w:rsid w:val="23F622A5"/>
    <w:rsid w:val="240693C6"/>
    <w:rsid w:val="24090A96"/>
    <w:rsid w:val="2409D7ED"/>
    <w:rsid w:val="24117347"/>
    <w:rsid w:val="241B666D"/>
    <w:rsid w:val="2437DCA7"/>
    <w:rsid w:val="24534380"/>
    <w:rsid w:val="2456AA93"/>
    <w:rsid w:val="2469BA74"/>
    <w:rsid w:val="24816C4D"/>
    <w:rsid w:val="2491B59D"/>
    <w:rsid w:val="2493E55A"/>
    <w:rsid w:val="249B8F77"/>
    <w:rsid w:val="24B7BAE4"/>
    <w:rsid w:val="24BBDF15"/>
    <w:rsid w:val="24C10B66"/>
    <w:rsid w:val="24C448BC"/>
    <w:rsid w:val="24CC272F"/>
    <w:rsid w:val="24D6AC8C"/>
    <w:rsid w:val="24FC8230"/>
    <w:rsid w:val="25015879"/>
    <w:rsid w:val="2507582B"/>
    <w:rsid w:val="25138E8A"/>
    <w:rsid w:val="2523F480"/>
    <w:rsid w:val="2529956D"/>
    <w:rsid w:val="252C3042"/>
    <w:rsid w:val="25382F74"/>
    <w:rsid w:val="25420184"/>
    <w:rsid w:val="255810CB"/>
    <w:rsid w:val="255F719B"/>
    <w:rsid w:val="2569890B"/>
    <w:rsid w:val="256A0EBB"/>
    <w:rsid w:val="256C4159"/>
    <w:rsid w:val="256F0A99"/>
    <w:rsid w:val="25A2FC07"/>
    <w:rsid w:val="25A76755"/>
    <w:rsid w:val="25D154FC"/>
    <w:rsid w:val="25D1F1C7"/>
    <w:rsid w:val="25D5E26F"/>
    <w:rsid w:val="25ECEB24"/>
    <w:rsid w:val="25FA97A4"/>
    <w:rsid w:val="26067829"/>
    <w:rsid w:val="2606A7CD"/>
    <w:rsid w:val="260E2FDB"/>
    <w:rsid w:val="261827E7"/>
    <w:rsid w:val="261E4338"/>
    <w:rsid w:val="26309F30"/>
    <w:rsid w:val="265B76E5"/>
    <w:rsid w:val="2662B22F"/>
    <w:rsid w:val="266F33D4"/>
    <w:rsid w:val="267F0DE5"/>
    <w:rsid w:val="2681C6D2"/>
    <w:rsid w:val="26846C8F"/>
    <w:rsid w:val="268B04B6"/>
    <w:rsid w:val="26942E49"/>
    <w:rsid w:val="269C0E7D"/>
    <w:rsid w:val="26A18BDE"/>
    <w:rsid w:val="26ABD196"/>
    <w:rsid w:val="26AEF6AE"/>
    <w:rsid w:val="26B58C2D"/>
    <w:rsid w:val="26BB7A78"/>
    <w:rsid w:val="26D19638"/>
    <w:rsid w:val="26D5AF0B"/>
    <w:rsid w:val="26DE752B"/>
    <w:rsid w:val="26E4F1A4"/>
    <w:rsid w:val="26E6A28E"/>
    <w:rsid w:val="2726D4BE"/>
    <w:rsid w:val="273481FD"/>
    <w:rsid w:val="273E78D7"/>
    <w:rsid w:val="278DCCD9"/>
    <w:rsid w:val="2793BCAD"/>
    <w:rsid w:val="27A6A103"/>
    <w:rsid w:val="27AF6AAB"/>
    <w:rsid w:val="27CF95AC"/>
    <w:rsid w:val="27DD7684"/>
    <w:rsid w:val="2802D3F3"/>
    <w:rsid w:val="28231BB0"/>
    <w:rsid w:val="28311A30"/>
    <w:rsid w:val="2842E27D"/>
    <w:rsid w:val="284E1804"/>
    <w:rsid w:val="2858BD08"/>
    <w:rsid w:val="2859C418"/>
    <w:rsid w:val="2861F09C"/>
    <w:rsid w:val="28666F31"/>
    <w:rsid w:val="28677D9E"/>
    <w:rsid w:val="288CF0EE"/>
    <w:rsid w:val="28AF2C90"/>
    <w:rsid w:val="28C1EF95"/>
    <w:rsid w:val="28CF6752"/>
    <w:rsid w:val="28D539FD"/>
    <w:rsid w:val="28E53FDB"/>
    <w:rsid w:val="28EBCB01"/>
    <w:rsid w:val="28EC39FD"/>
    <w:rsid w:val="28ECC5A7"/>
    <w:rsid w:val="28FC5A3F"/>
    <w:rsid w:val="28FFCD61"/>
    <w:rsid w:val="290A3197"/>
    <w:rsid w:val="290D3E9E"/>
    <w:rsid w:val="2925871A"/>
    <w:rsid w:val="294364D9"/>
    <w:rsid w:val="294C08F1"/>
    <w:rsid w:val="295682AC"/>
    <w:rsid w:val="29603489"/>
    <w:rsid w:val="2963A3B8"/>
    <w:rsid w:val="29934843"/>
    <w:rsid w:val="29ADE24C"/>
    <w:rsid w:val="29AE234F"/>
    <w:rsid w:val="29D3EE67"/>
    <w:rsid w:val="29EA7CA0"/>
    <w:rsid w:val="29EB832D"/>
    <w:rsid w:val="29FA01AD"/>
    <w:rsid w:val="2A06E131"/>
    <w:rsid w:val="2A1129EF"/>
    <w:rsid w:val="2A1AE2D9"/>
    <w:rsid w:val="2A226CDA"/>
    <w:rsid w:val="2A3BBC93"/>
    <w:rsid w:val="2A46487A"/>
    <w:rsid w:val="2A5B67CD"/>
    <w:rsid w:val="2A69F7B0"/>
    <w:rsid w:val="2A79691F"/>
    <w:rsid w:val="2A8B3F69"/>
    <w:rsid w:val="2A9715CE"/>
    <w:rsid w:val="2AA96CDA"/>
    <w:rsid w:val="2AAF16B9"/>
    <w:rsid w:val="2AB5B1A9"/>
    <w:rsid w:val="2AB8FE9C"/>
    <w:rsid w:val="2AD35738"/>
    <w:rsid w:val="2AE79752"/>
    <w:rsid w:val="2AEB838A"/>
    <w:rsid w:val="2AF48173"/>
    <w:rsid w:val="2AF9DD83"/>
    <w:rsid w:val="2B07F7E7"/>
    <w:rsid w:val="2B3AA1EA"/>
    <w:rsid w:val="2B463C5F"/>
    <w:rsid w:val="2B587D6F"/>
    <w:rsid w:val="2B5EE75C"/>
    <w:rsid w:val="2B695F86"/>
    <w:rsid w:val="2B69AC2A"/>
    <w:rsid w:val="2B703FA8"/>
    <w:rsid w:val="2B83A7C5"/>
    <w:rsid w:val="2B88B454"/>
    <w:rsid w:val="2B89BF4B"/>
    <w:rsid w:val="2B8EE1C4"/>
    <w:rsid w:val="2B8FFC4A"/>
    <w:rsid w:val="2B98263E"/>
    <w:rsid w:val="2BDE17B7"/>
    <w:rsid w:val="2BF97331"/>
    <w:rsid w:val="2BFBA4E4"/>
    <w:rsid w:val="2BFEA2CD"/>
    <w:rsid w:val="2C17BC4B"/>
    <w:rsid w:val="2C221C10"/>
    <w:rsid w:val="2C4E7825"/>
    <w:rsid w:val="2C4FECDE"/>
    <w:rsid w:val="2C5D44A9"/>
    <w:rsid w:val="2C66EAC6"/>
    <w:rsid w:val="2CADFDB8"/>
    <w:rsid w:val="2CB9FC7D"/>
    <w:rsid w:val="2CC5B8A5"/>
    <w:rsid w:val="2CCC0C58"/>
    <w:rsid w:val="2CDC627B"/>
    <w:rsid w:val="2CDCBB54"/>
    <w:rsid w:val="2CE4E59F"/>
    <w:rsid w:val="2D066BBE"/>
    <w:rsid w:val="2D0B402A"/>
    <w:rsid w:val="2D1777FF"/>
    <w:rsid w:val="2D185E7B"/>
    <w:rsid w:val="2D3F0DD8"/>
    <w:rsid w:val="2D5E2AE1"/>
    <w:rsid w:val="2D66FB4E"/>
    <w:rsid w:val="2D70E0BE"/>
    <w:rsid w:val="2D7E37BD"/>
    <w:rsid w:val="2D835BB9"/>
    <w:rsid w:val="2D85770A"/>
    <w:rsid w:val="2DA9B317"/>
    <w:rsid w:val="2DDA13F0"/>
    <w:rsid w:val="2E04064C"/>
    <w:rsid w:val="2E0C9BD6"/>
    <w:rsid w:val="2E1FCF8C"/>
    <w:rsid w:val="2E28BF45"/>
    <w:rsid w:val="2E7A9AB8"/>
    <w:rsid w:val="2E92F736"/>
    <w:rsid w:val="2E9D0EBD"/>
    <w:rsid w:val="2EA3DF48"/>
    <w:rsid w:val="2EAA6E50"/>
    <w:rsid w:val="2EB855FA"/>
    <w:rsid w:val="2EC2493A"/>
    <w:rsid w:val="2EC27DDB"/>
    <w:rsid w:val="2EDCFEDA"/>
    <w:rsid w:val="2EDD66BD"/>
    <w:rsid w:val="2EF479A2"/>
    <w:rsid w:val="2EF61F97"/>
    <w:rsid w:val="2F10C579"/>
    <w:rsid w:val="2F1EA828"/>
    <w:rsid w:val="2F481DAF"/>
    <w:rsid w:val="2F4B0D3D"/>
    <w:rsid w:val="2F54B430"/>
    <w:rsid w:val="2F5DB8ED"/>
    <w:rsid w:val="2F744C19"/>
    <w:rsid w:val="2F899131"/>
    <w:rsid w:val="2F8A137D"/>
    <w:rsid w:val="2F8DE80C"/>
    <w:rsid w:val="2F967BA6"/>
    <w:rsid w:val="2FABF232"/>
    <w:rsid w:val="2FB131F2"/>
    <w:rsid w:val="2FB47A66"/>
    <w:rsid w:val="2FB85C70"/>
    <w:rsid w:val="2FCDA50D"/>
    <w:rsid w:val="2FD4B9D8"/>
    <w:rsid w:val="30025D44"/>
    <w:rsid w:val="3005EDD5"/>
    <w:rsid w:val="301B4D80"/>
    <w:rsid w:val="301E51C5"/>
    <w:rsid w:val="302C0663"/>
    <w:rsid w:val="303B3D12"/>
    <w:rsid w:val="303CC7CD"/>
    <w:rsid w:val="3040FFE0"/>
    <w:rsid w:val="304BBADB"/>
    <w:rsid w:val="305766DC"/>
    <w:rsid w:val="305B5C29"/>
    <w:rsid w:val="307F5DD1"/>
    <w:rsid w:val="3083BE87"/>
    <w:rsid w:val="30937D6B"/>
    <w:rsid w:val="30A1B924"/>
    <w:rsid w:val="30C076A3"/>
    <w:rsid w:val="30C6061F"/>
    <w:rsid w:val="30D45033"/>
    <w:rsid w:val="30D61206"/>
    <w:rsid w:val="30F8B08D"/>
    <w:rsid w:val="31176C91"/>
    <w:rsid w:val="311B4688"/>
    <w:rsid w:val="3139FE68"/>
    <w:rsid w:val="313DC621"/>
    <w:rsid w:val="3146722D"/>
    <w:rsid w:val="315761DC"/>
    <w:rsid w:val="31600A60"/>
    <w:rsid w:val="31676B91"/>
    <w:rsid w:val="31788539"/>
    <w:rsid w:val="317CB416"/>
    <w:rsid w:val="3184A680"/>
    <w:rsid w:val="31964022"/>
    <w:rsid w:val="3196A5C1"/>
    <w:rsid w:val="319714D7"/>
    <w:rsid w:val="31D59655"/>
    <w:rsid w:val="31E54EE6"/>
    <w:rsid w:val="31E649BB"/>
    <w:rsid w:val="31F1F271"/>
    <w:rsid w:val="31FA9121"/>
    <w:rsid w:val="3202AE3A"/>
    <w:rsid w:val="3225B289"/>
    <w:rsid w:val="3226C57F"/>
    <w:rsid w:val="322986E1"/>
    <w:rsid w:val="322AB5D1"/>
    <w:rsid w:val="3236F22C"/>
    <w:rsid w:val="323DE393"/>
    <w:rsid w:val="3242241A"/>
    <w:rsid w:val="32631E96"/>
    <w:rsid w:val="3274E080"/>
    <w:rsid w:val="328D666A"/>
    <w:rsid w:val="329CAA42"/>
    <w:rsid w:val="32B464E9"/>
    <w:rsid w:val="32CA114C"/>
    <w:rsid w:val="32E0688D"/>
    <w:rsid w:val="32E5B551"/>
    <w:rsid w:val="32E9A781"/>
    <w:rsid w:val="330D61AB"/>
    <w:rsid w:val="330DD46A"/>
    <w:rsid w:val="3327583C"/>
    <w:rsid w:val="33282EF7"/>
    <w:rsid w:val="33290713"/>
    <w:rsid w:val="332C3544"/>
    <w:rsid w:val="332CC463"/>
    <w:rsid w:val="3330E28B"/>
    <w:rsid w:val="33473AB2"/>
    <w:rsid w:val="33541C34"/>
    <w:rsid w:val="3361FD0C"/>
    <w:rsid w:val="33623ACC"/>
    <w:rsid w:val="336E1693"/>
    <w:rsid w:val="336E8A16"/>
    <w:rsid w:val="3373E477"/>
    <w:rsid w:val="337DF1B7"/>
    <w:rsid w:val="338B5861"/>
    <w:rsid w:val="338F42B9"/>
    <w:rsid w:val="338F7116"/>
    <w:rsid w:val="33925F04"/>
    <w:rsid w:val="33A01475"/>
    <w:rsid w:val="33BAC1F7"/>
    <w:rsid w:val="33CA6E59"/>
    <w:rsid w:val="33CC7C88"/>
    <w:rsid w:val="33E6EE9C"/>
    <w:rsid w:val="33EE6E09"/>
    <w:rsid w:val="34048518"/>
    <w:rsid w:val="340DE318"/>
    <w:rsid w:val="3410564F"/>
    <w:rsid w:val="341728B1"/>
    <w:rsid w:val="34333ED3"/>
    <w:rsid w:val="34369DA5"/>
    <w:rsid w:val="3456C065"/>
    <w:rsid w:val="3464175F"/>
    <w:rsid w:val="34644439"/>
    <w:rsid w:val="346993D5"/>
    <w:rsid w:val="34709771"/>
    <w:rsid w:val="347F6169"/>
    <w:rsid w:val="349D840D"/>
    <w:rsid w:val="349DF355"/>
    <w:rsid w:val="34B998FD"/>
    <w:rsid w:val="34D823AF"/>
    <w:rsid w:val="34E7E2C0"/>
    <w:rsid w:val="34F60D06"/>
    <w:rsid w:val="3500FB13"/>
    <w:rsid w:val="3504261D"/>
    <w:rsid w:val="3504D2BA"/>
    <w:rsid w:val="350CD64A"/>
    <w:rsid w:val="350F3C70"/>
    <w:rsid w:val="35157654"/>
    <w:rsid w:val="3517582A"/>
    <w:rsid w:val="351F51DD"/>
    <w:rsid w:val="35364EB5"/>
    <w:rsid w:val="3536CBE5"/>
    <w:rsid w:val="353C991E"/>
    <w:rsid w:val="353F6595"/>
    <w:rsid w:val="35488602"/>
    <w:rsid w:val="354A1231"/>
    <w:rsid w:val="355532FE"/>
    <w:rsid w:val="35586A55"/>
    <w:rsid w:val="3560D734"/>
    <w:rsid w:val="356D6E82"/>
    <w:rsid w:val="3574F7CC"/>
    <w:rsid w:val="35752F99"/>
    <w:rsid w:val="3578294C"/>
    <w:rsid w:val="357856C7"/>
    <w:rsid w:val="357A5000"/>
    <w:rsid w:val="357C156D"/>
    <w:rsid w:val="3581991E"/>
    <w:rsid w:val="35880B5B"/>
    <w:rsid w:val="35BAD821"/>
    <w:rsid w:val="35C68141"/>
    <w:rsid w:val="35CC73BD"/>
    <w:rsid w:val="35CE9071"/>
    <w:rsid w:val="35EB3BF1"/>
    <w:rsid w:val="36024887"/>
    <w:rsid w:val="36070F71"/>
    <w:rsid w:val="3616024D"/>
    <w:rsid w:val="3624C691"/>
    <w:rsid w:val="3625364A"/>
    <w:rsid w:val="3662FE3F"/>
    <w:rsid w:val="366AB8F4"/>
    <w:rsid w:val="367DE5A6"/>
    <w:rsid w:val="368F47FA"/>
    <w:rsid w:val="36B0C22D"/>
    <w:rsid w:val="36B46484"/>
    <w:rsid w:val="36C00348"/>
    <w:rsid w:val="36E75680"/>
    <w:rsid w:val="36E76D8A"/>
    <w:rsid w:val="36F39CD6"/>
    <w:rsid w:val="3700C0C4"/>
    <w:rsid w:val="3704F079"/>
    <w:rsid w:val="37062927"/>
    <w:rsid w:val="370E0736"/>
    <w:rsid w:val="37176481"/>
    <w:rsid w:val="3729B941"/>
    <w:rsid w:val="3735B8E7"/>
    <w:rsid w:val="374BAE61"/>
    <w:rsid w:val="374F109B"/>
    <w:rsid w:val="375A0FFD"/>
    <w:rsid w:val="3764B418"/>
    <w:rsid w:val="3768C40E"/>
    <w:rsid w:val="376A1A32"/>
    <w:rsid w:val="376EAAF2"/>
    <w:rsid w:val="3785945C"/>
    <w:rsid w:val="37876EE8"/>
    <w:rsid w:val="3797C0B3"/>
    <w:rsid w:val="3799C0BA"/>
    <w:rsid w:val="37A746E3"/>
    <w:rsid w:val="37B0406F"/>
    <w:rsid w:val="37BEB312"/>
    <w:rsid w:val="37CAA142"/>
    <w:rsid w:val="37DCE4D7"/>
    <w:rsid w:val="37F8D01A"/>
    <w:rsid w:val="380A0AF1"/>
    <w:rsid w:val="38185FAA"/>
    <w:rsid w:val="381D5B16"/>
    <w:rsid w:val="382415A3"/>
    <w:rsid w:val="3835204D"/>
    <w:rsid w:val="385F08DB"/>
    <w:rsid w:val="387A3862"/>
    <w:rsid w:val="387F8F4C"/>
    <w:rsid w:val="389E580B"/>
    <w:rsid w:val="38BC085C"/>
    <w:rsid w:val="38D222FF"/>
    <w:rsid w:val="38EE9CAA"/>
    <w:rsid w:val="38F35AE1"/>
    <w:rsid w:val="38FE3676"/>
    <w:rsid w:val="390F6929"/>
    <w:rsid w:val="39295D46"/>
    <w:rsid w:val="392F9AFC"/>
    <w:rsid w:val="3930C610"/>
    <w:rsid w:val="3935BABD"/>
    <w:rsid w:val="3937B01F"/>
    <w:rsid w:val="3938ED7E"/>
    <w:rsid w:val="3949A529"/>
    <w:rsid w:val="3957FA6F"/>
    <w:rsid w:val="39590A26"/>
    <w:rsid w:val="39644D0F"/>
    <w:rsid w:val="3965AE43"/>
    <w:rsid w:val="396992DF"/>
    <w:rsid w:val="3984F39D"/>
    <w:rsid w:val="398A45A8"/>
    <w:rsid w:val="39922FAB"/>
    <w:rsid w:val="39A62D8C"/>
    <w:rsid w:val="39AA71B7"/>
    <w:rsid w:val="39B9502C"/>
    <w:rsid w:val="39F39DCD"/>
    <w:rsid w:val="39F40948"/>
    <w:rsid w:val="39F46EAD"/>
    <w:rsid w:val="39FD72C4"/>
    <w:rsid w:val="3A1B90EF"/>
    <w:rsid w:val="3A27F7F1"/>
    <w:rsid w:val="3A3AEB58"/>
    <w:rsid w:val="3A404993"/>
    <w:rsid w:val="3A472EE3"/>
    <w:rsid w:val="3A5039D7"/>
    <w:rsid w:val="3A5A0F89"/>
    <w:rsid w:val="3A655269"/>
    <w:rsid w:val="3A759F63"/>
    <w:rsid w:val="3A7D965C"/>
    <w:rsid w:val="3A82AFA4"/>
    <w:rsid w:val="3A979B8F"/>
    <w:rsid w:val="3A9B8E2B"/>
    <w:rsid w:val="3AB40ED7"/>
    <w:rsid w:val="3AE61FB4"/>
    <w:rsid w:val="3B00C8E0"/>
    <w:rsid w:val="3B081537"/>
    <w:rsid w:val="3B0B2691"/>
    <w:rsid w:val="3B1610B3"/>
    <w:rsid w:val="3B1DA117"/>
    <w:rsid w:val="3B404AED"/>
    <w:rsid w:val="3B486AFD"/>
    <w:rsid w:val="3B48BB8D"/>
    <w:rsid w:val="3B5237EE"/>
    <w:rsid w:val="3B5C1F22"/>
    <w:rsid w:val="3B5F7F27"/>
    <w:rsid w:val="3B6CF937"/>
    <w:rsid w:val="3B7E89AC"/>
    <w:rsid w:val="3B9CCADA"/>
    <w:rsid w:val="3BA0D6DC"/>
    <w:rsid w:val="3BBB006B"/>
    <w:rsid w:val="3BC3B644"/>
    <w:rsid w:val="3BCA1502"/>
    <w:rsid w:val="3BE2CB51"/>
    <w:rsid w:val="3C227715"/>
    <w:rsid w:val="3C3276E8"/>
    <w:rsid w:val="3C3F8479"/>
    <w:rsid w:val="3C629A5C"/>
    <w:rsid w:val="3C62BEB9"/>
    <w:rsid w:val="3CBC0BE1"/>
    <w:rsid w:val="3CDD864D"/>
    <w:rsid w:val="3CE37A9A"/>
    <w:rsid w:val="3CE5DD1B"/>
    <w:rsid w:val="3CF46226"/>
    <w:rsid w:val="3D00469D"/>
    <w:rsid w:val="3D0CF0BB"/>
    <w:rsid w:val="3D31154F"/>
    <w:rsid w:val="3D52DF55"/>
    <w:rsid w:val="3D5E2CE7"/>
    <w:rsid w:val="3D8402DE"/>
    <w:rsid w:val="3D8FCC90"/>
    <w:rsid w:val="3D99E83B"/>
    <w:rsid w:val="3D9C7046"/>
    <w:rsid w:val="3D9CB8A6"/>
    <w:rsid w:val="3D9E8408"/>
    <w:rsid w:val="3D9FC2CF"/>
    <w:rsid w:val="3DB29A44"/>
    <w:rsid w:val="3DBB4811"/>
    <w:rsid w:val="3DFF85AA"/>
    <w:rsid w:val="3E02FB39"/>
    <w:rsid w:val="3E133AED"/>
    <w:rsid w:val="3E3DB228"/>
    <w:rsid w:val="3E458900"/>
    <w:rsid w:val="3E485379"/>
    <w:rsid w:val="3E4C0A76"/>
    <w:rsid w:val="3E74555E"/>
    <w:rsid w:val="3E82E263"/>
    <w:rsid w:val="3E8D483E"/>
    <w:rsid w:val="3E91B4C2"/>
    <w:rsid w:val="3E9DFDB7"/>
    <w:rsid w:val="3EA4D0FC"/>
    <w:rsid w:val="3EB4251D"/>
    <w:rsid w:val="3EB5FB70"/>
    <w:rsid w:val="3EBD11A3"/>
    <w:rsid w:val="3EDA03A9"/>
    <w:rsid w:val="3EDDFB71"/>
    <w:rsid w:val="3EDF9FF1"/>
    <w:rsid w:val="3EE67FAA"/>
    <w:rsid w:val="3F021A10"/>
    <w:rsid w:val="3F06329B"/>
    <w:rsid w:val="3F0BE267"/>
    <w:rsid w:val="3F265B1D"/>
    <w:rsid w:val="3F2A6B33"/>
    <w:rsid w:val="3F2B1CAB"/>
    <w:rsid w:val="3F2E04A7"/>
    <w:rsid w:val="3F636B21"/>
    <w:rsid w:val="3F681C34"/>
    <w:rsid w:val="3F6C4F58"/>
    <w:rsid w:val="3F82724F"/>
    <w:rsid w:val="3F834D4C"/>
    <w:rsid w:val="3F86A6A5"/>
    <w:rsid w:val="3F86EACD"/>
    <w:rsid w:val="3F887A88"/>
    <w:rsid w:val="3FA621A8"/>
    <w:rsid w:val="3FBEEDAC"/>
    <w:rsid w:val="3FBF30F7"/>
    <w:rsid w:val="3FC78EF4"/>
    <w:rsid w:val="3FDCD5DC"/>
    <w:rsid w:val="3FE0D8EE"/>
    <w:rsid w:val="3FE6F44F"/>
    <w:rsid w:val="3FF652DE"/>
    <w:rsid w:val="3FF9EDC4"/>
    <w:rsid w:val="400EABB1"/>
    <w:rsid w:val="4016BAA6"/>
    <w:rsid w:val="40185B8B"/>
    <w:rsid w:val="40223E99"/>
    <w:rsid w:val="402B428A"/>
    <w:rsid w:val="402CC66D"/>
    <w:rsid w:val="4044DB8F"/>
    <w:rsid w:val="40525BAC"/>
    <w:rsid w:val="4086202B"/>
    <w:rsid w:val="409C8B16"/>
    <w:rsid w:val="40BD3276"/>
    <w:rsid w:val="40C27F56"/>
    <w:rsid w:val="40CA5C01"/>
    <w:rsid w:val="40D023B4"/>
    <w:rsid w:val="40D0A0DE"/>
    <w:rsid w:val="410C1566"/>
    <w:rsid w:val="412C3491"/>
    <w:rsid w:val="4156CE0F"/>
    <w:rsid w:val="41605688"/>
    <w:rsid w:val="41626F79"/>
    <w:rsid w:val="41691ABC"/>
    <w:rsid w:val="417BAD5D"/>
    <w:rsid w:val="418B549D"/>
    <w:rsid w:val="419F84CC"/>
    <w:rsid w:val="41A56DCB"/>
    <w:rsid w:val="41E402B6"/>
    <w:rsid w:val="41F06951"/>
    <w:rsid w:val="41F2B64B"/>
    <w:rsid w:val="41F9431F"/>
    <w:rsid w:val="41FA8AB8"/>
    <w:rsid w:val="4202213E"/>
    <w:rsid w:val="42048F47"/>
    <w:rsid w:val="42105044"/>
    <w:rsid w:val="42175E03"/>
    <w:rsid w:val="42360B4E"/>
    <w:rsid w:val="42390BA0"/>
    <w:rsid w:val="424736DA"/>
    <w:rsid w:val="4247F81B"/>
    <w:rsid w:val="425D37CB"/>
    <w:rsid w:val="426980FF"/>
    <w:rsid w:val="427B1B54"/>
    <w:rsid w:val="42907F9C"/>
    <w:rsid w:val="429281B5"/>
    <w:rsid w:val="4295222F"/>
    <w:rsid w:val="429AB776"/>
    <w:rsid w:val="429B7D2D"/>
    <w:rsid w:val="42C0F75D"/>
    <w:rsid w:val="42C1272A"/>
    <w:rsid w:val="42C1528C"/>
    <w:rsid w:val="42D195C0"/>
    <w:rsid w:val="42DEFC49"/>
    <w:rsid w:val="42F86114"/>
    <w:rsid w:val="430E03EC"/>
    <w:rsid w:val="43139DD1"/>
    <w:rsid w:val="432407CA"/>
    <w:rsid w:val="4339ACD2"/>
    <w:rsid w:val="435208DC"/>
    <w:rsid w:val="435BD246"/>
    <w:rsid w:val="4370F230"/>
    <w:rsid w:val="4378A1F6"/>
    <w:rsid w:val="43912748"/>
    <w:rsid w:val="439F6DC2"/>
    <w:rsid w:val="43C3E741"/>
    <w:rsid w:val="43C74F79"/>
    <w:rsid w:val="43DDED5C"/>
    <w:rsid w:val="43EF760A"/>
    <w:rsid w:val="440AFD72"/>
    <w:rsid w:val="4412FA6B"/>
    <w:rsid w:val="44253758"/>
    <w:rsid w:val="442945DE"/>
    <w:rsid w:val="4429B7A3"/>
    <w:rsid w:val="44368B55"/>
    <w:rsid w:val="44380073"/>
    <w:rsid w:val="44480C2D"/>
    <w:rsid w:val="444CAAA3"/>
    <w:rsid w:val="4451A31A"/>
    <w:rsid w:val="4457EEBC"/>
    <w:rsid w:val="445A4916"/>
    <w:rsid w:val="44699311"/>
    <w:rsid w:val="4476D153"/>
    <w:rsid w:val="447D7163"/>
    <w:rsid w:val="447FF20D"/>
    <w:rsid w:val="448CC375"/>
    <w:rsid w:val="44BC0EEB"/>
    <w:rsid w:val="44C0A886"/>
    <w:rsid w:val="44C77115"/>
    <w:rsid w:val="44CFCE1A"/>
    <w:rsid w:val="44DBB12F"/>
    <w:rsid w:val="44DEDF48"/>
    <w:rsid w:val="44E28E01"/>
    <w:rsid w:val="45033DFE"/>
    <w:rsid w:val="4510F7F4"/>
    <w:rsid w:val="45477B58"/>
    <w:rsid w:val="456E87FA"/>
    <w:rsid w:val="45720687"/>
    <w:rsid w:val="45814DDA"/>
    <w:rsid w:val="45832F0B"/>
    <w:rsid w:val="458DEA92"/>
    <w:rsid w:val="45946FD9"/>
    <w:rsid w:val="45F26DCD"/>
    <w:rsid w:val="45FC5351"/>
    <w:rsid w:val="45FDA619"/>
    <w:rsid w:val="4607E04E"/>
    <w:rsid w:val="46172808"/>
    <w:rsid w:val="461945FF"/>
    <w:rsid w:val="462BF30E"/>
    <w:rsid w:val="465B5CB2"/>
    <w:rsid w:val="465BE7E4"/>
    <w:rsid w:val="465F0978"/>
    <w:rsid w:val="467199D6"/>
    <w:rsid w:val="46788A91"/>
    <w:rsid w:val="4698D6FE"/>
    <w:rsid w:val="46AD05BE"/>
    <w:rsid w:val="46B6F5BB"/>
    <w:rsid w:val="46BA627D"/>
    <w:rsid w:val="46C5D59F"/>
    <w:rsid w:val="46CF732E"/>
    <w:rsid w:val="46E8495B"/>
    <w:rsid w:val="46F02450"/>
    <w:rsid w:val="47082650"/>
    <w:rsid w:val="47195917"/>
    <w:rsid w:val="47242970"/>
    <w:rsid w:val="472A4AF2"/>
    <w:rsid w:val="47314B1B"/>
    <w:rsid w:val="474838AC"/>
    <w:rsid w:val="47615476"/>
    <w:rsid w:val="47661E07"/>
    <w:rsid w:val="4782EA9F"/>
    <w:rsid w:val="478DC713"/>
    <w:rsid w:val="47954925"/>
    <w:rsid w:val="47A8B53C"/>
    <w:rsid w:val="47B1AEF3"/>
    <w:rsid w:val="47BEB60C"/>
    <w:rsid w:val="47CBF5C6"/>
    <w:rsid w:val="47DAFE17"/>
    <w:rsid w:val="47E2A2A3"/>
    <w:rsid w:val="47EA1C7E"/>
    <w:rsid w:val="4800BE7D"/>
    <w:rsid w:val="480A90C8"/>
    <w:rsid w:val="480EC203"/>
    <w:rsid w:val="48105C5E"/>
    <w:rsid w:val="4814CEC6"/>
    <w:rsid w:val="48165EC3"/>
    <w:rsid w:val="48194D29"/>
    <w:rsid w:val="48215D76"/>
    <w:rsid w:val="484BBF18"/>
    <w:rsid w:val="485325C7"/>
    <w:rsid w:val="48591C30"/>
    <w:rsid w:val="4867493B"/>
    <w:rsid w:val="487CD47E"/>
    <w:rsid w:val="48828A99"/>
    <w:rsid w:val="488FD6FE"/>
    <w:rsid w:val="489E7228"/>
    <w:rsid w:val="48A24B5D"/>
    <w:rsid w:val="48AE1144"/>
    <w:rsid w:val="48AE16EB"/>
    <w:rsid w:val="48D54B5D"/>
    <w:rsid w:val="48DF10DF"/>
    <w:rsid w:val="48F582AB"/>
    <w:rsid w:val="4912C55A"/>
    <w:rsid w:val="4919FFE4"/>
    <w:rsid w:val="49396D5D"/>
    <w:rsid w:val="4949AC5A"/>
    <w:rsid w:val="4955FA17"/>
    <w:rsid w:val="495836A5"/>
    <w:rsid w:val="495CA364"/>
    <w:rsid w:val="495F06FB"/>
    <w:rsid w:val="4973A9BF"/>
    <w:rsid w:val="49888AA6"/>
    <w:rsid w:val="4992935F"/>
    <w:rsid w:val="49A4A4DB"/>
    <w:rsid w:val="49B489D1"/>
    <w:rsid w:val="49BB3A10"/>
    <w:rsid w:val="49BBC246"/>
    <w:rsid w:val="49BC6DFC"/>
    <w:rsid w:val="49BD25B4"/>
    <w:rsid w:val="49C6A15D"/>
    <w:rsid w:val="49CA8CE2"/>
    <w:rsid w:val="49CE6EDA"/>
    <w:rsid w:val="4A03D4E5"/>
    <w:rsid w:val="4A049294"/>
    <w:rsid w:val="4A0DA241"/>
    <w:rsid w:val="4A1001F4"/>
    <w:rsid w:val="4A1ABF21"/>
    <w:rsid w:val="4A3AC416"/>
    <w:rsid w:val="4A3AD04A"/>
    <w:rsid w:val="4A406112"/>
    <w:rsid w:val="4A4A23C9"/>
    <w:rsid w:val="4A5A8221"/>
    <w:rsid w:val="4A8D718B"/>
    <w:rsid w:val="4A93D482"/>
    <w:rsid w:val="4AA5703A"/>
    <w:rsid w:val="4AA7B122"/>
    <w:rsid w:val="4AB7011E"/>
    <w:rsid w:val="4AC8031E"/>
    <w:rsid w:val="4ACF753A"/>
    <w:rsid w:val="4AD13BE4"/>
    <w:rsid w:val="4AE4AFB3"/>
    <w:rsid w:val="4B0074E3"/>
    <w:rsid w:val="4B027239"/>
    <w:rsid w:val="4B041828"/>
    <w:rsid w:val="4B179B07"/>
    <w:rsid w:val="4B322F37"/>
    <w:rsid w:val="4B353D01"/>
    <w:rsid w:val="4B3AFE46"/>
    <w:rsid w:val="4B4B2432"/>
    <w:rsid w:val="4B6FC909"/>
    <w:rsid w:val="4B7990AE"/>
    <w:rsid w:val="4B872ED0"/>
    <w:rsid w:val="4B9895CE"/>
    <w:rsid w:val="4BB2D0D9"/>
    <w:rsid w:val="4BCA5F51"/>
    <w:rsid w:val="4BE18292"/>
    <w:rsid w:val="4BE87D80"/>
    <w:rsid w:val="4C0336BE"/>
    <w:rsid w:val="4C0CCC71"/>
    <w:rsid w:val="4C1550DB"/>
    <w:rsid w:val="4C3171DF"/>
    <w:rsid w:val="4C3E6255"/>
    <w:rsid w:val="4C62A219"/>
    <w:rsid w:val="4C6C0933"/>
    <w:rsid w:val="4C6D05EA"/>
    <w:rsid w:val="4C801B94"/>
    <w:rsid w:val="4C955CEB"/>
    <w:rsid w:val="4C9A13BD"/>
    <w:rsid w:val="4C9F9E21"/>
    <w:rsid w:val="4CAAADE5"/>
    <w:rsid w:val="4CAAF578"/>
    <w:rsid w:val="4CBDC33B"/>
    <w:rsid w:val="4CC29FCA"/>
    <w:rsid w:val="4CD01EDB"/>
    <w:rsid w:val="4CE43A49"/>
    <w:rsid w:val="4CE55E4A"/>
    <w:rsid w:val="4CF00602"/>
    <w:rsid w:val="4D02FCCC"/>
    <w:rsid w:val="4D0355AB"/>
    <w:rsid w:val="4D0F685F"/>
    <w:rsid w:val="4D15C39D"/>
    <w:rsid w:val="4D1824A3"/>
    <w:rsid w:val="4D19BE22"/>
    <w:rsid w:val="4D2CE7BD"/>
    <w:rsid w:val="4D36AE0F"/>
    <w:rsid w:val="4D46F68C"/>
    <w:rsid w:val="4D58F738"/>
    <w:rsid w:val="4D5B815B"/>
    <w:rsid w:val="4D5CAE81"/>
    <w:rsid w:val="4D63B75D"/>
    <w:rsid w:val="4D81C5DA"/>
    <w:rsid w:val="4D873C25"/>
    <w:rsid w:val="4D9919B7"/>
    <w:rsid w:val="4DAD9862"/>
    <w:rsid w:val="4DB1DA4B"/>
    <w:rsid w:val="4DB5710C"/>
    <w:rsid w:val="4DD07E01"/>
    <w:rsid w:val="4DD9FB71"/>
    <w:rsid w:val="4DE0775F"/>
    <w:rsid w:val="4DE8FCC0"/>
    <w:rsid w:val="4DF3E115"/>
    <w:rsid w:val="4E0222B3"/>
    <w:rsid w:val="4E075302"/>
    <w:rsid w:val="4E0AAAFA"/>
    <w:rsid w:val="4E2A38EA"/>
    <w:rsid w:val="4E2B60BE"/>
    <w:rsid w:val="4E42AF55"/>
    <w:rsid w:val="4E583004"/>
    <w:rsid w:val="4E626EDE"/>
    <w:rsid w:val="4E64A1B7"/>
    <w:rsid w:val="4E664217"/>
    <w:rsid w:val="4E6C1468"/>
    <w:rsid w:val="4E6F751F"/>
    <w:rsid w:val="4E861B10"/>
    <w:rsid w:val="4E94F235"/>
    <w:rsid w:val="4E9C9705"/>
    <w:rsid w:val="4EA4B15E"/>
    <w:rsid w:val="4EAAB13E"/>
    <w:rsid w:val="4EDD5FDE"/>
    <w:rsid w:val="4EECC163"/>
    <w:rsid w:val="4EF3EC6B"/>
    <w:rsid w:val="4F018BEB"/>
    <w:rsid w:val="4F0306B6"/>
    <w:rsid w:val="4F164BC0"/>
    <w:rsid w:val="4F1A6475"/>
    <w:rsid w:val="4F1BDBE8"/>
    <w:rsid w:val="4F24B32A"/>
    <w:rsid w:val="4F3B5CB7"/>
    <w:rsid w:val="4F3D7B40"/>
    <w:rsid w:val="4F5280A0"/>
    <w:rsid w:val="4F5A98C9"/>
    <w:rsid w:val="4F60B294"/>
    <w:rsid w:val="4F61B2F6"/>
    <w:rsid w:val="4F82DEA3"/>
    <w:rsid w:val="4F8B439A"/>
    <w:rsid w:val="4F9FF5E7"/>
    <w:rsid w:val="4FA2897B"/>
    <w:rsid w:val="4FAF2228"/>
    <w:rsid w:val="4FB43E8E"/>
    <w:rsid w:val="4FB6B01A"/>
    <w:rsid w:val="4FC0D7FE"/>
    <w:rsid w:val="4FC411E8"/>
    <w:rsid w:val="4FC472E4"/>
    <w:rsid w:val="501B05D3"/>
    <w:rsid w:val="5045A6C7"/>
    <w:rsid w:val="5052A71F"/>
    <w:rsid w:val="5067320A"/>
    <w:rsid w:val="5071F891"/>
    <w:rsid w:val="5076F377"/>
    <w:rsid w:val="5093B7F5"/>
    <w:rsid w:val="50BADD8D"/>
    <w:rsid w:val="50C83259"/>
    <w:rsid w:val="50CC8D10"/>
    <w:rsid w:val="50CCFF56"/>
    <w:rsid w:val="50D6BCDE"/>
    <w:rsid w:val="510234CD"/>
    <w:rsid w:val="51086C48"/>
    <w:rsid w:val="51095FAE"/>
    <w:rsid w:val="510FAA70"/>
    <w:rsid w:val="5113685C"/>
    <w:rsid w:val="511656F8"/>
    <w:rsid w:val="513385FC"/>
    <w:rsid w:val="513DD848"/>
    <w:rsid w:val="513E5C4C"/>
    <w:rsid w:val="514AA37D"/>
    <w:rsid w:val="515F62FF"/>
    <w:rsid w:val="515F9C68"/>
    <w:rsid w:val="517318B9"/>
    <w:rsid w:val="51911A30"/>
    <w:rsid w:val="5195C79A"/>
    <w:rsid w:val="519FE322"/>
    <w:rsid w:val="51A0A18F"/>
    <w:rsid w:val="51A671D3"/>
    <w:rsid w:val="51AA0E1E"/>
    <w:rsid w:val="51AC3CB3"/>
    <w:rsid w:val="51CA3D69"/>
    <w:rsid w:val="51F6B740"/>
    <w:rsid w:val="51FADA98"/>
    <w:rsid w:val="52094BC7"/>
    <w:rsid w:val="520FB379"/>
    <w:rsid w:val="52127A97"/>
    <w:rsid w:val="52185946"/>
    <w:rsid w:val="522A0EEF"/>
    <w:rsid w:val="5232B6B7"/>
    <w:rsid w:val="52393F8F"/>
    <w:rsid w:val="523CD8DB"/>
    <w:rsid w:val="52408BAE"/>
    <w:rsid w:val="527D3C51"/>
    <w:rsid w:val="5283DDBE"/>
    <w:rsid w:val="52A7018D"/>
    <w:rsid w:val="52BFF76F"/>
    <w:rsid w:val="52CD77C3"/>
    <w:rsid w:val="52D14A51"/>
    <w:rsid w:val="52FA1841"/>
    <w:rsid w:val="530DCDFB"/>
    <w:rsid w:val="53167298"/>
    <w:rsid w:val="533AE54D"/>
    <w:rsid w:val="534EE7FA"/>
    <w:rsid w:val="5350F56D"/>
    <w:rsid w:val="5351941E"/>
    <w:rsid w:val="535938A8"/>
    <w:rsid w:val="536F0706"/>
    <w:rsid w:val="53787910"/>
    <w:rsid w:val="537ED17F"/>
    <w:rsid w:val="538CD11C"/>
    <w:rsid w:val="538D2FCD"/>
    <w:rsid w:val="53D0153C"/>
    <w:rsid w:val="53DB866F"/>
    <w:rsid w:val="53DBC71C"/>
    <w:rsid w:val="540B6FC1"/>
    <w:rsid w:val="540ED455"/>
    <w:rsid w:val="54189851"/>
    <w:rsid w:val="54291346"/>
    <w:rsid w:val="54292AAA"/>
    <w:rsid w:val="542E32DC"/>
    <w:rsid w:val="5451E194"/>
    <w:rsid w:val="5456756F"/>
    <w:rsid w:val="547E8A57"/>
    <w:rsid w:val="5497B006"/>
    <w:rsid w:val="54984B7E"/>
    <w:rsid w:val="5498C685"/>
    <w:rsid w:val="54A983D0"/>
    <w:rsid w:val="54AF1777"/>
    <w:rsid w:val="54C875CA"/>
    <w:rsid w:val="54D634D8"/>
    <w:rsid w:val="54DCAAF5"/>
    <w:rsid w:val="54FEC694"/>
    <w:rsid w:val="54FEDE25"/>
    <w:rsid w:val="55185D98"/>
    <w:rsid w:val="5522DFE0"/>
    <w:rsid w:val="5535D662"/>
    <w:rsid w:val="55396880"/>
    <w:rsid w:val="55399E8C"/>
    <w:rsid w:val="55537EE4"/>
    <w:rsid w:val="5566FD7A"/>
    <w:rsid w:val="5578CD7F"/>
    <w:rsid w:val="557B9CE8"/>
    <w:rsid w:val="557FC5D1"/>
    <w:rsid w:val="55942670"/>
    <w:rsid w:val="55A664C3"/>
    <w:rsid w:val="55BF4E2B"/>
    <w:rsid w:val="55CC06E4"/>
    <w:rsid w:val="55DC6A46"/>
    <w:rsid w:val="55E15F56"/>
    <w:rsid w:val="55E827E5"/>
    <w:rsid w:val="55EE1A5F"/>
    <w:rsid w:val="55EEEBBD"/>
    <w:rsid w:val="55F7A416"/>
    <w:rsid w:val="55FAE7E4"/>
    <w:rsid w:val="560504F1"/>
    <w:rsid w:val="56077CE0"/>
    <w:rsid w:val="5609DAC9"/>
    <w:rsid w:val="56122616"/>
    <w:rsid w:val="5642E00F"/>
    <w:rsid w:val="565914EC"/>
    <w:rsid w:val="56598B2F"/>
    <w:rsid w:val="5684BBB5"/>
    <w:rsid w:val="569A74AA"/>
    <w:rsid w:val="56ACF41D"/>
    <w:rsid w:val="56B92F9D"/>
    <w:rsid w:val="56BF9D54"/>
    <w:rsid w:val="56D0717D"/>
    <w:rsid w:val="56EE65DF"/>
    <w:rsid w:val="56F345A9"/>
    <w:rsid w:val="56F6462C"/>
    <w:rsid w:val="56F7EBF8"/>
    <w:rsid w:val="56FD99D9"/>
    <w:rsid w:val="572B2372"/>
    <w:rsid w:val="57335CCE"/>
    <w:rsid w:val="5734D986"/>
    <w:rsid w:val="573E8732"/>
    <w:rsid w:val="5741023B"/>
    <w:rsid w:val="57669DBD"/>
    <w:rsid w:val="5773D737"/>
    <w:rsid w:val="5774FC05"/>
    <w:rsid w:val="578EFAA9"/>
    <w:rsid w:val="57AC36E6"/>
    <w:rsid w:val="57AF9BAA"/>
    <w:rsid w:val="57B5E5FC"/>
    <w:rsid w:val="57B60113"/>
    <w:rsid w:val="57B98AA8"/>
    <w:rsid w:val="57BC6D50"/>
    <w:rsid w:val="57C1C1FF"/>
    <w:rsid w:val="57C1FCED"/>
    <w:rsid w:val="57CAA5ED"/>
    <w:rsid w:val="57DC0215"/>
    <w:rsid w:val="5810E723"/>
    <w:rsid w:val="5814B738"/>
    <w:rsid w:val="5817DD28"/>
    <w:rsid w:val="581EC2A5"/>
    <w:rsid w:val="581FF4F2"/>
    <w:rsid w:val="582647F3"/>
    <w:rsid w:val="5833D4CA"/>
    <w:rsid w:val="583E75CC"/>
    <w:rsid w:val="583FE24F"/>
    <w:rsid w:val="5852F84B"/>
    <w:rsid w:val="585B5B24"/>
    <w:rsid w:val="585D5803"/>
    <w:rsid w:val="5860817F"/>
    <w:rsid w:val="587CB951"/>
    <w:rsid w:val="588C6746"/>
    <w:rsid w:val="5893951B"/>
    <w:rsid w:val="58941461"/>
    <w:rsid w:val="589CA5FE"/>
    <w:rsid w:val="589DC123"/>
    <w:rsid w:val="58B21B2E"/>
    <w:rsid w:val="58B6A24F"/>
    <w:rsid w:val="58C686EA"/>
    <w:rsid w:val="58CA2248"/>
    <w:rsid w:val="58CCE6C1"/>
    <w:rsid w:val="58D3485B"/>
    <w:rsid w:val="58F825B8"/>
    <w:rsid w:val="590432DB"/>
    <w:rsid w:val="590C622B"/>
    <w:rsid w:val="5911B036"/>
    <w:rsid w:val="59146A6D"/>
    <w:rsid w:val="5916500C"/>
    <w:rsid w:val="591AD57B"/>
    <w:rsid w:val="591E34CD"/>
    <w:rsid w:val="59213478"/>
    <w:rsid w:val="59282773"/>
    <w:rsid w:val="592D02FB"/>
    <w:rsid w:val="5935FA33"/>
    <w:rsid w:val="5937D327"/>
    <w:rsid w:val="5939FCFD"/>
    <w:rsid w:val="593FEE0F"/>
    <w:rsid w:val="5957A72B"/>
    <w:rsid w:val="59734485"/>
    <w:rsid w:val="59854A04"/>
    <w:rsid w:val="5989385A"/>
    <w:rsid w:val="598E930B"/>
    <w:rsid w:val="5995FFDB"/>
    <w:rsid w:val="59ACC9D8"/>
    <w:rsid w:val="59B51446"/>
    <w:rsid w:val="59B87A00"/>
    <w:rsid w:val="59BCE3A8"/>
    <w:rsid w:val="59E56BC7"/>
    <w:rsid w:val="59E85DFA"/>
    <w:rsid w:val="59F66D6B"/>
    <w:rsid w:val="59FCEA8C"/>
    <w:rsid w:val="5A015ED4"/>
    <w:rsid w:val="5A0D79D1"/>
    <w:rsid w:val="5A108846"/>
    <w:rsid w:val="5A730A33"/>
    <w:rsid w:val="5A78A471"/>
    <w:rsid w:val="5A85C2B6"/>
    <w:rsid w:val="5A9DD4C1"/>
    <w:rsid w:val="5AB6100A"/>
    <w:rsid w:val="5AC4C00A"/>
    <w:rsid w:val="5ACF2833"/>
    <w:rsid w:val="5AD867A4"/>
    <w:rsid w:val="5ADA87E3"/>
    <w:rsid w:val="5AEBD4EF"/>
    <w:rsid w:val="5B10F511"/>
    <w:rsid w:val="5B17EEC7"/>
    <w:rsid w:val="5B1C42C8"/>
    <w:rsid w:val="5B1E1FB2"/>
    <w:rsid w:val="5B1F866F"/>
    <w:rsid w:val="5B2CDC3A"/>
    <w:rsid w:val="5B2DDF18"/>
    <w:rsid w:val="5B380F13"/>
    <w:rsid w:val="5B40F252"/>
    <w:rsid w:val="5B4E0099"/>
    <w:rsid w:val="5B507203"/>
    <w:rsid w:val="5B530E1D"/>
    <w:rsid w:val="5B58F5EB"/>
    <w:rsid w:val="5B6C9CBA"/>
    <w:rsid w:val="5B709F47"/>
    <w:rsid w:val="5B7AA24B"/>
    <w:rsid w:val="5BB8499B"/>
    <w:rsid w:val="5BBCDA5D"/>
    <w:rsid w:val="5BD0DC32"/>
    <w:rsid w:val="5BD43B2D"/>
    <w:rsid w:val="5BDA0DAB"/>
    <w:rsid w:val="5BE39F9C"/>
    <w:rsid w:val="5BF85CF7"/>
    <w:rsid w:val="5C08677F"/>
    <w:rsid w:val="5C1801DD"/>
    <w:rsid w:val="5C631BFA"/>
    <w:rsid w:val="5C781831"/>
    <w:rsid w:val="5C7EAB25"/>
    <w:rsid w:val="5C8A310E"/>
    <w:rsid w:val="5C9657E7"/>
    <w:rsid w:val="5C9C4AFA"/>
    <w:rsid w:val="5CACDD85"/>
    <w:rsid w:val="5CACED9E"/>
    <w:rsid w:val="5CB4CF41"/>
    <w:rsid w:val="5CBAF6CA"/>
    <w:rsid w:val="5CC4426C"/>
    <w:rsid w:val="5CD46975"/>
    <w:rsid w:val="5CE7AAA5"/>
    <w:rsid w:val="5CF4642D"/>
    <w:rsid w:val="5CF4B7BE"/>
    <w:rsid w:val="5CFB834D"/>
    <w:rsid w:val="5CFD2C70"/>
    <w:rsid w:val="5D071591"/>
    <w:rsid w:val="5D097F65"/>
    <w:rsid w:val="5D1317CA"/>
    <w:rsid w:val="5D152339"/>
    <w:rsid w:val="5D1671C8"/>
    <w:rsid w:val="5D1FDCD7"/>
    <w:rsid w:val="5D452F83"/>
    <w:rsid w:val="5D477A7F"/>
    <w:rsid w:val="5D5008F0"/>
    <w:rsid w:val="5D5F40F1"/>
    <w:rsid w:val="5D6626C5"/>
    <w:rsid w:val="5D76920F"/>
    <w:rsid w:val="5D7A2673"/>
    <w:rsid w:val="5D89A8C6"/>
    <w:rsid w:val="5D89BB20"/>
    <w:rsid w:val="5D8AF7F5"/>
    <w:rsid w:val="5D93B680"/>
    <w:rsid w:val="5D954908"/>
    <w:rsid w:val="5DAF7E6A"/>
    <w:rsid w:val="5DB7A267"/>
    <w:rsid w:val="5DC6E05F"/>
    <w:rsid w:val="5DCCEB2E"/>
    <w:rsid w:val="5DE1A6EB"/>
    <w:rsid w:val="5DEF05F3"/>
    <w:rsid w:val="5DF34669"/>
    <w:rsid w:val="5DF9C154"/>
    <w:rsid w:val="5E19E500"/>
    <w:rsid w:val="5E1C56B1"/>
    <w:rsid w:val="5E270722"/>
    <w:rsid w:val="5E2C49F4"/>
    <w:rsid w:val="5E310383"/>
    <w:rsid w:val="5E3B64E6"/>
    <w:rsid w:val="5E3B9A92"/>
    <w:rsid w:val="5E43F963"/>
    <w:rsid w:val="5E4CA4F9"/>
    <w:rsid w:val="5E507B2F"/>
    <w:rsid w:val="5E78DF25"/>
    <w:rsid w:val="5E7C549F"/>
    <w:rsid w:val="5E822518"/>
    <w:rsid w:val="5E8638FD"/>
    <w:rsid w:val="5EA12929"/>
    <w:rsid w:val="5EAA6A79"/>
    <w:rsid w:val="5EBCE17C"/>
    <w:rsid w:val="5EC0087C"/>
    <w:rsid w:val="5EC7880B"/>
    <w:rsid w:val="5EDE45C5"/>
    <w:rsid w:val="5EE6AD32"/>
    <w:rsid w:val="5EEFF63C"/>
    <w:rsid w:val="5EF20E1C"/>
    <w:rsid w:val="5EF5853F"/>
    <w:rsid w:val="5EF8F36B"/>
    <w:rsid w:val="5EFE56D1"/>
    <w:rsid w:val="5F1700D7"/>
    <w:rsid w:val="5F2316A6"/>
    <w:rsid w:val="5F25DDCE"/>
    <w:rsid w:val="5F33777D"/>
    <w:rsid w:val="5F4D41CA"/>
    <w:rsid w:val="5F5D95C8"/>
    <w:rsid w:val="5F7667E0"/>
    <w:rsid w:val="5FAAEB93"/>
    <w:rsid w:val="5FC144A9"/>
    <w:rsid w:val="5FED73A9"/>
    <w:rsid w:val="5FF475A6"/>
    <w:rsid w:val="600C13CE"/>
    <w:rsid w:val="60112CCA"/>
    <w:rsid w:val="6022808B"/>
    <w:rsid w:val="6049D5AE"/>
    <w:rsid w:val="604D83EA"/>
    <w:rsid w:val="60514375"/>
    <w:rsid w:val="60567255"/>
    <w:rsid w:val="6060BE7D"/>
    <w:rsid w:val="607668B7"/>
    <w:rsid w:val="60878F43"/>
    <w:rsid w:val="60914BBF"/>
    <w:rsid w:val="609201F2"/>
    <w:rsid w:val="60A4F55C"/>
    <w:rsid w:val="60B32770"/>
    <w:rsid w:val="60C79E1D"/>
    <w:rsid w:val="60DFBBA7"/>
    <w:rsid w:val="60E9A745"/>
    <w:rsid w:val="60F16349"/>
    <w:rsid w:val="60FD6881"/>
    <w:rsid w:val="610C2A2C"/>
    <w:rsid w:val="61125646"/>
    <w:rsid w:val="611547AA"/>
    <w:rsid w:val="611DDC30"/>
    <w:rsid w:val="61258031"/>
    <w:rsid w:val="612C47F1"/>
    <w:rsid w:val="61513DD5"/>
    <w:rsid w:val="615A1031"/>
    <w:rsid w:val="615BCA64"/>
    <w:rsid w:val="615F914A"/>
    <w:rsid w:val="61685542"/>
    <w:rsid w:val="61889D47"/>
    <w:rsid w:val="619A7DBC"/>
    <w:rsid w:val="61B26CB6"/>
    <w:rsid w:val="61B570F5"/>
    <w:rsid w:val="61B5BE97"/>
    <w:rsid w:val="61B60758"/>
    <w:rsid w:val="61BFF35A"/>
    <w:rsid w:val="61C02EF9"/>
    <w:rsid w:val="61D135AA"/>
    <w:rsid w:val="61D993B5"/>
    <w:rsid w:val="61DD882A"/>
    <w:rsid w:val="61E6225B"/>
    <w:rsid w:val="61F5A7B0"/>
    <w:rsid w:val="6218B5D1"/>
    <w:rsid w:val="6222944C"/>
    <w:rsid w:val="6252EA7E"/>
    <w:rsid w:val="62556C21"/>
    <w:rsid w:val="62674DFC"/>
    <w:rsid w:val="6270BFCE"/>
    <w:rsid w:val="627155EE"/>
    <w:rsid w:val="6285D26A"/>
    <w:rsid w:val="629325FA"/>
    <w:rsid w:val="6299EBE0"/>
    <w:rsid w:val="62BC3A50"/>
    <w:rsid w:val="62CA118B"/>
    <w:rsid w:val="62E8295C"/>
    <w:rsid w:val="6303F3C6"/>
    <w:rsid w:val="630F9855"/>
    <w:rsid w:val="631628B5"/>
    <w:rsid w:val="63206A76"/>
    <w:rsid w:val="632D37A1"/>
    <w:rsid w:val="6332CE0E"/>
    <w:rsid w:val="635C0124"/>
    <w:rsid w:val="63689998"/>
    <w:rsid w:val="636A3AEF"/>
    <w:rsid w:val="63778DDC"/>
    <w:rsid w:val="637E0D2F"/>
    <w:rsid w:val="63894C16"/>
    <w:rsid w:val="63904D57"/>
    <w:rsid w:val="63980D15"/>
    <w:rsid w:val="63AB3F35"/>
    <w:rsid w:val="63BC76F3"/>
    <w:rsid w:val="63DBB5CE"/>
    <w:rsid w:val="63DEC7FF"/>
    <w:rsid w:val="63E3A75E"/>
    <w:rsid w:val="63FE94F0"/>
    <w:rsid w:val="640B4A31"/>
    <w:rsid w:val="64173C27"/>
    <w:rsid w:val="64292F8A"/>
    <w:rsid w:val="643BD279"/>
    <w:rsid w:val="644138ED"/>
    <w:rsid w:val="6460411F"/>
    <w:rsid w:val="646671C7"/>
    <w:rsid w:val="6466DBC1"/>
    <w:rsid w:val="646C6930"/>
    <w:rsid w:val="647A7342"/>
    <w:rsid w:val="648075A7"/>
    <w:rsid w:val="6480D7D0"/>
    <w:rsid w:val="64845567"/>
    <w:rsid w:val="64863723"/>
    <w:rsid w:val="648B771F"/>
    <w:rsid w:val="6492C432"/>
    <w:rsid w:val="6498B692"/>
    <w:rsid w:val="64C5FC71"/>
    <w:rsid w:val="64D32D91"/>
    <w:rsid w:val="64D7A928"/>
    <w:rsid w:val="64FC7D98"/>
    <w:rsid w:val="65059C71"/>
    <w:rsid w:val="65128755"/>
    <w:rsid w:val="65145A5F"/>
    <w:rsid w:val="651CD363"/>
    <w:rsid w:val="652E91B9"/>
    <w:rsid w:val="653BE8FB"/>
    <w:rsid w:val="655C63E6"/>
    <w:rsid w:val="655DA429"/>
    <w:rsid w:val="6563626A"/>
    <w:rsid w:val="65810F3B"/>
    <w:rsid w:val="659797D6"/>
    <w:rsid w:val="659D820E"/>
    <w:rsid w:val="65BCF8C7"/>
    <w:rsid w:val="65C3AFE7"/>
    <w:rsid w:val="65CA8DC4"/>
    <w:rsid w:val="65D13DA3"/>
    <w:rsid w:val="65E44A8B"/>
    <w:rsid w:val="65EA5058"/>
    <w:rsid w:val="65FDC0D6"/>
    <w:rsid w:val="660856D2"/>
    <w:rsid w:val="660B12C2"/>
    <w:rsid w:val="6613893D"/>
    <w:rsid w:val="661E1111"/>
    <w:rsid w:val="6620D398"/>
    <w:rsid w:val="66210C8A"/>
    <w:rsid w:val="6626633E"/>
    <w:rsid w:val="662CFA7D"/>
    <w:rsid w:val="6649E0E1"/>
    <w:rsid w:val="66551C4D"/>
    <w:rsid w:val="6662BDFD"/>
    <w:rsid w:val="666436F0"/>
    <w:rsid w:val="6664E3B7"/>
    <w:rsid w:val="6670B169"/>
    <w:rsid w:val="6689C85E"/>
    <w:rsid w:val="66AC1A5D"/>
    <w:rsid w:val="66B241B7"/>
    <w:rsid w:val="66B69A3B"/>
    <w:rsid w:val="66B751D7"/>
    <w:rsid w:val="66BEA106"/>
    <w:rsid w:val="66C03029"/>
    <w:rsid w:val="66C22867"/>
    <w:rsid w:val="66DCDF6F"/>
    <w:rsid w:val="6707E473"/>
    <w:rsid w:val="671D22B9"/>
    <w:rsid w:val="6725E277"/>
    <w:rsid w:val="672764A2"/>
    <w:rsid w:val="672BCBA6"/>
    <w:rsid w:val="674A018E"/>
    <w:rsid w:val="674A71C8"/>
    <w:rsid w:val="675724AF"/>
    <w:rsid w:val="67628D2E"/>
    <w:rsid w:val="676C8D67"/>
    <w:rsid w:val="676CC99C"/>
    <w:rsid w:val="677A53CA"/>
    <w:rsid w:val="679630D6"/>
    <w:rsid w:val="679798F9"/>
    <w:rsid w:val="67A19E02"/>
    <w:rsid w:val="67A47ED7"/>
    <w:rsid w:val="67CF876A"/>
    <w:rsid w:val="67D01A6E"/>
    <w:rsid w:val="67D168FF"/>
    <w:rsid w:val="67D20814"/>
    <w:rsid w:val="67D7FA15"/>
    <w:rsid w:val="67DFD5D6"/>
    <w:rsid w:val="67E24B6D"/>
    <w:rsid w:val="67E7381E"/>
    <w:rsid w:val="6822BA9C"/>
    <w:rsid w:val="682C4E96"/>
    <w:rsid w:val="68383B53"/>
    <w:rsid w:val="684B1974"/>
    <w:rsid w:val="685316E5"/>
    <w:rsid w:val="68654779"/>
    <w:rsid w:val="68724937"/>
    <w:rsid w:val="687C4B7D"/>
    <w:rsid w:val="6880B14E"/>
    <w:rsid w:val="6888AE2A"/>
    <w:rsid w:val="688CF6A6"/>
    <w:rsid w:val="68A25964"/>
    <w:rsid w:val="68B70D55"/>
    <w:rsid w:val="68BB20A4"/>
    <w:rsid w:val="68BEA6ED"/>
    <w:rsid w:val="68E0A6C3"/>
    <w:rsid w:val="68EF6E8A"/>
    <w:rsid w:val="68F293B1"/>
    <w:rsid w:val="69020403"/>
    <w:rsid w:val="691EC120"/>
    <w:rsid w:val="69373298"/>
    <w:rsid w:val="694031F0"/>
    <w:rsid w:val="694C170F"/>
    <w:rsid w:val="69556436"/>
    <w:rsid w:val="696D5104"/>
    <w:rsid w:val="698B541E"/>
    <w:rsid w:val="698F1AA6"/>
    <w:rsid w:val="69A914D4"/>
    <w:rsid w:val="69C0F938"/>
    <w:rsid w:val="69CC0259"/>
    <w:rsid w:val="69E7C978"/>
    <w:rsid w:val="69F5D11C"/>
    <w:rsid w:val="69FA5BD6"/>
    <w:rsid w:val="6A00015A"/>
    <w:rsid w:val="6A024708"/>
    <w:rsid w:val="6A07419C"/>
    <w:rsid w:val="6A077C48"/>
    <w:rsid w:val="6A14C791"/>
    <w:rsid w:val="6A1EAB85"/>
    <w:rsid w:val="6A27DEF0"/>
    <w:rsid w:val="6A30CD32"/>
    <w:rsid w:val="6A61F5DE"/>
    <w:rsid w:val="6A69451F"/>
    <w:rsid w:val="6A6E85BD"/>
    <w:rsid w:val="6A79FE1D"/>
    <w:rsid w:val="6A7A8AA6"/>
    <w:rsid w:val="6A7B97AB"/>
    <w:rsid w:val="6AA38A6E"/>
    <w:rsid w:val="6AB89A64"/>
    <w:rsid w:val="6ABA5FDF"/>
    <w:rsid w:val="6AD54946"/>
    <w:rsid w:val="6ADB15B6"/>
    <w:rsid w:val="6AE2C058"/>
    <w:rsid w:val="6AEDD47D"/>
    <w:rsid w:val="6AF5A7F8"/>
    <w:rsid w:val="6AF89AD9"/>
    <w:rsid w:val="6AFBA0EA"/>
    <w:rsid w:val="6B0A3B0F"/>
    <w:rsid w:val="6B31B8C2"/>
    <w:rsid w:val="6B35CE98"/>
    <w:rsid w:val="6B38F0BB"/>
    <w:rsid w:val="6B3D5A80"/>
    <w:rsid w:val="6B5A3337"/>
    <w:rsid w:val="6B5D1815"/>
    <w:rsid w:val="6B6B2BBE"/>
    <w:rsid w:val="6B6D682B"/>
    <w:rsid w:val="6BB25DC3"/>
    <w:rsid w:val="6BB9338F"/>
    <w:rsid w:val="6BBF72F4"/>
    <w:rsid w:val="6BC872A9"/>
    <w:rsid w:val="6BCADAC7"/>
    <w:rsid w:val="6BFE5631"/>
    <w:rsid w:val="6C136BFD"/>
    <w:rsid w:val="6C1994E7"/>
    <w:rsid w:val="6C460E47"/>
    <w:rsid w:val="6C4F6F0E"/>
    <w:rsid w:val="6C5C6F70"/>
    <w:rsid w:val="6C608248"/>
    <w:rsid w:val="6C62AFEE"/>
    <w:rsid w:val="6C64EA69"/>
    <w:rsid w:val="6C6A3FD3"/>
    <w:rsid w:val="6C6B60AB"/>
    <w:rsid w:val="6C7D2538"/>
    <w:rsid w:val="6CAB923D"/>
    <w:rsid w:val="6CB51B38"/>
    <w:rsid w:val="6CB9D7BC"/>
    <w:rsid w:val="6CC14018"/>
    <w:rsid w:val="6CC734CB"/>
    <w:rsid w:val="6CE0E985"/>
    <w:rsid w:val="6CFFDE7E"/>
    <w:rsid w:val="6D14F0AB"/>
    <w:rsid w:val="6D555028"/>
    <w:rsid w:val="6D6477F3"/>
    <w:rsid w:val="6D686DF4"/>
    <w:rsid w:val="6D8357A1"/>
    <w:rsid w:val="6D88A38D"/>
    <w:rsid w:val="6DA7E74B"/>
    <w:rsid w:val="6DB193F0"/>
    <w:rsid w:val="6DDEFC91"/>
    <w:rsid w:val="6DDFA6D3"/>
    <w:rsid w:val="6DE61DCC"/>
    <w:rsid w:val="6DEAC237"/>
    <w:rsid w:val="6DF99022"/>
    <w:rsid w:val="6E163B90"/>
    <w:rsid w:val="6E2A9843"/>
    <w:rsid w:val="6E3E75AE"/>
    <w:rsid w:val="6E97C809"/>
    <w:rsid w:val="6EAA9989"/>
    <w:rsid w:val="6EC14617"/>
    <w:rsid w:val="6ECA2763"/>
    <w:rsid w:val="6ED794BE"/>
    <w:rsid w:val="6EDD07BE"/>
    <w:rsid w:val="6EDEDF66"/>
    <w:rsid w:val="6EED574B"/>
    <w:rsid w:val="6EED8D8A"/>
    <w:rsid w:val="6EF88D50"/>
    <w:rsid w:val="6EF92AC9"/>
    <w:rsid w:val="6F00AAB5"/>
    <w:rsid w:val="6F065339"/>
    <w:rsid w:val="6F0F1E62"/>
    <w:rsid w:val="6F13F685"/>
    <w:rsid w:val="6F1B7939"/>
    <w:rsid w:val="6F1EB14D"/>
    <w:rsid w:val="6F412ED1"/>
    <w:rsid w:val="6F68CE82"/>
    <w:rsid w:val="6F72A9EC"/>
    <w:rsid w:val="6F79F3FB"/>
    <w:rsid w:val="6F83710B"/>
    <w:rsid w:val="6F9676B4"/>
    <w:rsid w:val="6F9E2666"/>
    <w:rsid w:val="6FA02C3B"/>
    <w:rsid w:val="6FA89934"/>
    <w:rsid w:val="6FB50B62"/>
    <w:rsid w:val="6FBF29F5"/>
    <w:rsid w:val="6FC1666B"/>
    <w:rsid w:val="6FCCD552"/>
    <w:rsid w:val="6FDE4D8A"/>
    <w:rsid w:val="6FE207EE"/>
    <w:rsid w:val="6FE24BA1"/>
    <w:rsid w:val="6FE52D70"/>
    <w:rsid w:val="6FE69B28"/>
    <w:rsid w:val="6FE732B8"/>
    <w:rsid w:val="6FF49894"/>
    <w:rsid w:val="6FFF412B"/>
    <w:rsid w:val="700136F3"/>
    <w:rsid w:val="701BC28C"/>
    <w:rsid w:val="703DDCF4"/>
    <w:rsid w:val="704430FB"/>
    <w:rsid w:val="7057DA88"/>
    <w:rsid w:val="7062C352"/>
    <w:rsid w:val="70806654"/>
    <w:rsid w:val="70960C25"/>
    <w:rsid w:val="70AE2E76"/>
    <w:rsid w:val="70B16998"/>
    <w:rsid w:val="70B9B269"/>
    <w:rsid w:val="70BDD786"/>
    <w:rsid w:val="70C85D0D"/>
    <w:rsid w:val="70E60141"/>
    <w:rsid w:val="70E85536"/>
    <w:rsid w:val="710341DB"/>
    <w:rsid w:val="71061EDB"/>
    <w:rsid w:val="710A6ADA"/>
    <w:rsid w:val="7125F80F"/>
    <w:rsid w:val="7147F513"/>
    <w:rsid w:val="7150E81D"/>
    <w:rsid w:val="71530F2A"/>
    <w:rsid w:val="71534DA8"/>
    <w:rsid w:val="71550CF4"/>
    <w:rsid w:val="71702E47"/>
    <w:rsid w:val="7177C602"/>
    <w:rsid w:val="718050B6"/>
    <w:rsid w:val="71858AAC"/>
    <w:rsid w:val="718AA975"/>
    <w:rsid w:val="7191BAD4"/>
    <w:rsid w:val="71924901"/>
    <w:rsid w:val="71A39C0A"/>
    <w:rsid w:val="71BABA1B"/>
    <w:rsid w:val="71BE0189"/>
    <w:rsid w:val="71CA0155"/>
    <w:rsid w:val="71DFC20B"/>
    <w:rsid w:val="71E5D036"/>
    <w:rsid w:val="71F82DC7"/>
    <w:rsid w:val="720B72F8"/>
    <w:rsid w:val="72177D63"/>
    <w:rsid w:val="7218A068"/>
    <w:rsid w:val="721C1720"/>
    <w:rsid w:val="723A1C4B"/>
    <w:rsid w:val="72516A59"/>
    <w:rsid w:val="7263CE40"/>
    <w:rsid w:val="7265C155"/>
    <w:rsid w:val="726DC483"/>
    <w:rsid w:val="7270A861"/>
    <w:rsid w:val="7272E092"/>
    <w:rsid w:val="72E745A1"/>
    <w:rsid w:val="72F0D8B4"/>
    <w:rsid w:val="72F20BEE"/>
    <w:rsid w:val="72FB95B3"/>
    <w:rsid w:val="7300BD5D"/>
    <w:rsid w:val="73025568"/>
    <w:rsid w:val="7321BC27"/>
    <w:rsid w:val="7360ACAE"/>
    <w:rsid w:val="736BE08D"/>
    <w:rsid w:val="736DF0E5"/>
    <w:rsid w:val="736E3080"/>
    <w:rsid w:val="73786BA6"/>
    <w:rsid w:val="7385E299"/>
    <w:rsid w:val="738D3A7B"/>
    <w:rsid w:val="738E2C7D"/>
    <w:rsid w:val="739CD25A"/>
    <w:rsid w:val="73A186CB"/>
    <w:rsid w:val="73A8075C"/>
    <w:rsid w:val="73B31FCE"/>
    <w:rsid w:val="73BA05B7"/>
    <w:rsid w:val="73BEE7C2"/>
    <w:rsid w:val="73C26DFA"/>
    <w:rsid w:val="73C7BC5C"/>
    <w:rsid w:val="73D31159"/>
    <w:rsid w:val="73E5661D"/>
    <w:rsid w:val="73E6BECA"/>
    <w:rsid w:val="73F185FC"/>
    <w:rsid w:val="73F65B65"/>
    <w:rsid w:val="73F9C5BF"/>
    <w:rsid w:val="7417EFD3"/>
    <w:rsid w:val="74191ABF"/>
    <w:rsid w:val="744FD113"/>
    <w:rsid w:val="746A70D0"/>
    <w:rsid w:val="747228A5"/>
    <w:rsid w:val="74723BFE"/>
    <w:rsid w:val="747B2261"/>
    <w:rsid w:val="748B88B3"/>
    <w:rsid w:val="748E9F4C"/>
    <w:rsid w:val="749378C1"/>
    <w:rsid w:val="74939846"/>
    <w:rsid w:val="7496B8FB"/>
    <w:rsid w:val="74A09E7A"/>
    <w:rsid w:val="74AEF18E"/>
    <w:rsid w:val="74BBB974"/>
    <w:rsid w:val="74C76031"/>
    <w:rsid w:val="74D06CFA"/>
    <w:rsid w:val="74D5D629"/>
    <w:rsid w:val="74D81A12"/>
    <w:rsid w:val="74E52153"/>
    <w:rsid w:val="7509EEA8"/>
    <w:rsid w:val="75187A5A"/>
    <w:rsid w:val="75364BBC"/>
    <w:rsid w:val="755A4F5E"/>
    <w:rsid w:val="755CF940"/>
    <w:rsid w:val="755DDA8C"/>
    <w:rsid w:val="756705D5"/>
    <w:rsid w:val="756F673D"/>
    <w:rsid w:val="7577DB0A"/>
    <w:rsid w:val="757B7D49"/>
    <w:rsid w:val="7589B6FB"/>
    <w:rsid w:val="759C7090"/>
    <w:rsid w:val="75A07240"/>
    <w:rsid w:val="75ACF32C"/>
    <w:rsid w:val="75B35DD7"/>
    <w:rsid w:val="75B5EAE0"/>
    <w:rsid w:val="75B8E677"/>
    <w:rsid w:val="75E34316"/>
    <w:rsid w:val="76004587"/>
    <w:rsid w:val="760B92A7"/>
    <w:rsid w:val="762D8A8F"/>
    <w:rsid w:val="763A565D"/>
    <w:rsid w:val="764E5E53"/>
    <w:rsid w:val="76655553"/>
    <w:rsid w:val="7672A294"/>
    <w:rsid w:val="7676A6C7"/>
    <w:rsid w:val="768E56B7"/>
    <w:rsid w:val="76A0C7A9"/>
    <w:rsid w:val="76B431A2"/>
    <w:rsid w:val="76B7C85F"/>
    <w:rsid w:val="76D18720"/>
    <w:rsid w:val="76D4D5D6"/>
    <w:rsid w:val="76E26967"/>
    <w:rsid w:val="76EEB328"/>
    <w:rsid w:val="770A022E"/>
    <w:rsid w:val="770DA678"/>
    <w:rsid w:val="7713AB6B"/>
    <w:rsid w:val="771B610D"/>
    <w:rsid w:val="7738F2C2"/>
    <w:rsid w:val="7744A2E4"/>
    <w:rsid w:val="774852FC"/>
    <w:rsid w:val="774E84B2"/>
    <w:rsid w:val="775DFE12"/>
    <w:rsid w:val="7762011A"/>
    <w:rsid w:val="776940EE"/>
    <w:rsid w:val="777AE024"/>
    <w:rsid w:val="777B99DE"/>
    <w:rsid w:val="779557BB"/>
    <w:rsid w:val="779775A8"/>
    <w:rsid w:val="77A634DF"/>
    <w:rsid w:val="77AE9C93"/>
    <w:rsid w:val="77C30856"/>
    <w:rsid w:val="77C9B144"/>
    <w:rsid w:val="77D003D6"/>
    <w:rsid w:val="77D2312A"/>
    <w:rsid w:val="77D62B32"/>
    <w:rsid w:val="77EF87CB"/>
    <w:rsid w:val="77F0BEBA"/>
    <w:rsid w:val="77F6FBB8"/>
    <w:rsid w:val="7808DF15"/>
    <w:rsid w:val="781122E3"/>
    <w:rsid w:val="781207CE"/>
    <w:rsid w:val="781B4B3F"/>
    <w:rsid w:val="78269A43"/>
    <w:rsid w:val="7837BAC2"/>
    <w:rsid w:val="78380AD1"/>
    <w:rsid w:val="7872D1F7"/>
    <w:rsid w:val="7873B7EB"/>
    <w:rsid w:val="78AFEF10"/>
    <w:rsid w:val="78B53835"/>
    <w:rsid w:val="78B6D78C"/>
    <w:rsid w:val="78BBBC6F"/>
    <w:rsid w:val="78CA7152"/>
    <w:rsid w:val="78CC569D"/>
    <w:rsid w:val="78D00A81"/>
    <w:rsid w:val="78E1FAE2"/>
    <w:rsid w:val="78E531B4"/>
    <w:rsid w:val="78F52E0F"/>
    <w:rsid w:val="790D0848"/>
    <w:rsid w:val="7918665E"/>
    <w:rsid w:val="792031A2"/>
    <w:rsid w:val="79368DED"/>
    <w:rsid w:val="79389CC9"/>
    <w:rsid w:val="79403FFD"/>
    <w:rsid w:val="7952E14F"/>
    <w:rsid w:val="79542E1E"/>
    <w:rsid w:val="795671DD"/>
    <w:rsid w:val="796CD138"/>
    <w:rsid w:val="79748C71"/>
    <w:rsid w:val="797DA3AA"/>
    <w:rsid w:val="79896A34"/>
    <w:rsid w:val="798CC1C8"/>
    <w:rsid w:val="79A33494"/>
    <w:rsid w:val="79A4B37D"/>
    <w:rsid w:val="79B22263"/>
    <w:rsid w:val="79C52A1A"/>
    <w:rsid w:val="79D60E79"/>
    <w:rsid w:val="79D89A71"/>
    <w:rsid w:val="79E09E36"/>
    <w:rsid w:val="79EC6932"/>
    <w:rsid w:val="7A0335CC"/>
    <w:rsid w:val="7A162BE6"/>
    <w:rsid w:val="7A16AB89"/>
    <w:rsid w:val="7A26F4D9"/>
    <w:rsid w:val="7A31BA86"/>
    <w:rsid w:val="7A3401CB"/>
    <w:rsid w:val="7A3B56DE"/>
    <w:rsid w:val="7A466433"/>
    <w:rsid w:val="7A6688CF"/>
    <w:rsid w:val="7A670D61"/>
    <w:rsid w:val="7A7BCDFB"/>
    <w:rsid w:val="7A9B7488"/>
    <w:rsid w:val="7AA6EA24"/>
    <w:rsid w:val="7AAE139F"/>
    <w:rsid w:val="7AB2A328"/>
    <w:rsid w:val="7ABF9502"/>
    <w:rsid w:val="7AD178C8"/>
    <w:rsid w:val="7ADF9CE9"/>
    <w:rsid w:val="7B0D60DD"/>
    <w:rsid w:val="7B13E8B1"/>
    <w:rsid w:val="7B1BF334"/>
    <w:rsid w:val="7B2CA073"/>
    <w:rsid w:val="7B4B70C4"/>
    <w:rsid w:val="7B69F32F"/>
    <w:rsid w:val="7B71BFEC"/>
    <w:rsid w:val="7B7A5104"/>
    <w:rsid w:val="7B7C779A"/>
    <w:rsid w:val="7B9D49A5"/>
    <w:rsid w:val="7BB48AAA"/>
    <w:rsid w:val="7BDB355A"/>
    <w:rsid w:val="7BE34E13"/>
    <w:rsid w:val="7BE3710F"/>
    <w:rsid w:val="7BEF20AC"/>
    <w:rsid w:val="7C087ADF"/>
    <w:rsid w:val="7C122784"/>
    <w:rsid w:val="7C1923DA"/>
    <w:rsid w:val="7C1B440E"/>
    <w:rsid w:val="7C2B2DF6"/>
    <w:rsid w:val="7C2F2B03"/>
    <w:rsid w:val="7C4B7610"/>
    <w:rsid w:val="7C4B889C"/>
    <w:rsid w:val="7C4D3EFD"/>
    <w:rsid w:val="7C4E35C9"/>
    <w:rsid w:val="7C51A0AE"/>
    <w:rsid w:val="7C545B74"/>
    <w:rsid w:val="7C6D1AD5"/>
    <w:rsid w:val="7C75454C"/>
    <w:rsid w:val="7C7B3999"/>
    <w:rsid w:val="7C802010"/>
    <w:rsid w:val="7CA57494"/>
    <w:rsid w:val="7CC22B60"/>
    <w:rsid w:val="7CCAF28B"/>
    <w:rsid w:val="7CCFBB4C"/>
    <w:rsid w:val="7CE33F0F"/>
    <w:rsid w:val="7D0A4B57"/>
    <w:rsid w:val="7D0FAE50"/>
    <w:rsid w:val="7D1A01D3"/>
    <w:rsid w:val="7D1D4C6C"/>
    <w:rsid w:val="7D21F754"/>
    <w:rsid w:val="7D26386A"/>
    <w:rsid w:val="7D276FF0"/>
    <w:rsid w:val="7D34370F"/>
    <w:rsid w:val="7D357BF6"/>
    <w:rsid w:val="7D3BD7EC"/>
    <w:rsid w:val="7D4933E0"/>
    <w:rsid w:val="7D510BD8"/>
    <w:rsid w:val="7D51BC35"/>
    <w:rsid w:val="7D5427E8"/>
    <w:rsid w:val="7D774204"/>
    <w:rsid w:val="7D8D8845"/>
    <w:rsid w:val="7D9A6CF5"/>
    <w:rsid w:val="7DC89624"/>
    <w:rsid w:val="7DD6A412"/>
    <w:rsid w:val="7DD84FB0"/>
    <w:rsid w:val="7DDDCCCA"/>
    <w:rsid w:val="7E15B9E0"/>
    <w:rsid w:val="7E1676BE"/>
    <w:rsid w:val="7E250851"/>
    <w:rsid w:val="7E2C0E0F"/>
    <w:rsid w:val="7E2E0BE9"/>
    <w:rsid w:val="7E3185CB"/>
    <w:rsid w:val="7E33127F"/>
    <w:rsid w:val="7E33C127"/>
    <w:rsid w:val="7E4E8D01"/>
    <w:rsid w:val="7E533BFD"/>
    <w:rsid w:val="7E5E9B37"/>
    <w:rsid w:val="7E73C7E4"/>
    <w:rsid w:val="7E8AA0D0"/>
    <w:rsid w:val="7E955402"/>
    <w:rsid w:val="7EB3FDB8"/>
    <w:rsid w:val="7EBAB779"/>
    <w:rsid w:val="7EC5CFB0"/>
    <w:rsid w:val="7EFA9396"/>
    <w:rsid w:val="7F053DA5"/>
    <w:rsid w:val="7F0A217B"/>
    <w:rsid w:val="7F1569F1"/>
    <w:rsid w:val="7F31B7D5"/>
    <w:rsid w:val="7F7C70A9"/>
    <w:rsid w:val="7F952413"/>
    <w:rsid w:val="7F9CAEDD"/>
    <w:rsid w:val="7F9FAC75"/>
    <w:rsid w:val="7FD45BD3"/>
    <w:rsid w:val="7FECE2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FDE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8D"/>
    <w:rPr>
      <w:rFonts w:ascii="Segoe UI" w:hAnsi="Segoe UI"/>
    </w:rPr>
  </w:style>
  <w:style w:type="paragraph" w:styleId="Heading1">
    <w:name w:val="heading 1"/>
    <w:basedOn w:val="Normal"/>
    <w:next w:val="Normal"/>
    <w:link w:val="Heading1Char"/>
    <w:uiPriority w:val="9"/>
    <w:qFormat/>
    <w:rsid w:val="00CF0453"/>
    <w:pPr>
      <w:keepNext/>
      <w:numPr>
        <w:numId w:val="1"/>
      </w:numPr>
      <w:spacing w:before="240" w:after="120" w:line="276" w:lineRule="auto"/>
      <w:outlineLvl w:val="0"/>
    </w:pPr>
    <w:rPr>
      <w:rFonts w:eastAsia="Times New Roman" w:cs="Segoe UI"/>
      <w:bCs/>
      <w:color w:val="094767" w:themeColor="accent4" w:themeShade="80"/>
      <w:kern w:val="28"/>
      <w:sz w:val="44"/>
      <w:szCs w:val="36"/>
    </w:rPr>
  </w:style>
  <w:style w:type="paragraph" w:styleId="Heading2">
    <w:name w:val="heading 2"/>
    <w:next w:val="Normal"/>
    <w:link w:val="Heading2Char"/>
    <w:qFormat/>
    <w:rsid w:val="00F84CAB"/>
    <w:pPr>
      <w:keepNext/>
      <w:numPr>
        <w:ilvl w:val="1"/>
        <w:numId w:val="1"/>
      </w:numPr>
      <w:spacing w:before="240" w:after="120" w:line="276" w:lineRule="auto"/>
      <w:ind w:left="720"/>
      <w:outlineLvl w:val="1"/>
    </w:pPr>
    <w:rPr>
      <w:rFonts w:ascii="Segoe UI" w:eastAsia="Times New Roman" w:hAnsi="Segoe UI" w:cs="Segoe UI"/>
      <w:bCs/>
      <w:iCs/>
      <w:color w:val="057D8B"/>
      <w:sz w:val="36"/>
      <w:szCs w:val="28"/>
    </w:rPr>
  </w:style>
  <w:style w:type="paragraph" w:styleId="Heading3">
    <w:name w:val="heading 3"/>
    <w:basedOn w:val="Normal"/>
    <w:next w:val="Normal"/>
    <w:link w:val="Heading3Char"/>
    <w:uiPriority w:val="9"/>
    <w:unhideWhenUsed/>
    <w:qFormat/>
    <w:rsid w:val="001C5DDA"/>
    <w:pPr>
      <w:outlineLvl w:val="2"/>
    </w:pPr>
    <w:rPr>
      <w:rFonts w:cs="Segoe UI"/>
      <w:color w:val="11427A"/>
      <w:sz w:val="32"/>
      <w:szCs w:val="32"/>
    </w:rPr>
  </w:style>
  <w:style w:type="paragraph" w:styleId="Heading4">
    <w:name w:val="heading 4"/>
    <w:basedOn w:val="Normal"/>
    <w:next w:val="Normal"/>
    <w:link w:val="Heading4Char"/>
    <w:uiPriority w:val="9"/>
    <w:unhideWhenUsed/>
    <w:qFormat/>
    <w:rsid w:val="00D4545B"/>
    <w:pPr>
      <w:keepNext/>
      <w:keepLines/>
      <w:spacing w:before="40" w:after="0"/>
      <w:outlineLvl w:val="3"/>
    </w:pPr>
    <w:rPr>
      <w:rFonts w:eastAsiaTheme="majorEastAsia" w:cstheme="majorBidi"/>
      <w:iCs/>
      <w:color w:val="008A96" w:themeColor="accent3"/>
    </w:rPr>
  </w:style>
  <w:style w:type="paragraph" w:styleId="Heading5">
    <w:name w:val="heading 5"/>
    <w:basedOn w:val="Normal"/>
    <w:next w:val="Normal"/>
    <w:link w:val="Heading5Char"/>
    <w:uiPriority w:val="9"/>
    <w:unhideWhenUsed/>
    <w:qFormat/>
    <w:rsid w:val="00A80B56"/>
    <w:pPr>
      <w:keepNext/>
      <w:keepLines/>
      <w:spacing w:before="40" w:after="0"/>
      <w:outlineLvl w:val="4"/>
    </w:pPr>
    <w:rPr>
      <w:rFonts w:eastAsiaTheme="majorEastAsia" w:cstheme="majorBidi"/>
      <w:i/>
      <w:color w:val="15315E" w:themeColor="accent1" w:themeShade="BF"/>
    </w:rPr>
  </w:style>
  <w:style w:type="paragraph" w:styleId="Heading6">
    <w:name w:val="heading 6"/>
    <w:basedOn w:val="Normal"/>
    <w:next w:val="Normal"/>
    <w:link w:val="Heading6Char"/>
    <w:uiPriority w:val="9"/>
    <w:unhideWhenUsed/>
    <w:qFormat/>
    <w:rsid w:val="00A10169"/>
    <w:pPr>
      <w:spacing w:after="0"/>
      <w:outlineLvl w:val="5"/>
    </w:pPr>
    <w:rPr>
      <w:rFonts w:eastAsiaTheme="majorEastAsia" w:cstheme="majorBidi"/>
      <w:bCs/>
      <w:i/>
      <w:color w:val="153A6E" w:themeColor="text2"/>
      <w:sz w:val="22"/>
      <w:szCs w:val="20"/>
      <w:lang w:eastAsia="en-AU"/>
    </w:rPr>
  </w:style>
  <w:style w:type="paragraph" w:styleId="Heading7">
    <w:name w:val="heading 7"/>
    <w:basedOn w:val="Normal"/>
    <w:next w:val="Normal"/>
    <w:link w:val="Heading7Char"/>
    <w:uiPriority w:val="9"/>
    <w:unhideWhenUsed/>
    <w:qFormat/>
    <w:rsid w:val="00335F88"/>
    <w:pPr>
      <w:keepNext/>
      <w:keepLines/>
      <w:spacing w:after="0"/>
      <w:outlineLvl w:val="6"/>
    </w:pPr>
    <w:rPr>
      <w:rFonts w:eastAsiaTheme="majorEastAsia" w:cs="Segoe UI"/>
      <w:color w:val="0E213F" w:themeColor="accent1" w:themeShade="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1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178"/>
  </w:style>
  <w:style w:type="paragraph" w:styleId="Footer">
    <w:name w:val="footer"/>
    <w:basedOn w:val="Normal"/>
    <w:link w:val="FooterChar"/>
    <w:uiPriority w:val="99"/>
    <w:unhideWhenUsed/>
    <w:rsid w:val="00A05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178"/>
  </w:style>
  <w:style w:type="character" w:customStyle="1" w:styleId="Heading2Char">
    <w:name w:val="Heading 2 Char"/>
    <w:basedOn w:val="DefaultParagraphFont"/>
    <w:link w:val="Heading2"/>
    <w:rsid w:val="001C5DDA"/>
    <w:rPr>
      <w:rFonts w:ascii="Segoe UI" w:eastAsia="Times New Roman" w:hAnsi="Segoe UI" w:cs="Segoe UI"/>
      <w:bCs/>
      <w:iCs/>
      <w:color w:val="057D8B"/>
      <w:sz w:val="36"/>
      <w:szCs w:val="28"/>
    </w:rPr>
  </w:style>
  <w:style w:type="paragraph" w:styleId="ListParagraph">
    <w:name w:val="List Paragraph"/>
    <w:aliases w:val="OBC Bullet,F5 List Paragraph,Colorful List - Accent 11,Normal numbered,Bullet 1,Bullet Style,Dot pt,No Spacing1,Indicator Text,Numbered Para 1,List Paragraph1,Bullet Points,MAIN CONTENT,List Paragraph12,L,Recommendation,#List Paragraph,列"/>
    <w:basedOn w:val="Normal"/>
    <w:link w:val="ListParagraphChar"/>
    <w:uiPriority w:val="34"/>
    <w:qFormat/>
    <w:rsid w:val="000E1DBD"/>
    <w:pPr>
      <w:ind w:left="720"/>
      <w:contextualSpacing/>
    </w:pPr>
  </w:style>
  <w:style w:type="character" w:customStyle="1" w:styleId="Heading3Char">
    <w:name w:val="Heading 3 Char"/>
    <w:basedOn w:val="DefaultParagraphFont"/>
    <w:link w:val="Heading3"/>
    <w:uiPriority w:val="9"/>
    <w:rsid w:val="001C5DDA"/>
    <w:rPr>
      <w:rFonts w:ascii="Segoe UI" w:hAnsi="Segoe UI" w:cs="Segoe UI"/>
      <w:color w:val="11427A"/>
      <w:sz w:val="32"/>
      <w:szCs w:val="32"/>
    </w:rPr>
  </w:style>
  <w:style w:type="character" w:customStyle="1" w:styleId="Heading1Char">
    <w:name w:val="Heading 1 Char"/>
    <w:basedOn w:val="DefaultParagraphFont"/>
    <w:link w:val="Heading1"/>
    <w:uiPriority w:val="9"/>
    <w:rsid w:val="00CF0453"/>
    <w:rPr>
      <w:rFonts w:ascii="Segoe UI" w:eastAsia="Times New Roman" w:hAnsi="Segoe UI" w:cs="Segoe UI"/>
      <w:bCs/>
      <w:color w:val="094767" w:themeColor="accent4" w:themeShade="80"/>
      <w:kern w:val="28"/>
      <w:sz w:val="44"/>
      <w:szCs w:val="36"/>
    </w:rPr>
  </w:style>
  <w:style w:type="character" w:styleId="CommentReference">
    <w:name w:val="annotation reference"/>
    <w:basedOn w:val="DefaultParagraphFont"/>
    <w:uiPriority w:val="99"/>
    <w:semiHidden/>
    <w:unhideWhenUsed/>
    <w:rsid w:val="000E1DBD"/>
    <w:rPr>
      <w:sz w:val="16"/>
      <w:szCs w:val="16"/>
    </w:rPr>
  </w:style>
  <w:style w:type="paragraph" w:styleId="CommentText">
    <w:name w:val="annotation text"/>
    <w:basedOn w:val="Normal"/>
    <w:link w:val="CommentTextChar"/>
    <w:uiPriority w:val="99"/>
    <w:unhideWhenUsed/>
    <w:rsid w:val="000E1DBD"/>
    <w:pPr>
      <w:spacing w:after="120" w:line="240" w:lineRule="auto"/>
    </w:pPr>
    <w:rPr>
      <w:rFonts w:ascii="Arial" w:eastAsia="Times New Roman" w:hAnsi="Arial"/>
      <w:sz w:val="20"/>
      <w:szCs w:val="20"/>
    </w:rPr>
  </w:style>
  <w:style w:type="character" w:customStyle="1" w:styleId="CommentTextChar">
    <w:name w:val="Comment Text Char"/>
    <w:basedOn w:val="DefaultParagraphFont"/>
    <w:link w:val="CommentText"/>
    <w:uiPriority w:val="99"/>
    <w:rsid w:val="000E1DBD"/>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14502A"/>
    <w:pPr>
      <w:spacing w:after="16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14502A"/>
    <w:rPr>
      <w:rFonts w:ascii="Arial" w:eastAsia="Times New Roman" w:hAnsi="Arial"/>
      <w:b/>
      <w:bCs/>
      <w:sz w:val="20"/>
      <w:szCs w:val="20"/>
    </w:rPr>
  </w:style>
  <w:style w:type="paragraph" w:customStyle="1" w:styleId="Default">
    <w:name w:val="Default"/>
    <w:rsid w:val="00DE4BF5"/>
    <w:pPr>
      <w:autoSpaceDE w:val="0"/>
      <w:autoSpaceDN w:val="0"/>
      <w:adjustRightInd w:val="0"/>
      <w:spacing w:after="0" w:line="240" w:lineRule="auto"/>
    </w:pPr>
    <w:rPr>
      <w:rFonts w:ascii="Calibri" w:hAnsi="Calibri" w:cs="Calibri"/>
      <w:color w:val="000000"/>
    </w:rPr>
  </w:style>
  <w:style w:type="character" w:customStyle="1" w:styleId="ListParagraphChar">
    <w:name w:val="List Paragraph Char"/>
    <w:aliases w:val="OBC Bullet Char,F5 List Paragraph Char,Colorful List - Accent 11 Char,Normal numbered Char,Bullet 1 Char,Bullet Style Char,Dot pt Char,No Spacing1 Char,Indicator Text Char,Numbered Para 1 Char,List Paragraph1 Char,Bullet Points Char"/>
    <w:basedOn w:val="DefaultParagraphFont"/>
    <w:link w:val="ListParagraph"/>
    <w:uiPriority w:val="34"/>
    <w:qFormat/>
    <w:locked/>
    <w:rsid w:val="0062538B"/>
  </w:style>
  <w:style w:type="character" w:styleId="Hyperlink">
    <w:name w:val="Hyperlink"/>
    <w:basedOn w:val="DefaultParagraphFont"/>
    <w:uiPriority w:val="99"/>
    <w:unhideWhenUsed/>
    <w:rsid w:val="0090395A"/>
    <w:rPr>
      <w:color w:val="0E6C9B" w:themeColor="hyperlink"/>
      <w:u w:val="single"/>
    </w:rPr>
  </w:style>
  <w:style w:type="character" w:styleId="UnresolvedMention">
    <w:name w:val="Unresolved Mention"/>
    <w:basedOn w:val="DefaultParagraphFont"/>
    <w:uiPriority w:val="99"/>
    <w:semiHidden/>
    <w:unhideWhenUsed/>
    <w:rsid w:val="0090395A"/>
    <w:rPr>
      <w:color w:val="605E5C"/>
      <w:shd w:val="clear" w:color="auto" w:fill="E1DFDD"/>
    </w:rPr>
  </w:style>
  <w:style w:type="character" w:customStyle="1" w:styleId="Heading4Char">
    <w:name w:val="Heading 4 Char"/>
    <w:basedOn w:val="DefaultParagraphFont"/>
    <w:link w:val="Heading4"/>
    <w:uiPriority w:val="9"/>
    <w:rsid w:val="00F80FBF"/>
    <w:rPr>
      <w:rFonts w:ascii="Segoe UI" w:eastAsiaTheme="majorEastAsia" w:hAnsi="Segoe UI" w:cstheme="majorBidi"/>
      <w:iCs/>
      <w:color w:val="008A96" w:themeColor="accent3"/>
    </w:rPr>
  </w:style>
  <w:style w:type="character" w:styleId="FollowedHyperlink">
    <w:name w:val="FollowedHyperlink"/>
    <w:basedOn w:val="DefaultParagraphFont"/>
    <w:uiPriority w:val="99"/>
    <w:semiHidden/>
    <w:unhideWhenUsed/>
    <w:rsid w:val="00771101"/>
    <w:rPr>
      <w:color w:val="954F72" w:themeColor="followedHyperlink"/>
      <w:u w:val="single"/>
    </w:rPr>
  </w:style>
  <w:style w:type="paragraph" w:customStyle="1" w:styleId="pf0">
    <w:name w:val="pf0"/>
    <w:basedOn w:val="Normal"/>
    <w:rsid w:val="00F36100"/>
    <w:pPr>
      <w:spacing w:before="100" w:beforeAutospacing="1" w:after="100" w:afterAutospacing="1" w:line="240" w:lineRule="auto"/>
    </w:pPr>
    <w:rPr>
      <w:rFonts w:eastAsia="Times New Roman"/>
      <w:lang w:eastAsia="en-AU"/>
    </w:rPr>
  </w:style>
  <w:style w:type="character" w:customStyle="1" w:styleId="cf01">
    <w:name w:val="cf01"/>
    <w:basedOn w:val="DefaultParagraphFont"/>
    <w:rsid w:val="00F36100"/>
    <w:rPr>
      <w:rFonts w:ascii="Segoe UI" w:hAnsi="Segoe UI" w:cs="Segoe UI" w:hint="default"/>
      <w:sz w:val="18"/>
      <w:szCs w:val="18"/>
    </w:rPr>
  </w:style>
  <w:style w:type="character" w:customStyle="1" w:styleId="Heading5Char">
    <w:name w:val="Heading 5 Char"/>
    <w:basedOn w:val="DefaultParagraphFont"/>
    <w:link w:val="Heading5"/>
    <w:uiPriority w:val="9"/>
    <w:rsid w:val="00FB128E"/>
    <w:rPr>
      <w:rFonts w:ascii="Segoe UI" w:eastAsiaTheme="majorEastAsia" w:hAnsi="Segoe UI" w:cstheme="majorBidi"/>
      <w:i/>
      <w:color w:val="15315E" w:themeColor="accent1" w:themeShade="BF"/>
    </w:rPr>
  </w:style>
  <w:style w:type="paragraph" w:styleId="Revision">
    <w:name w:val="Revision"/>
    <w:hidden/>
    <w:uiPriority w:val="99"/>
    <w:semiHidden/>
    <w:rsid w:val="00FB128E"/>
    <w:pPr>
      <w:spacing w:after="0" w:line="240" w:lineRule="auto"/>
    </w:pPr>
  </w:style>
  <w:style w:type="table" w:styleId="TableGrid">
    <w:name w:val="Table Grid"/>
    <w:basedOn w:val="TableNormal"/>
    <w:uiPriority w:val="59"/>
    <w:rsid w:val="00FB1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B128E"/>
    <w:pPr>
      <w:spacing w:before="120"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B128E"/>
    <w:rPr>
      <w:rFonts w:asciiTheme="minorHAnsi" w:hAnsiTheme="minorHAnsi" w:cstheme="minorBidi"/>
      <w:sz w:val="20"/>
      <w:szCs w:val="20"/>
    </w:rPr>
  </w:style>
  <w:style w:type="character" w:styleId="FootnoteReference">
    <w:name w:val="footnote reference"/>
    <w:basedOn w:val="DefaultParagraphFont"/>
    <w:uiPriority w:val="99"/>
    <w:unhideWhenUsed/>
    <w:rsid w:val="00FB128E"/>
    <w:rPr>
      <w:vertAlign w:val="superscript"/>
    </w:rPr>
  </w:style>
  <w:style w:type="character" w:customStyle="1" w:styleId="normaltextrun">
    <w:name w:val="normaltextrun"/>
    <w:basedOn w:val="DefaultParagraphFont"/>
    <w:rsid w:val="00FB128E"/>
  </w:style>
  <w:style w:type="paragraph" w:customStyle="1" w:styleId="paragraph">
    <w:name w:val="paragraph"/>
    <w:basedOn w:val="Normal"/>
    <w:rsid w:val="004E2FC2"/>
    <w:pPr>
      <w:spacing w:before="100" w:beforeAutospacing="1" w:after="100" w:afterAutospacing="1" w:line="240" w:lineRule="auto"/>
    </w:pPr>
    <w:rPr>
      <w:rFonts w:ascii="Times New Roman" w:eastAsia="Times New Roman" w:hAnsi="Times New Roman"/>
      <w:lang w:eastAsia="ja-JP"/>
    </w:rPr>
  </w:style>
  <w:style w:type="character" w:customStyle="1" w:styleId="superscript">
    <w:name w:val="superscript"/>
    <w:basedOn w:val="DefaultParagraphFont"/>
    <w:rsid w:val="00FB128E"/>
  </w:style>
  <w:style w:type="character" w:customStyle="1" w:styleId="eop">
    <w:name w:val="eop"/>
    <w:basedOn w:val="DefaultParagraphFont"/>
    <w:rsid w:val="00FB128E"/>
  </w:style>
  <w:style w:type="paragraph" w:customStyle="1" w:styleId="Figurecaption">
    <w:name w:val="Figure caption"/>
    <w:basedOn w:val="Caption"/>
    <w:link w:val="FigurecaptionChar"/>
    <w:qFormat/>
    <w:rsid w:val="00FB128E"/>
    <w:pPr>
      <w:textAlignment w:val="baseline"/>
    </w:pPr>
    <w:rPr>
      <w:rFonts w:ascii="Calibri" w:eastAsia="Calibri" w:hAnsi="Calibri" w:cs="Calibri"/>
      <w:b/>
      <w:bCs/>
      <w:i w:val="0"/>
      <w:iCs w:val="0"/>
      <w:color w:val="005A68" w:themeColor="accent6" w:themeShade="80"/>
      <w:sz w:val="22"/>
      <w:szCs w:val="22"/>
    </w:rPr>
  </w:style>
  <w:style w:type="character" w:customStyle="1" w:styleId="FigurecaptionChar">
    <w:name w:val="Figure caption Char"/>
    <w:basedOn w:val="DefaultParagraphFont"/>
    <w:link w:val="Figurecaption"/>
    <w:rsid w:val="00FB128E"/>
    <w:rPr>
      <w:rFonts w:ascii="Calibri" w:eastAsia="Calibri" w:hAnsi="Calibri" w:cs="Calibri"/>
      <w:b/>
      <w:bCs/>
      <w:color w:val="005A68" w:themeColor="accent6" w:themeShade="80"/>
      <w:sz w:val="22"/>
      <w:szCs w:val="22"/>
    </w:rPr>
  </w:style>
  <w:style w:type="paragraph" w:styleId="Caption">
    <w:name w:val="caption"/>
    <w:basedOn w:val="Normal"/>
    <w:next w:val="Normal"/>
    <w:uiPriority w:val="35"/>
    <w:unhideWhenUsed/>
    <w:qFormat/>
    <w:rsid w:val="001C51FA"/>
    <w:pPr>
      <w:spacing w:after="200" w:line="240" w:lineRule="auto"/>
    </w:pPr>
    <w:rPr>
      <w:i/>
      <w:iCs/>
      <w:color w:val="153A6E" w:themeColor="text2"/>
      <w:sz w:val="18"/>
      <w:szCs w:val="18"/>
    </w:rPr>
  </w:style>
  <w:style w:type="character" w:customStyle="1" w:styleId="scxw189558246">
    <w:name w:val="scxw189558246"/>
    <w:basedOn w:val="DefaultParagraphFont"/>
    <w:rsid w:val="00FB128E"/>
  </w:style>
  <w:style w:type="character" w:customStyle="1" w:styleId="findhit">
    <w:name w:val="findhit"/>
    <w:basedOn w:val="DefaultParagraphFont"/>
    <w:rsid w:val="00FB128E"/>
  </w:style>
  <w:style w:type="paragraph" w:styleId="NormalWeb">
    <w:name w:val="Normal (Web)"/>
    <w:basedOn w:val="Normal"/>
    <w:uiPriority w:val="99"/>
    <w:unhideWhenUsed/>
    <w:rsid w:val="00206B1F"/>
    <w:pPr>
      <w:spacing w:before="100" w:beforeAutospacing="1" w:after="100" w:afterAutospacing="1" w:line="240" w:lineRule="auto"/>
    </w:pPr>
    <w:rPr>
      <w:rFonts w:ascii="Times New Roman" w:eastAsia="Times New Roman" w:hAnsi="Times New Roman"/>
      <w:lang w:eastAsia="ja-JP"/>
    </w:rPr>
  </w:style>
  <w:style w:type="paragraph" w:customStyle="1" w:styleId="Bullet1">
    <w:name w:val="Bullet1"/>
    <w:basedOn w:val="Normal"/>
    <w:qFormat/>
    <w:rsid w:val="00D35D4F"/>
    <w:pPr>
      <w:numPr>
        <w:numId w:val="27"/>
      </w:numPr>
      <w:spacing w:before="240" w:after="0" w:line="240" w:lineRule="auto"/>
    </w:pPr>
    <w:rPr>
      <w:rFonts w:ascii="Arial" w:eastAsia="Times New Roman" w:hAnsi="Arial" w:cs="Arial"/>
      <w:sz w:val="20"/>
      <w:szCs w:val="20"/>
      <w:lang w:eastAsia="en-AU"/>
    </w:rPr>
  </w:style>
  <w:style w:type="character" w:styleId="SubtleEmphasis">
    <w:name w:val="Subtle Emphasis"/>
    <w:basedOn w:val="DefaultParagraphFont"/>
    <w:uiPriority w:val="19"/>
    <w:qFormat/>
    <w:rsid w:val="00711BAC"/>
    <w:rPr>
      <w:i/>
      <w:iCs/>
      <w:color w:val="404040" w:themeColor="text1" w:themeTint="BF"/>
    </w:rPr>
  </w:style>
  <w:style w:type="character" w:customStyle="1" w:styleId="Heading6Char">
    <w:name w:val="Heading 6 Char"/>
    <w:basedOn w:val="DefaultParagraphFont"/>
    <w:link w:val="Heading6"/>
    <w:uiPriority w:val="9"/>
    <w:rsid w:val="003A70A5"/>
    <w:rPr>
      <w:rFonts w:ascii="Segoe UI" w:eastAsiaTheme="majorEastAsia" w:hAnsi="Segoe UI" w:cstheme="majorBidi"/>
      <w:bCs/>
      <w:i/>
      <w:color w:val="153A6E" w:themeColor="text2"/>
      <w:sz w:val="22"/>
      <w:szCs w:val="20"/>
      <w:lang w:eastAsia="en-AU"/>
    </w:rPr>
  </w:style>
  <w:style w:type="character" w:customStyle="1" w:styleId="advancedproofingissue">
    <w:name w:val="advancedproofingissue"/>
    <w:basedOn w:val="DefaultParagraphFont"/>
    <w:rsid w:val="00D368A7"/>
  </w:style>
  <w:style w:type="character" w:customStyle="1" w:styleId="Heading7Char">
    <w:name w:val="Heading 7 Char"/>
    <w:basedOn w:val="DefaultParagraphFont"/>
    <w:link w:val="Heading7"/>
    <w:uiPriority w:val="9"/>
    <w:rsid w:val="008D5418"/>
    <w:rPr>
      <w:rFonts w:ascii="Segoe UI" w:eastAsiaTheme="majorEastAsia" w:hAnsi="Segoe UI" w:cs="Segoe UI"/>
      <w:color w:val="0E213F" w:themeColor="accent1" w:themeShade="80"/>
      <w:sz w:val="20"/>
      <w:szCs w:val="20"/>
    </w:rPr>
  </w:style>
  <w:style w:type="paragraph" w:styleId="EndnoteText">
    <w:name w:val="endnote text"/>
    <w:basedOn w:val="Normal"/>
    <w:link w:val="EndnoteTextChar"/>
    <w:uiPriority w:val="99"/>
    <w:semiHidden/>
    <w:unhideWhenUsed/>
    <w:rsid w:val="00E21D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1D80"/>
    <w:rPr>
      <w:rFonts w:ascii="Segoe UI" w:hAnsi="Segoe UI"/>
      <w:sz w:val="20"/>
      <w:szCs w:val="20"/>
    </w:rPr>
  </w:style>
  <w:style w:type="character" w:styleId="EndnoteReference">
    <w:name w:val="endnote reference"/>
    <w:basedOn w:val="DefaultParagraphFont"/>
    <w:uiPriority w:val="99"/>
    <w:semiHidden/>
    <w:unhideWhenUsed/>
    <w:rsid w:val="00E21D80"/>
    <w:rPr>
      <w:vertAlign w:val="superscript"/>
    </w:rPr>
  </w:style>
  <w:style w:type="paragraph" w:styleId="Index1">
    <w:name w:val="index 1"/>
    <w:basedOn w:val="Normal"/>
    <w:next w:val="Normal"/>
    <w:autoRedefine/>
    <w:uiPriority w:val="99"/>
    <w:unhideWhenUsed/>
    <w:rsid w:val="00D131B1"/>
    <w:pPr>
      <w:tabs>
        <w:tab w:val="right" w:leader="dot" w:pos="4143"/>
      </w:tabs>
      <w:spacing w:line="240" w:lineRule="auto"/>
    </w:pPr>
  </w:style>
  <w:style w:type="paragraph" w:styleId="Index2">
    <w:name w:val="index 2"/>
    <w:basedOn w:val="Normal"/>
    <w:next w:val="Normal"/>
    <w:autoRedefine/>
    <w:uiPriority w:val="99"/>
    <w:unhideWhenUsed/>
    <w:rsid w:val="00C65568"/>
    <w:pPr>
      <w:tabs>
        <w:tab w:val="right" w:leader="dot" w:pos="4143"/>
      </w:tabs>
      <w:spacing w:after="0" w:line="240" w:lineRule="auto"/>
      <w:ind w:left="480" w:hanging="240"/>
    </w:pPr>
  </w:style>
  <w:style w:type="numbering" w:customStyle="1" w:styleId="HTAReview12pt">
    <w:name w:val="HTA Review 12pt"/>
    <w:uiPriority w:val="99"/>
    <w:rsid w:val="007751A7"/>
    <w:pPr>
      <w:numPr>
        <w:numId w:val="149"/>
      </w:numPr>
    </w:pPr>
  </w:style>
  <w:style w:type="character" w:styleId="Mention">
    <w:name w:val="Mention"/>
    <w:basedOn w:val="DefaultParagraphFont"/>
    <w:uiPriority w:val="99"/>
    <w:unhideWhenUsed/>
    <w:rsid w:val="006D2424"/>
    <w:rPr>
      <w:color w:val="2B579A"/>
      <w:shd w:val="clear" w:color="auto" w:fill="E1DFDD"/>
    </w:rPr>
  </w:style>
  <w:style w:type="character" w:styleId="Emphasis">
    <w:name w:val="Emphasis"/>
    <w:basedOn w:val="DefaultParagraphFont"/>
    <w:uiPriority w:val="20"/>
    <w:qFormat/>
    <w:rsid w:val="00C427DC"/>
    <w:rPr>
      <w:i/>
      <w:iCs/>
    </w:rPr>
  </w:style>
  <w:style w:type="paragraph" w:styleId="TOC1">
    <w:name w:val="toc 1"/>
    <w:basedOn w:val="Normal"/>
    <w:next w:val="Normal"/>
    <w:autoRedefine/>
    <w:uiPriority w:val="39"/>
    <w:unhideWhenUsed/>
    <w:rsid w:val="007057C1"/>
    <w:pPr>
      <w:spacing w:before="120" w:after="120"/>
      <w:ind w:left="284" w:hanging="284"/>
    </w:pPr>
    <w:rPr>
      <w:rFonts w:cstheme="minorHAnsi"/>
      <w:bCs/>
      <w:szCs w:val="20"/>
    </w:rPr>
  </w:style>
  <w:style w:type="paragraph" w:styleId="TOC2">
    <w:name w:val="toc 2"/>
    <w:basedOn w:val="Normal"/>
    <w:next w:val="Normal"/>
    <w:autoRedefine/>
    <w:uiPriority w:val="39"/>
    <w:unhideWhenUsed/>
    <w:rsid w:val="007057C1"/>
    <w:pPr>
      <w:adjustRightInd w:val="0"/>
      <w:spacing w:after="0"/>
      <w:ind w:left="1021" w:hanging="397"/>
    </w:pPr>
    <w:rPr>
      <w:rFonts w:cstheme="minorHAnsi"/>
      <w:szCs w:val="20"/>
    </w:rPr>
  </w:style>
  <w:style w:type="paragraph" w:styleId="TOCHeading">
    <w:name w:val="TOC Heading"/>
    <w:basedOn w:val="Heading1"/>
    <w:next w:val="Normal"/>
    <w:uiPriority w:val="39"/>
    <w:unhideWhenUsed/>
    <w:qFormat/>
    <w:rsid w:val="0044583D"/>
    <w:pPr>
      <w:keepLines/>
      <w:numPr>
        <w:numId w:val="0"/>
      </w:numPr>
      <w:spacing w:after="0" w:line="259" w:lineRule="auto"/>
      <w:outlineLvl w:val="9"/>
    </w:pPr>
    <w:rPr>
      <w:rFonts w:asciiTheme="majorHAnsi" w:eastAsiaTheme="majorEastAsia" w:hAnsiTheme="majorHAnsi" w:cstheme="majorBidi"/>
      <w:bCs w:val="0"/>
      <w:color w:val="15315E" w:themeColor="accent1" w:themeShade="BF"/>
      <w:kern w:val="0"/>
      <w:sz w:val="32"/>
      <w:szCs w:val="32"/>
      <w:lang w:val="en-US"/>
    </w:rPr>
  </w:style>
  <w:style w:type="paragraph" w:styleId="TOC3">
    <w:name w:val="toc 3"/>
    <w:basedOn w:val="Normal"/>
    <w:next w:val="Normal"/>
    <w:autoRedefine/>
    <w:uiPriority w:val="39"/>
    <w:unhideWhenUsed/>
    <w:rsid w:val="009B4E5A"/>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B4E5A"/>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B4E5A"/>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B4E5A"/>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B4E5A"/>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B4E5A"/>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B4E5A"/>
    <w:pPr>
      <w:spacing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704">
      <w:bodyDiv w:val="1"/>
      <w:marLeft w:val="0"/>
      <w:marRight w:val="0"/>
      <w:marTop w:val="0"/>
      <w:marBottom w:val="0"/>
      <w:divBdr>
        <w:top w:val="none" w:sz="0" w:space="0" w:color="auto"/>
        <w:left w:val="none" w:sz="0" w:space="0" w:color="auto"/>
        <w:bottom w:val="none" w:sz="0" w:space="0" w:color="auto"/>
        <w:right w:val="none" w:sz="0" w:space="0" w:color="auto"/>
      </w:divBdr>
    </w:div>
    <w:div w:id="20790536">
      <w:bodyDiv w:val="1"/>
      <w:marLeft w:val="0"/>
      <w:marRight w:val="0"/>
      <w:marTop w:val="0"/>
      <w:marBottom w:val="0"/>
      <w:divBdr>
        <w:top w:val="none" w:sz="0" w:space="0" w:color="auto"/>
        <w:left w:val="none" w:sz="0" w:space="0" w:color="auto"/>
        <w:bottom w:val="none" w:sz="0" w:space="0" w:color="auto"/>
        <w:right w:val="none" w:sz="0" w:space="0" w:color="auto"/>
      </w:divBdr>
      <w:divsChild>
        <w:div w:id="1969044644">
          <w:marLeft w:val="0"/>
          <w:marRight w:val="0"/>
          <w:marTop w:val="0"/>
          <w:marBottom w:val="0"/>
          <w:divBdr>
            <w:top w:val="none" w:sz="0" w:space="0" w:color="auto"/>
            <w:left w:val="none" w:sz="0" w:space="0" w:color="auto"/>
            <w:bottom w:val="none" w:sz="0" w:space="0" w:color="auto"/>
            <w:right w:val="none" w:sz="0" w:space="0" w:color="auto"/>
          </w:divBdr>
        </w:div>
        <w:div w:id="2108041625">
          <w:marLeft w:val="0"/>
          <w:marRight w:val="0"/>
          <w:marTop w:val="0"/>
          <w:marBottom w:val="0"/>
          <w:divBdr>
            <w:top w:val="none" w:sz="0" w:space="0" w:color="auto"/>
            <w:left w:val="none" w:sz="0" w:space="0" w:color="auto"/>
            <w:bottom w:val="none" w:sz="0" w:space="0" w:color="auto"/>
            <w:right w:val="none" w:sz="0" w:space="0" w:color="auto"/>
          </w:divBdr>
        </w:div>
      </w:divsChild>
    </w:div>
    <w:div w:id="147014021">
      <w:bodyDiv w:val="1"/>
      <w:marLeft w:val="0"/>
      <w:marRight w:val="0"/>
      <w:marTop w:val="0"/>
      <w:marBottom w:val="0"/>
      <w:divBdr>
        <w:top w:val="none" w:sz="0" w:space="0" w:color="auto"/>
        <w:left w:val="none" w:sz="0" w:space="0" w:color="auto"/>
        <w:bottom w:val="none" w:sz="0" w:space="0" w:color="auto"/>
        <w:right w:val="none" w:sz="0" w:space="0" w:color="auto"/>
      </w:divBdr>
    </w:div>
    <w:div w:id="178087212">
      <w:bodyDiv w:val="1"/>
      <w:marLeft w:val="0"/>
      <w:marRight w:val="0"/>
      <w:marTop w:val="0"/>
      <w:marBottom w:val="0"/>
      <w:divBdr>
        <w:top w:val="none" w:sz="0" w:space="0" w:color="auto"/>
        <w:left w:val="none" w:sz="0" w:space="0" w:color="auto"/>
        <w:bottom w:val="none" w:sz="0" w:space="0" w:color="auto"/>
        <w:right w:val="none" w:sz="0" w:space="0" w:color="auto"/>
      </w:divBdr>
    </w:div>
    <w:div w:id="179202565">
      <w:bodyDiv w:val="1"/>
      <w:marLeft w:val="0"/>
      <w:marRight w:val="0"/>
      <w:marTop w:val="0"/>
      <w:marBottom w:val="0"/>
      <w:divBdr>
        <w:top w:val="none" w:sz="0" w:space="0" w:color="auto"/>
        <w:left w:val="none" w:sz="0" w:space="0" w:color="auto"/>
        <w:bottom w:val="none" w:sz="0" w:space="0" w:color="auto"/>
        <w:right w:val="none" w:sz="0" w:space="0" w:color="auto"/>
      </w:divBdr>
      <w:divsChild>
        <w:div w:id="606159192">
          <w:marLeft w:val="0"/>
          <w:marRight w:val="0"/>
          <w:marTop w:val="0"/>
          <w:marBottom w:val="0"/>
          <w:divBdr>
            <w:top w:val="none" w:sz="0" w:space="0" w:color="auto"/>
            <w:left w:val="none" w:sz="0" w:space="0" w:color="auto"/>
            <w:bottom w:val="none" w:sz="0" w:space="0" w:color="auto"/>
            <w:right w:val="none" w:sz="0" w:space="0" w:color="auto"/>
          </w:divBdr>
        </w:div>
        <w:div w:id="1456095544">
          <w:marLeft w:val="0"/>
          <w:marRight w:val="0"/>
          <w:marTop w:val="0"/>
          <w:marBottom w:val="0"/>
          <w:divBdr>
            <w:top w:val="none" w:sz="0" w:space="0" w:color="auto"/>
            <w:left w:val="none" w:sz="0" w:space="0" w:color="auto"/>
            <w:bottom w:val="none" w:sz="0" w:space="0" w:color="auto"/>
            <w:right w:val="none" w:sz="0" w:space="0" w:color="auto"/>
          </w:divBdr>
        </w:div>
      </w:divsChild>
    </w:div>
    <w:div w:id="190608051">
      <w:bodyDiv w:val="1"/>
      <w:marLeft w:val="0"/>
      <w:marRight w:val="0"/>
      <w:marTop w:val="0"/>
      <w:marBottom w:val="0"/>
      <w:divBdr>
        <w:top w:val="none" w:sz="0" w:space="0" w:color="auto"/>
        <w:left w:val="none" w:sz="0" w:space="0" w:color="auto"/>
        <w:bottom w:val="none" w:sz="0" w:space="0" w:color="auto"/>
        <w:right w:val="none" w:sz="0" w:space="0" w:color="auto"/>
      </w:divBdr>
      <w:divsChild>
        <w:div w:id="52975312">
          <w:marLeft w:val="0"/>
          <w:marRight w:val="0"/>
          <w:marTop w:val="0"/>
          <w:marBottom w:val="0"/>
          <w:divBdr>
            <w:top w:val="none" w:sz="0" w:space="0" w:color="auto"/>
            <w:left w:val="none" w:sz="0" w:space="0" w:color="auto"/>
            <w:bottom w:val="none" w:sz="0" w:space="0" w:color="auto"/>
            <w:right w:val="none" w:sz="0" w:space="0" w:color="auto"/>
          </w:divBdr>
        </w:div>
        <w:div w:id="223220754">
          <w:marLeft w:val="0"/>
          <w:marRight w:val="0"/>
          <w:marTop w:val="0"/>
          <w:marBottom w:val="0"/>
          <w:divBdr>
            <w:top w:val="none" w:sz="0" w:space="0" w:color="auto"/>
            <w:left w:val="none" w:sz="0" w:space="0" w:color="auto"/>
            <w:bottom w:val="none" w:sz="0" w:space="0" w:color="auto"/>
            <w:right w:val="none" w:sz="0" w:space="0" w:color="auto"/>
          </w:divBdr>
        </w:div>
        <w:div w:id="1024594465">
          <w:marLeft w:val="0"/>
          <w:marRight w:val="0"/>
          <w:marTop w:val="0"/>
          <w:marBottom w:val="0"/>
          <w:divBdr>
            <w:top w:val="none" w:sz="0" w:space="0" w:color="auto"/>
            <w:left w:val="none" w:sz="0" w:space="0" w:color="auto"/>
            <w:bottom w:val="none" w:sz="0" w:space="0" w:color="auto"/>
            <w:right w:val="none" w:sz="0" w:space="0" w:color="auto"/>
          </w:divBdr>
        </w:div>
        <w:div w:id="2021928561">
          <w:marLeft w:val="0"/>
          <w:marRight w:val="0"/>
          <w:marTop w:val="0"/>
          <w:marBottom w:val="0"/>
          <w:divBdr>
            <w:top w:val="none" w:sz="0" w:space="0" w:color="auto"/>
            <w:left w:val="none" w:sz="0" w:space="0" w:color="auto"/>
            <w:bottom w:val="none" w:sz="0" w:space="0" w:color="auto"/>
            <w:right w:val="none" w:sz="0" w:space="0" w:color="auto"/>
          </w:divBdr>
        </w:div>
      </w:divsChild>
    </w:div>
    <w:div w:id="271786926">
      <w:bodyDiv w:val="1"/>
      <w:marLeft w:val="0"/>
      <w:marRight w:val="0"/>
      <w:marTop w:val="0"/>
      <w:marBottom w:val="0"/>
      <w:divBdr>
        <w:top w:val="none" w:sz="0" w:space="0" w:color="auto"/>
        <w:left w:val="none" w:sz="0" w:space="0" w:color="auto"/>
        <w:bottom w:val="none" w:sz="0" w:space="0" w:color="auto"/>
        <w:right w:val="none" w:sz="0" w:space="0" w:color="auto"/>
      </w:divBdr>
      <w:divsChild>
        <w:div w:id="143084289">
          <w:marLeft w:val="0"/>
          <w:marRight w:val="0"/>
          <w:marTop w:val="0"/>
          <w:marBottom w:val="0"/>
          <w:divBdr>
            <w:top w:val="none" w:sz="0" w:space="0" w:color="auto"/>
            <w:left w:val="none" w:sz="0" w:space="0" w:color="auto"/>
            <w:bottom w:val="none" w:sz="0" w:space="0" w:color="auto"/>
            <w:right w:val="none" w:sz="0" w:space="0" w:color="auto"/>
          </w:divBdr>
        </w:div>
        <w:div w:id="2079282526">
          <w:marLeft w:val="0"/>
          <w:marRight w:val="0"/>
          <w:marTop w:val="0"/>
          <w:marBottom w:val="0"/>
          <w:divBdr>
            <w:top w:val="none" w:sz="0" w:space="0" w:color="auto"/>
            <w:left w:val="none" w:sz="0" w:space="0" w:color="auto"/>
            <w:bottom w:val="none" w:sz="0" w:space="0" w:color="auto"/>
            <w:right w:val="none" w:sz="0" w:space="0" w:color="auto"/>
          </w:divBdr>
        </w:div>
      </w:divsChild>
    </w:div>
    <w:div w:id="291598425">
      <w:bodyDiv w:val="1"/>
      <w:marLeft w:val="0"/>
      <w:marRight w:val="0"/>
      <w:marTop w:val="0"/>
      <w:marBottom w:val="0"/>
      <w:divBdr>
        <w:top w:val="none" w:sz="0" w:space="0" w:color="auto"/>
        <w:left w:val="none" w:sz="0" w:space="0" w:color="auto"/>
        <w:bottom w:val="none" w:sz="0" w:space="0" w:color="auto"/>
        <w:right w:val="none" w:sz="0" w:space="0" w:color="auto"/>
      </w:divBdr>
      <w:divsChild>
        <w:div w:id="30958722">
          <w:marLeft w:val="0"/>
          <w:marRight w:val="0"/>
          <w:marTop w:val="0"/>
          <w:marBottom w:val="0"/>
          <w:divBdr>
            <w:top w:val="none" w:sz="0" w:space="0" w:color="auto"/>
            <w:left w:val="none" w:sz="0" w:space="0" w:color="auto"/>
            <w:bottom w:val="none" w:sz="0" w:space="0" w:color="auto"/>
            <w:right w:val="none" w:sz="0" w:space="0" w:color="auto"/>
          </w:divBdr>
        </w:div>
        <w:div w:id="264700094">
          <w:marLeft w:val="0"/>
          <w:marRight w:val="0"/>
          <w:marTop w:val="0"/>
          <w:marBottom w:val="0"/>
          <w:divBdr>
            <w:top w:val="none" w:sz="0" w:space="0" w:color="auto"/>
            <w:left w:val="none" w:sz="0" w:space="0" w:color="auto"/>
            <w:bottom w:val="none" w:sz="0" w:space="0" w:color="auto"/>
            <w:right w:val="none" w:sz="0" w:space="0" w:color="auto"/>
          </w:divBdr>
        </w:div>
        <w:div w:id="706569576">
          <w:marLeft w:val="0"/>
          <w:marRight w:val="0"/>
          <w:marTop w:val="0"/>
          <w:marBottom w:val="0"/>
          <w:divBdr>
            <w:top w:val="none" w:sz="0" w:space="0" w:color="auto"/>
            <w:left w:val="none" w:sz="0" w:space="0" w:color="auto"/>
            <w:bottom w:val="none" w:sz="0" w:space="0" w:color="auto"/>
            <w:right w:val="none" w:sz="0" w:space="0" w:color="auto"/>
          </w:divBdr>
        </w:div>
        <w:div w:id="730080945">
          <w:marLeft w:val="0"/>
          <w:marRight w:val="0"/>
          <w:marTop w:val="0"/>
          <w:marBottom w:val="0"/>
          <w:divBdr>
            <w:top w:val="none" w:sz="0" w:space="0" w:color="auto"/>
            <w:left w:val="none" w:sz="0" w:space="0" w:color="auto"/>
            <w:bottom w:val="none" w:sz="0" w:space="0" w:color="auto"/>
            <w:right w:val="none" w:sz="0" w:space="0" w:color="auto"/>
          </w:divBdr>
        </w:div>
        <w:div w:id="1264417375">
          <w:marLeft w:val="0"/>
          <w:marRight w:val="0"/>
          <w:marTop w:val="0"/>
          <w:marBottom w:val="0"/>
          <w:divBdr>
            <w:top w:val="none" w:sz="0" w:space="0" w:color="auto"/>
            <w:left w:val="none" w:sz="0" w:space="0" w:color="auto"/>
            <w:bottom w:val="none" w:sz="0" w:space="0" w:color="auto"/>
            <w:right w:val="none" w:sz="0" w:space="0" w:color="auto"/>
          </w:divBdr>
        </w:div>
        <w:div w:id="1591889546">
          <w:marLeft w:val="0"/>
          <w:marRight w:val="0"/>
          <w:marTop w:val="0"/>
          <w:marBottom w:val="0"/>
          <w:divBdr>
            <w:top w:val="none" w:sz="0" w:space="0" w:color="auto"/>
            <w:left w:val="none" w:sz="0" w:space="0" w:color="auto"/>
            <w:bottom w:val="none" w:sz="0" w:space="0" w:color="auto"/>
            <w:right w:val="none" w:sz="0" w:space="0" w:color="auto"/>
          </w:divBdr>
        </w:div>
        <w:div w:id="1641499526">
          <w:marLeft w:val="0"/>
          <w:marRight w:val="0"/>
          <w:marTop w:val="0"/>
          <w:marBottom w:val="0"/>
          <w:divBdr>
            <w:top w:val="none" w:sz="0" w:space="0" w:color="auto"/>
            <w:left w:val="none" w:sz="0" w:space="0" w:color="auto"/>
            <w:bottom w:val="none" w:sz="0" w:space="0" w:color="auto"/>
            <w:right w:val="none" w:sz="0" w:space="0" w:color="auto"/>
          </w:divBdr>
        </w:div>
        <w:div w:id="1941060044">
          <w:marLeft w:val="0"/>
          <w:marRight w:val="0"/>
          <w:marTop w:val="0"/>
          <w:marBottom w:val="0"/>
          <w:divBdr>
            <w:top w:val="none" w:sz="0" w:space="0" w:color="auto"/>
            <w:left w:val="none" w:sz="0" w:space="0" w:color="auto"/>
            <w:bottom w:val="none" w:sz="0" w:space="0" w:color="auto"/>
            <w:right w:val="none" w:sz="0" w:space="0" w:color="auto"/>
          </w:divBdr>
        </w:div>
      </w:divsChild>
    </w:div>
    <w:div w:id="363411717">
      <w:bodyDiv w:val="1"/>
      <w:marLeft w:val="0"/>
      <w:marRight w:val="0"/>
      <w:marTop w:val="0"/>
      <w:marBottom w:val="0"/>
      <w:divBdr>
        <w:top w:val="none" w:sz="0" w:space="0" w:color="auto"/>
        <w:left w:val="none" w:sz="0" w:space="0" w:color="auto"/>
        <w:bottom w:val="none" w:sz="0" w:space="0" w:color="auto"/>
        <w:right w:val="none" w:sz="0" w:space="0" w:color="auto"/>
      </w:divBdr>
      <w:divsChild>
        <w:div w:id="1462460220">
          <w:marLeft w:val="-720"/>
          <w:marRight w:val="0"/>
          <w:marTop w:val="0"/>
          <w:marBottom w:val="0"/>
          <w:divBdr>
            <w:top w:val="none" w:sz="0" w:space="0" w:color="auto"/>
            <w:left w:val="none" w:sz="0" w:space="0" w:color="auto"/>
            <w:bottom w:val="none" w:sz="0" w:space="0" w:color="auto"/>
            <w:right w:val="none" w:sz="0" w:space="0" w:color="auto"/>
          </w:divBdr>
        </w:div>
      </w:divsChild>
    </w:div>
    <w:div w:id="372118044">
      <w:bodyDiv w:val="1"/>
      <w:marLeft w:val="0"/>
      <w:marRight w:val="0"/>
      <w:marTop w:val="0"/>
      <w:marBottom w:val="0"/>
      <w:divBdr>
        <w:top w:val="none" w:sz="0" w:space="0" w:color="auto"/>
        <w:left w:val="none" w:sz="0" w:space="0" w:color="auto"/>
        <w:bottom w:val="none" w:sz="0" w:space="0" w:color="auto"/>
        <w:right w:val="none" w:sz="0" w:space="0" w:color="auto"/>
      </w:divBdr>
      <w:divsChild>
        <w:div w:id="364061426">
          <w:marLeft w:val="0"/>
          <w:marRight w:val="0"/>
          <w:marTop w:val="0"/>
          <w:marBottom w:val="0"/>
          <w:divBdr>
            <w:top w:val="none" w:sz="0" w:space="0" w:color="auto"/>
            <w:left w:val="none" w:sz="0" w:space="0" w:color="auto"/>
            <w:bottom w:val="none" w:sz="0" w:space="0" w:color="auto"/>
            <w:right w:val="none" w:sz="0" w:space="0" w:color="auto"/>
          </w:divBdr>
        </w:div>
        <w:div w:id="1248417742">
          <w:marLeft w:val="0"/>
          <w:marRight w:val="0"/>
          <w:marTop w:val="0"/>
          <w:marBottom w:val="0"/>
          <w:divBdr>
            <w:top w:val="none" w:sz="0" w:space="0" w:color="auto"/>
            <w:left w:val="none" w:sz="0" w:space="0" w:color="auto"/>
            <w:bottom w:val="none" w:sz="0" w:space="0" w:color="auto"/>
            <w:right w:val="none" w:sz="0" w:space="0" w:color="auto"/>
          </w:divBdr>
          <w:divsChild>
            <w:div w:id="51779104">
              <w:marLeft w:val="0"/>
              <w:marRight w:val="0"/>
              <w:marTop w:val="0"/>
              <w:marBottom w:val="0"/>
              <w:divBdr>
                <w:top w:val="none" w:sz="0" w:space="0" w:color="auto"/>
                <w:left w:val="none" w:sz="0" w:space="0" w:color="auto"/>
                <w:bottom w:val="none" w:sz="0" w:space="0" w:color="auto"/>
                <w:right w:val="none" w:sz="0" w:space="0" w:color="auto"/>
              </w:divBdr>
            </w:div>
            <w:div w:id="675152111">
              <w:marLeft w:val="0"/>
              <w:marRight w:val="0"/>
              <w:marTop w:val="0"/>
              <w:marBottom w:val="0"/>
              <w:divBdr>
                <w:top w:val="none" w:sz="0" w:space="0" w:color="auto"/>
                <w:left w:val="none" w:sz="0" w:space="0" w:color="auto"/>
                <w:bottom w:val="none" w:sz="0" w:space="0" w:color="auto"/>
                <w:right w:val="none" w:sz="0" w:space="0" w:color="auto"/>
              </w:divBdr>
            </w:div>
            <w:div w:id="1071579549">
              <w:marLeft w:val="0"/>
              <w:marRight w:val="0"/>
              <w:marTop w:val="0"/>
              <w:marBottom w:val="0"/>
              <w:divBdr>
                <w:top w:val="none" w:sz="0" w:space="0" w:color="auto"/>
                <w:left w:val="none" w:sz="0" w:space="0" w:color="auto"/>
                <w:bottom w:val="none" w:sz="0" w:space="0" w:color="auto"/>
                <w:right w:val="none" w:sz="0" w:space="0" w:color="auto"/>
              </w:divBdr>
            </w:div>
            <w:div w:id="1696809077">
              <w:marLeft w:val="0"/>
              <w:marRight w:val="0"/>
              <w:marTop w:val="0"/>
              <w:marBottom w:val="0"/>
              <w:divBdr>
                <w:top w:val="none" w:sz="0" w:space="0" w:color="auto"/>
                <w:left w:val="none" w:sz="0" w:space="0" w:color="auto"/>
                <w:bottom w:val="none" w:sz="0" w:space="0" w:color="auto"/>
                <w:right w:val="none" w:sz="0" w:space="0" w:color="auto"/>
              </w:divBdr>
            </w:div>
            <w:div w:id="20649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63064">
      <w:bodyDiv w:val="1"/>
      <w:marLeft w:val="0"/>
      <w:marRight w:val="0"/>
      <w:marTop w:val="0"/>
      <w:marBottom w:val="0"/>
      <w:divBdr>
        <w:top w:val="none" w:sz="0" w:space="0" w:color="auto"/>
        <w:left w:val="none" w:sz="0" w:space="0" w:color="auto"/>
        <w:bottom w:val="none" w:sz="0" w:space="0" w:color="auto"/>
        <w:right w:val="none" w:sz="0" w:space="0" w:color="auto"/>
      </w:divBdr>
    </w:div>
    <w:div w:id="443699116">
      <w:bodyDiv w:val="1"/>
      <w:marLeft w:val="0"/>
      <w:marRight w:val="0"/>
      <w:marTop w:val="0"/>
      <w:marBottom w:val="0"/>
      <w:divBdr>
        <w:top w:val="none" w:sz="0" w:space="0" w:color="auto"/>
        <w:left w:val="none" w:sz="0" w:space="0" w:color="auto"/>
        <w:bottom w:val="none" w:sz="0" w:space="0" w:color="auto"/>
        <w:right w:val="none" w:sz="0" w:space="0" w:color="auto"/>
      </w:divBdr>
      <w:divsChild>
        <w:div w:id="194854840">
          <w:marLeft w:val="360"/>
          <w:marRight w:val="0"/>
          <w:marTop w:val="0"/>
          <w:marBottom w:val="120"/>
          <w:divBdr>
            <w:top w:val="none" w:sz="0" w:space="0" w:color="auto"/>
            <w:left w:val="none" w:sz="0" w:space="0" w:color="auto"/>
            <w:bottom w:val="none" w:sz="0" w:space="0" w:color="auto"/>
            <w:right w:val="none" w:sz="0" w:space="0" w:color="auto"/>
          </w:divBdr>
        </w:div>
        <w:div w:id="230045084">
          <w:marLeft w:val="360"/>
          <w:marRight w:val="0"/>
          <w:marTop w:val="0"/>
          <w:marBottom w:val="120"/>
          <w:divBdr>
            <w:top w:val="none" w:sz="0" w:space="0" w:color="auto"/>
            <w:left w:val="none" w:sz="0" w:space="0" w:color="auto"/>
            <w:bottom w:val="none" w:sz="0" w:space="0" w:color="auto"/>
            <w:right w:val="none" w:sz="0" w:space="0" w:color="auto"/>
          </w:divBdr>
        </w:div>
        <w:div w:id="371419653">
          <w:marLeft w:val="274"/>
          <w:marRight w:val="0"/>
          <w:marTop w:val="0"/>
          <w:marBottom w:val="120"/>
          <w:divBdr>
            <w:top w:val="none" w:sz="0" w:space="0" w:color="auto"/>
            <w:left w:val="none" w:sz="0" w:space="0" w:color="auto"/>
            <w:bottom w:val="none" w:sz="0" w:space="0" w:color="auto"/>
            <w:right w:val="none" w:sz="0" w:space="0" w:color="auto"/>
          </w:divBdr>
        </w:div>
        <w:div w:id="756561867">
          <w:marLeft w:val="274"/>
          <w:marRight w:val="0"/>
          <w:marTop w:val="0"/>
          <w:marBottom w:val="0"/>
          <w:divBdr>
            <w:top w:val="none" w:sz="0" w:space="0" w:color="auto"/>
            <w:left w:val="none" w:sz="0" w:space="0" w:color="auto"/>
            <w:bottom w:val="none" w:sz="0" w:space="0" w:color="auto"/>
            <w:right w:val="none" w:sz="0" w:space="0" w:color="auto"/>
          </w:divBdr>
        </w:div>
        <w:div w:id="1237741862">
          <w:marLeft w:val="274"/>
          <w:marRight w:val="0"/>
          <w:marTop w:val="0"/>
          <w:marBottom w:val="0"/>
          <w:divBdr>
            <w:top w:val="none" w:sz="0" w:space="0" w:color="auto"/>
            <w:left w:val="none" w:sz="0" w:space="0" w:color="auto"/>
            <w:bottom w:val="none" w:sz="0" w:space="0" w:color="auto"/>
            <w:right w:val="none" w:sz="0" w:space="0" w:color="auto"/>
          </w:divBdr>
        </w:div>
        <w:div w:id="1518999758">
          <w:marLeft w:val="360"/>
          <w:marRight w:val="0"/>
          <w:marTop w:val="0"/>
          <w:marBottom w:val="120"/>
          <w:divBdr>
            <w:top w:val="none" w:sz="0" w:space="0" w:color="auto"/>
            <w:left w:val="none" w:sz="0" w:space="0" w:color="auto"/>
            <w:bottom w:val="none" w:sz="0" w:space="0" w:color="auto"/>
            <w:right w:val="none" w:sz="0" w:space="0" w:color="auto"/>
          </w:divBdr>
        </w:div>
        <w:div w:id="1771512291">
          <w:marLeft w:val="288"/>
          <w:marRight w:val="0"/>
          <w:marTop w:val="0"/>
          <w:marBottom w:val="0"/>
          <w:divBdr>
            <w:top w:val="none" w:sz="0" w:space="0" w:color="auto"/>
            <w:left w:val="none" w:sz="0" w:space="0" w:color="auto"/>
            <w:bottom w:val="none" w:sz="0" w:space="0" w:color="auto"/>
            <w:right w:val="none" w:sz="0" w:space="0" w:color="auto"/>
          </w:divBdr>
        </w:div>
        <w:div w:id="1955558447">
          <w:marLeft w:val="288"/>
          <w:marRight w:val="0"/>
          <w:marTop w:val="0"/>
          <w:marBottom w:val="0"/>
          <w:divBdr>
            <w:top w:val="none" w:sz="0" w:space="0" w:color="auto"/>
            <w:left w:val="none" w:sz="0" w:space="0" w:color="auto"/>
            <w:bottom w:val="none" w:sz="0" w:space="0" w:color="auto"/>
            <w:right w:val="none" w:sz="0" w:space="0" w:color="auto"/>
          </w:divBdr>
        </w:div>
        <w:div w:id="2101633773">
          <w:marLeft w:val="288"/>
          <w:marRight w:val="0"/>
          <w:marTop w:val="0"/>
          <w:marBottom w:val="0"/>
          <w:divBdr>
            <w:top w:val="none" w:sz="0" w:space="0" w:color="auto"/>
            <w:left w:val="none" w:sz="0" w:space="0" w:color="auto"/>
            <w:bottom w:val="none" w:sz="0" w:space="0" w:color="auto"/>
            <w:right w:val="none" w:sz="0" w:space="0" w:color="auto"/>
          </w:divBdr>
        </w:div>
      </w:divsChild>
    </w:div>
    <w:div w:id="539366421">
      <w:bodyDiv w:val="1"/>
      <w:marLeft w:val="0"/>
      <w:marRight w:val="0"/>
      <w:marTop w:val="0"/>
      <w:marBottom w:val="0"/>
      <w:divBdr>
        <w:top w:val="none" w:sz="0" w:space="0" w:color="auto"/>
        <w:left w:val="none" w:sz="0" w:space="0" w:color="auto"/>
        <w:bottom w:val="none" w:sz="0" w:space="0" w:color="auto"/>
        <w:right w:val="none" w:sz="0" w:space="0" w:color="auto"/>
      </w:divBdr>
    </w:div>
    <w:div w:id="618951311">
      <w:bodyDiv w:val="1"/>
      <w:marLeft w:val="0"/>
      <w:marRight w:val="0"/>
      <w:marTop w:val="0"/>
      <w:marBottom w:val="0"/>
      <w:divBdr>
        <w:top w:val="none" w:sz="0" w:space="0" w:color="auto"/>
        <w:left w:val="none" w:sz="0" w:space="0" w:color="auto"/>
        <w:bottom w:val="none" w:sz="0" w:space="0" w:color="auto"/>
        <w:right w:val="none" w:sz="0" w:space="0" w:color="auto"/>
      </w:divBdr>
      <w:divsChild>
        <w:div w:id="261842061">
          <w:marLeft w:val="360"/>
          <w:marRight w:val="0"/>
          <w:marTop w:val="0"/>
          <w:marBottom w:val="0"/>
          <w:divBdr>
            <w:top w:val="none" w:sz="0" w:space="0" w:color="auto"/>
            <w:left w:val="none" w:sz="0" w:space="0" w:color="auto"/>
            <w:bottom w:val="none" w:sz="0" w:space="0" w:color="auto"/>
            <w:right w:val="none" w:sz="0" w:space="0" w:color="auto"/>
          </w:divBdr>
        </w:div>
        <w:div w:id="273178572">
          <w:marLeft w:val="360"/>
          <w:marRight w:val="0"/>
          <w:marTop w:val="0"/>
          <w:marBottom w:val="0"/>
          <w:divBdr>
            <w:top w:val="none" w:sz="0" w:space="0" w:color="auto"/>
            <w:left w:val="none" w:sz="0" w:space="0" w:color="auto"/>
            <w:bottom w:val="none" w:sz="0" w:space="0" w:color="auto"/>
            <w:right w:val="none" w:sz="0" w:space="0" w:color="auto"/>
          </w:divBdr>
        </w:div>
        <w:div w:id="329875232">
          <w:marLeft w:val="360"/>
          <w:marRight w:val="0"/>
          <w:marTop w:val="0"/>
          <w:marBottom w:val="0"/>
          <w:divBdr>
            <w:top w:val="none" w:sz="0" w:space="0" w:color="auto"/>
            <w:left w:val="none" w:sz="0" w:space="0" w:color="auto"/>
            <w:bottom w:val="none" w:sz="0" w:space="0" w:color="auto"/>
            <w:right w:val="none" w:sz="0" w:space="0" w:color="auto"/>
          </w:divBdr>
        </w:div>
        <w:div w:id="560558913">
          <w:marLeft w:val="360"/>
          <w:marRight w:val="0"/>
          <w:marTop w:val="0"/>
          <w:marBottom w:val="0"/>
          <w:divBdr>
            <w:top w:val="none" w:sz="0" w:space="0" w:color="auto"/>
            <w:left w:val="none" w:sz="0" w:space="0" w:color="auto"/>
            <w:bottom w:val="none" w:sz="0" w:space="0" w:color="auto"/>
            <w:right w:val="none" w:sz="0" w:space="0" w:color="auto"/>
          </w:divBdr>
        </w:div>
        <w:div w:id="669213250">
          <w:marLeft w:val="850"/>
          <w:marRight w:val="0"/>
          <w:marTop w:val="0"/>
          <w:marBottom w:val="0"/>
          <w:divBdr>
            <w:top w:val="none" w:sz="0" w:space="0" w:color="auto"/>
            <w:left w:val="none" w:sz="0" w:space="0" w:color="auto"/>
            <w:bottom w:val="none" w:sz="0" w:space="0" w:color="auto"/>
            <w:right w:val="none" w:sz="0" w:space="0" w:color="auto"/>
          </w:divBdr>
        </w:div>
        <w:div w:id="857233937">
          <w:marLeft w:val="360"/>
          <w:marRight w:val="0"/>
          <w:marTop w:val="0"/>
          <w:marBottom w:val="0"/>
          <w:divBdr>
            <w:top w:val="none" w:sz="0" w:space="0" w:color="auto"/>
            <w:left w:val="none" w:sz="0" w:space="0" w:color="auto"/>
            <w:bottom w:val="none" w:sz="0" w:space="0" w:color="auto"/>
            <w:right w:val="none" w:sz="0" w:space="0" w:color="auto"/>
          </w:divBdr>
        </w:div>
        <w:div w:id="994063463">
          <w:marLeft w:val="360"/>
          <w:marRight w:val="0"/>
          <w:marTop w:val="0"/>
          <w:marBottom w:val="0"/>
          <w:divBdr>
            <w:top w:val="none" w:sz="0" w:space="0" w:color="auto"/>
            <w:left w:val="none" w:sz="0" w:space="0" w:color="auto"/>
            <w:bottom w:val="none" w:sz="0" w:space="0" w:color="auto"/>
            <w:right w:val="none" w:sz="0" w:space="0" w:color="auto"/>
          </w:divBdr>
        </w:div>
        <w:div w:id="1395659414">
          <w:marLeft w:val="360"/>
          <w:marRight w:val="0"/>
          <w:marTop w:val="0"/>
          <w:marBottom w:val="0"/>
          <w:divBdr>
            <w:top w:val="none" w:sz="0" w:space="0" w:color="auto"/>
            <w:left w:val="none" w:sz="0" w:space="0" w:color="auto"/>
            <w:bottom w:val="none" w:sz="0" w:space="0" w:color="auto"/>
            <w:right w:val="none" w:sz="0" w:space="0" w:color="auto"/>
          </w:divBdr>
        </w:div>
        <w:div w:id="1854687853">
          <w:marLeft w:val="850"/>
          <w:marRight w:val="0"/>
          <w:marTop w:val="0"/>
          <w:marBottom w:val="0"/>
          <w:divBdr>
            <w:top w:val="none" w:sz="0" w:space="0" w:color="auto"/>
            <w:left w:val="none" w:sz="0" w:space="0" w:color="auto"/>
            <w:bottom w:val="none" w:sz="0" w:space="0" w:color="auto"/>
            <w:right w:val="none" w:sz="0" w:space="0" w:color="auto"/>
          </w:divBdr>
        </w:div>
        <w:div w:id="2065060841">
          <w:marLeft w:val="850"/>
          <w:marRight w:val="0"/>
          <w:marTop w:val="0"/>
          <w:marBottom w:val="0"/>
          <w:divBdr>
            <w:top w:val="none" w:sz="0" w:space="0" w:color="auto"/>
            <w:left w:val="none" w:sz="0" w:space="0" w:color="auto"/>
            <w:bottom w:val="none" w:sz="0" w:space="0" w:color="auto"/>
            <w:right w:val="none" w:sz="0" w:space="0" w:color="auto"/>
          </w:divBdr>
        </w:div>
      </w:divsChild>
    </w:div>
    <w:div w:id="639650326">
      <w:bodyDiv w:val="1"/>
      <w:marLeft w:val="0"/>
      <w:marRight w:val="0"/>
      <w:marTop w:val="0"/>
      <w:marBottom w:val="0"/>
      <w:divBdr>
        <w:top w:val="none" w:sz="0" w:space="0" w:color="auto"/>
        <w:left w:val="none" w:sz="0" w:space="0" w:color="auto"/>
        <w:bottom w:val="none" w:sz="0" w:space="0" w:color="auto"/>
        <w:right w:val="none" w:sz="0" w:space="0" w:color="auto"/>
      </w:divBdr>
    </w:div>
    <w:div w:id="656105306">
      <w:bodyDiv w:val="1"/>
      <w:marLeft w:val="0"/>
      <w:marRight w:val="0"/>
      <w:marTop w:val="0"/>
      <w:marBottom w:val="0"/>
      <w:divBdr>
        <w:top w:val="none" w:sz="0" w:space="0" w:color="auto"/>
        <w:left w:val="none" w:sz="0" w:space="0" w:color="auto"/>
        <w:bottom w:val="none" w:sz="0" w:space="0" w:color="auto"/>
        <w:right w:val="none" w:sz="0" w:space="0" w:color="auto"/>
      </w:divBdr>
    </w:div>
    <w:div w:id="656492214">
      <w:bodyDiv w:val="1"/>
      <w:marLeft w:val="0"/>
      <w:marRight w:val="0"/>
      <w:marTop w:val="0"/>
      <w:marBottom w:val="0"/>
      <w:divBdr>
        <w:top w:val="none" w:sz="0" w:space="0" w:color="auto"/>
        <w:left w:val="none" w:sz="0" w:space="0" w:color="auto"/>
        <w:bottom w:val="none" w:sz="0" w:space="0" w:color="auto"/>
        <w:right w:val="none" w:sz="0" w:space="0" w:color="auto"/>
      </w:divBdr>
    </w:div>
    <w:div w:id="719670111">
      <w:bodyDiv w:val="1"/>
      <w:marLeft w:val="0"/>
      <w:marRight w:val="0"/>
      <w:marTop w:val="0"/>
      <w:marBottom w:val="0"/>
      <w:divBdr>
        <w:top w:val="none" w:sz="0" w:space="0" w:color="auto"/>
        <w:left w:val="none" w:sz="0" w:space="0" w:color="auto"/>
        <w:bottom w:val="none" w:sz="0" w:space="0" w:color="auto"/>
        <w:right w:val="none" w:sz="0" w:space="0" w:color="auto"/>
      </w:divBdr>
    </w:div>
    <w:div w:id="757794061">
      <w:bodyDiv w:val="1"/>
      <w:marLeft w:val="0"/>
      <w:marRight w:val="0"/>
      <w:marTop w:val="0"/>
      <w:marBottom w:val="0"/>
      <w:divBdr>
        <w:top w:val="none" w:sz="0" w:space="0" w:color="auto"/>
        <w:left w:val="none" w:sz="0" w:space="0" w:color="auto"/>
        <w:bottom w:val="none" w:sz="0" w:space="0" w:color="auto"/>
        <w:right w:val="none" w:sz="0" w:space="0" w:color="auto"/>
      </w:divBdr>
      <w:divsChild>
        <w:div w:id="1330714505">
          <w:marLeft w:val="0"/>
          <w:marRight w:val="0"/>
          <w:marTop w:val="0"/>
          <w:marBottom w:val="0"/>
          <w:divBdr>
            <w:top w:val="none" w:sz="0" w:space="0" w:color="auto"/>
            <w:left w:val="none" w:sz="0" w:space="0" w:color="auto"/>
            <w:bottom w:val="none" w:sz="0" w:space="0" w:color="auto"/>
            <w:right w:val="none" w:sz="0" w:space="0" w:color="auto"/>
          </w:divBdr>
        </w:div>
        <w:div w:id="1703506886">
          <w:marLeft w:val="0"/>
          <w:marRight w:val="0"/>
          <w:marTop w:val="0"/>
          <w:marBottom w:val="0"/>
          <w:divBdr>
            <w:top w:val="none" w:sz="0" w:space="0" w:color="auto"/>
            <w:left w:val="none" w:sz="0" w:space="0" w:color="auto"/>
            <w:bottom w:val="none" w:sz="0" w:space="0" w:color="auto"/>
            <w:right w:val="none" w:sz="0" w:space="0" w:color="auto"/>
          </w:divBdr>
        </w:div>
        <w:div w:id="1719278303">
          <w:marLeft w:val="0"/>
          <w:marRight w:val="0"/>
          <w:marTop w:val="0"/>
          <w:marBottom w:val="0"/>
          <w:divBdr>
            <w:top w:val="none" w:sz="0" w:space="0" w:color="auto"/>
            <w:left w:val="none" w:sz="0" w:space="0" w:color="auto"/>
            <w:bottom w:val="none" w:sz="0" w:space="0" w:color="auto"/>
            <w:right w:val="none" w:sz="0" w:space="0" w:color="auto"/>
          </w:divBdr>
        </w:div>
        <w:div w:id="2008705911">
          <w:marLeft w:val="0"/>
          <w:marRight w:val="0"/>
          <w:marTop w:val="0"/>
          <w:marBottom w:val="0"/>
          <w:divBdr>
            <w:top w:val="none" w:sz="0" w:space="0" w:color="auto"/>
            <w:left w:val="none" w:sz="0" w:space="0" w:color="auto"/>
            <w:bottom w:val="none" w:sz="0" w:space="0" w:color="auto"/>
            <w:right w:val="none" w:sz="0" w:space="0" w:color="auto"/>
          </w:divBdr>
        </w:div>
      </w:divsChild>
    </w:div>
    <w:div w:id="758015591">
      <w:bodyDiv w:val="1"/>
      <w:marLeft w:val="0"/>
      <w:marRight w:val="0"/>
      <w:marTop w:val="0"/>
      <w:marBottom w:val="0"/>
      <w:divBdr>
        <w:top w:val="none" w:sz="0" w:space="0" w:color="auto"/>
        <w:left w:val="none" w:sz="0" w:space="0" w:color="auto"/>
        <w:bottom w:val="none" w:sz="0" w:space="0" w:color="auto"/>
        <w:right w:val="none" w:sz="0" w:space="0" w:color="auto"/>
      </w:divBdr>
    </w:div>
    <w:div w:id="759377418">
      <w:bodyDiv w:val="1"/>
      <w:marLeft w:val="0"/>
      <w:marRight w:val="0"/>
      <w:marTop w:val="0"/>
      <w:marBottom w:val="0"/>
      <w:divBdr>
        <w:top w:val="none" w:sz="0" w:space="0" w:color="auto"/>
        <w:left w:val="none" w:sz="0" w:space="0" w:color="auto"/>
        <w:bottom w:val="none" w:sz="0" w:space="0" w:color="auto"/>
        <w:right w:val="none" w:sz="0" w:space="0" w:color="auto"/>
      </w:divBdr>
      <w:divsChild>
        <w:div w:id="5136629">
          <w:marLeft w:val="562"/>
          <w:marRight w:val="0"/>
          <w:marTop w:val="0"/>
          <w:marBottom w:val="0"/>
          <w:divBdr>
            <w:top w:val="none" w:sz="0" w:space="0" w:color="auto"/>
            <w:left w:val="none" w:sz="0" w:space="0" w:color="auto"/>
            <w:bottom w:val="none" w:sz="0" w:space="0" w:color="auto"/>
            <w:right w:val="none" w:sz="0" w:space="0" w:color="auto"/>
          </w:divBdr>
        </w:div>
        <w:div w:id="347172933">
          <w:marLeft w:val="562"/>
          <w:marRight w:val="0"/>
          <w:marTop w:val="0"/>
          <w:marBottom w:val="0"/>
          <w:divBdr>
            <w:top w:val="none" w:sz="0" w:space="0" w:color="auto"/>
            <w:left w:val="none" w:sz="0" w:space="0" w:color="auto"/>
            <w:bottom w:val="none" w:sz="0" w:space="0" w:color="auto"/>
            <w:right w:val="none" w:sz="0" w:space="0" w:color="auto"/>
          </w:divBdr>
        </w:div>
        <w:div w:id="505750078">
          <w:marLeft w:val="562"/>
          <w:marRight w:val="0"/>
          <w:marTop w:val="0"/>
          <w:marBottom w:val="0"/>
          <w:divBdr>
            <w:top w:val="none" w:sz="0" w:space="0" w:color="auto"/>
            <w:left w:val="none" w:sz="0" w:space="0" w:color="auto"/>
            <w:bottom w:val="none" w:sz="0" w:space="0" w:color="auto"/>
            <w:right w:val="none" w:sz="0" w:space="0" w:color="auto"/>
          </w:divBdr>
        </w:div>
        <w:div w:id="598752933">
          <w:marLeft w:val="562"/>
          <w:marRight w:val="0"/>
          <w:marTop w:val="0"/>
          <w:marBottom w:val="0"/>
          <w:divBdr>
            <w:top w:val="none" w:sz="0" w:space="0" w:color="auto"/>
            <w:left w:val="none" w:sz="0" w:space="0" w:color="auto"/>
            <w:bottom w:val="none" w:sz="0" w:space="0" w:color="auto"/>
            <w:right w:val="none" w:sz="0" w:space="0" w:color="auto"/>
          </w:divBdr>
        </w:div>
        <w:div w:id="818151779">
          <w:marLeft w:val="562"/>
          <w:marRight w:val="0"/>
          <w:marTop w:val="0"/>
          <w:marBottom w:val="0"/>
          <w:divBdr>
            <w:top w:val="none" w:sz="0" w:space="0" w:color="auto"/>
            <w:left w:val="none" w:sz="0" w:space="0" w:color="auto"/>
            <w:bottom w:val="none" w:sz="0" w:space="0" w:color="auto"/>
            <w:right w:val="none" w:sz="0" w:space="0" w:color="auto"/>
          </w:divBdr>
        </w:div>
        <w:div w:id="1024476014">
          <w:marLeft w:val="1123"/>
          <w:marRight w:val="0"/>
          <w:marTop w:val="0"/>
          <w:marBottom w:val="0"/>
          <w:divBdr>
            <w:top w:val="none" w:sz="0" w:space="0" w:color="auto"/>
            <w:left w:val="none" w:sz="0" w:space="0" w:color="auto"/>
            <w:bottom w:val="none" w:sz="0" w:space="0" w:color="auto"/>
            <w:right w:val="none" w:sz="0" w:space="0" w:color="auto"/>
          </w:divBdr>
        </w:div>
        <w:div w:id="1124693929">
          <w:marLeft w:val="562"/>
          <w:marRight w:val="0"/>
          <w:marTop w:val="0"/>
          <w:marBottom w:val="0"/>
          <w:divBdr>
            <w:top w:val="none" w:sz="0" w:space="0" w:color="auto"/>
            <w:left w:val="none" w:sz="0" w:space="0" w:color="auto"/>
            <w:bottom w:val="none" w:sz="0" w:space="0" w:color="auto"/>
            <w:right w:val="none" w:sz="0" w:space="0" w:color="auto"/>
          </w:divBdr>
        </w:div>
        <w:div w:id="1419055655">
          <w:marLeft w:val="562"/>
          <w:marRight w:val="0"/>
          <w:marTop w:val="0"/>
          <w:marBottom w:val="0"/>
          <w:divBdr>
            <w:top w:val="none" w:sz="0" w:space="0" w:color="auto"/>
            <w:left w:val="none" w:sz="0" w:space="0" w:color="auto"/>
            <w:bottom w:val="none" w:sz="0" w:space="0" w:color="auto"/>
            <w:right w:val="none" w:sz="0" w:space="0" w:color="auto"/>
          </w:divBdr>
        </w:div>
        <w:div w:id="1629050930">
          <w:marLeft w:val="562"/>
          <w:marRight w:val="0"/>
          <w:marTop w:val="0"/>
          <w:marBottom w:val="0"/>
          <w:divBdr>
            <w:top w:val="none" w:sz="0" w:space="0" w:color="auto"/>
            <w:left w:val="none" w:sz="0" w:space="0" w:color="auto"/>
            <w:bottom w:val="none" w:sz="0" w:space="0" w:color="auto"/>
            <w:right w:val="none" w:sz="0" w:space="0" w:color="auto"/>
          </w:divBdr>
        </w:div>
        <w:div w:id="1701779423">
          <w:marLeft w:val="562"/>
          <w:marRight w:val="0"/>
          <w:marTop w:val="0"/>
          <w:marBottom w:val="0"/>
          <w:divBdr>
            <w:top w:val="none" w:sz="0" w:space="0" w:color="auto"/>
            <w:left w:val="none" w:sz="0" w:space="0" w:color="auto"/>
            <w:bottom w:val="none" w:sz="0" w:space="0" w:color="auto"/>
            <w:right w:val="none" w:sz="0" w:space="0" w:color="auto"/>
          </w:divBdr>
        </w:div>
        <w:div w:id="1795514476">
          <w:marLeft w:val="1123"/>
          <w:marRight w:val="0"/>
          <w:marTop w:val="0"/>
          <w:marBottom w:val="0"/>
          <w:divBdr>
            <w:top w:val="none" w:sz="0" w:space="0" w:color="auto"/>
            <w:left w:val="none" w:sz="0" w:space="0" w:color="auto"/>
            <w:bottom w:val="none" w:sz="0" w:space="0" w:color="auto"/>
            <w:right w:val="none" w:sz="0" w:space="0" w:color="auto"/>
          </w:divBdr>
        </w:div>
        <w:div w:id="1937785160">
          <w:marLeft w:val="562"/>
          <w:marRight w:val="0"/>
          <w:marTop w:val="0"/>
          <w:marBottom w:val="0"/>
          <w:divBdr>
            <w:top w:val="none" w:sz="0" w:space="0" w:color="auto"/>
            <w:left w:val="none" w:sz="0" w:space="0" w:color="auto"/>
            <w:bottom w:val="none" w:sz="0" w:space="0" w:color="auto"/>
            <w:right w:val="none" w:sz="0" w:space="0" w:color="auto"/>
          </w:divBdr>
        </w:div>
        <w:div w:id="1942645023">
          <w:marLeft w:val="562"/>
          <w:marRight w:val="0"/>
          <w:marTop w:val="0"/>
          <w:marBottom w:val="0"/>
          <w:divBdr>
            <w:top w:val="none" w:sz="0" w:space="0" w:color="auto"/>
            <w:left w:val="none" w:sz="0" w:space="0" w:color="auto"/>
            <w:bottom w:val="none" w:sz="0" w:space="0" w:color="auto"/>
            <w:right w:val="none" w:sz="0" w:space="0" w:color="auto"/>
          </w:divBdr>
        </w:div>
        <w:div w:id="2106999711">
          <w:marLeft w:val="562"/>
          <w:marRight w:val="0"/>
          <w:marTop w:val="0"/>
          <w:marBottom w:val="0"/>
          <w:divBdr>
            <w:top w:val="none" w:sz="0" w:space="0" w:color="auto"/>
            <w:left w:val="none" w:sz="0" w:space="0" w:color="auto"/>
            <w:bottom w:val="none" w:sz="0" w:space="0" w:color="auto"/>
            <w:right w:val="none" w:sz="0" w:space="0" w:color="auto"/>
          </w:divBdr>
        </w:div>
      </w:divsChild>
    </w:div>
    <w:div w:id="898858450">
      <w:bodyDiv w:val="1"/>
      <w:marLeft w:val="0"/>
      <w:marRight w:val="0"/>
      <w:marTop w:val="0"/>
      <w:marBottom w:val="0"/>
      <w:divBdr>
        <w:top w:val="none" w:sz="0" w:space="0" w:color="auto"/>
        <w:left w:val="none" w:sz="0" w:space="0" w:color="auto"/>
        <w:bottom w:val="none" w:sz="0" w:space="0" w:color="auto"/>
        <w:right w:val="none" w:sz="0" w:space="0" w:color="auto"/>
      </w:divBdr>
      <w:divsChild>
        <w:div w:id="160506500">
          <w:marLeft w:val="0"/>
          <w:marRight w:val="0"/>
          <w:marTop w:val="0"/>
          <w:marBottom w:val="0"/>
          <w:divBdr>
            <w:top w:val="none" w:sz="0" w:space="0" w:color="auto"/>
            <w:left w:val="none" w:sz="0" w:space="0" w:color="auto"/>
            <w:bottom w:val="none" w:sz="0" w:space="0" w:color="auto"/>
            <w:right w:val="none" w:sz="0" w:space="0" w:color="auto"/>
          </w:divBdr>
        </w:div>
        <w:div w:id="1029600564">
          <w:marLeft w:val="0"/>
          <w:marRight w:val="0"/>
          <w:marTop w:val="0"/>
          <w:marBottom w:val="0"/>
          <w:divBdr>
            <w:top w:val="none" w:sz="0" w:space="0" w:color="auto"/>
            <w:left w:val="none" w:sz="0" w:space="0" w:color="auto"/>
            <w:bottom w:val="none" w:sz="0" w:space="0" w:color="auto"/>
            <w:right w:val="none" w:sz="0" w:space="0" w:color="auto"/>
          </w:divBdr>
        </w:div>
        <w:div w:id="1092124060">
          <w:marLeft w:val="0"/>
          <w:marRight w:val="0"/>
          <w:marTop w:val="0"/>
          <w:marBottom w:val="0"/>
          <w:divBdr>
            <w:top w:val="none" w:sz="0" w:space="0" w:color="auto"/>
            <w:left w:val="none" w:sz="0" w:space="0" w:color="auto"/>
            <w:bottom w:val="none" w:sz="0" w:space="0" w:color="auto"/>
            <w:right w:val="none" w:sz="0" w:space="0" w:color="auto"/>
          </w:divBdr>
        </w:div>
        <w:div w:id="1823080814">
          <w:marLeft w:val="0"/>
          <w:marRight w:val="0"/>
          <w:marTop w:val="0"/>
          <w:marBottom w:val="0"/>
          <w:divBdr>
            <w:top w:val="none" w:sz="0" w:space="0" w:color="auto"/>
            <w:left w:val="none" w:sz="0" w:space="0" w:color="auto"/>
            <w:bottom w:val="none" w:sz="0" w:space="0" w:color="auto"/>
            <w:right w:val="none" w:sz="0" w:space="0" w:color="auto"/>
          </w:divBdr>
        </w:div>
        <w:div w:id="1839955840">
          <w:marLeft w:val="0"/>
          <w:marRight w:val="0"/>
          <w:marTop w:val="0"/>
          <w:marBottom w:val="0"/>
          <w:divBdr>
            <w:top w:val="none" w:sz="0" w:space="0" w:color="auto"/>
            <w:left w:val="none" w:sz="0" w:space="0" w:color="auto"/>
            <w:bottom w:val="none" w:sz="0" w:space="0" w:color="auto"/>
            <w:right w:val="none" w:sz="0" w:space="0" w:color="auto"/>
          </w:divBdr>
        </w:div>
        <w:div w:id="1981885426">
          <w:marLeft w:val="0"/>
          <w:marRight w:val="0"/>
          <w:marTop w:val="0"/>
          <w:marBottom w:val="0"/>
          <w:divBdr>
            <w:top w:val="none" w:sz="0" w:space="0" w:color="auto"/>
            <w:left w:val="none" w:sz="0" w:space="0" w:color="auto"/>
            <w:bottom w:val="none" w:sz="0" w:space="0" w:color="auto"/>
            <w:right w:val="none" w:sz="0" w:space="0" w:color="auto"/>
          </w:divBdr>
        </w:div>
        <w:div w:id="1987661652">
          <w:marLeft w:val="0"/>
          <w:marRight w:val="0"/>
          <w:marTop w:val="0"/>
          <w:marBottom w:val="0"/>
          <w:divBdr>
            <w:top w:val="none" w:sz="0" w:space="0" w:color="auto"/>
            <w:left w:val="none" w:sz="0" w:space="0" w:color="auto"/>
            <w:bottom w:val="none" w:sz="0" w:space="0" w:color="auto"/>
            <w:right w:val="none" w:sz="0" w:space="0" w:color="auto"/>
          </w:divBdr>
        </w:div>
      </w:divsChild>
    </w:div>
    <w:div w:id="929313552">
      <w:bodyDiv w:val="1"/>
      <w:marLeft w:val="0"/>
      <w:marRight w:val="0"/>
      <w:marTop w:val="0"/>
      <w:marBottom w:val="0"/>
      <w:divBdr>
        <w:top w:val="none" w:sz="0" w:space="0" w:color="auto"/>
        <w:left w:val="none" w:sz="0" w:space="0" w:color="auto"/>
        <w:bottom w:val="none" w:sz="0" w:space="0" w:color="auto"/>
        <w:right w:val="none" w:sz="0" w:space="0" w:color="auto"/>
      </w:divBdr>
    </w:div>
    <w:div w:id="971904717">
      <w:bodyDiv w:val="1"/>
      <w:marLeft w:val="0"/>
      <w:marRight w:val="0"/>
      <w:marTop w:val="0"/>
      <w:marBottom w:val="0"/>
      <w:divBdr>
        <w:top w:val="none" w:sz="0" w:space="0" w:color="auto"/>
        <w:left w:val="none" w:sz="0" w:space="0" w:color="auto"/>
        <w:bottom w:val="none" w:sz="0" w:space="0" w:color="auto"/>
        <w:right w:val="none" w:sz="0" w:space="0" w:color="auto"/>
      </w:divBdr>
      <w:divsChild>
        <w:div w:id="825781637">
          <w:marLeft w:val="0"/>
          <w:marRight w:val="0"/>
          <w:marTop w:val="0"/>
          <w:marBottom w:val="0"/>
          <w:divBdr>
            <w:top w:val="none" w:sz="0" w:space="0" w:color="auto"/>
            <w:left w:val="none" w:sz="0" w:space="0" w:color="auto"/>
            <w:bottom w:val="none" w:sz="0" w:space="0" w:color="auto"/>
            <w:right w:val="none" w:sz="0" w:space="0" w:color="auto"/>
          </w:divBdr>
        </w:div>
        <w:div w:id="1967277546">
          <w:marLeft w:val="0"/>
          <w:marRight w:val="0"/>
          <w:marTop w:val="0"/>
          <w:marBottom w:val="0"/>
          <w:divBdr>
            <w:top w:val="none" w:sz="0" w:space="0" w:color="auto"/>
            <w:left w:val="none" w:sz="0" w:space="0" w:color="auto"/>
            <w:bottom w:val="none" w:sz="0" w:space="0" w:color="auto"/>
            <w:right w:val="none" w:sz="0" w:space="0" w:color="auto"/>
          </w:divBdr>
        </w:div>
      </w:divsChild>
    </w:div>
    <w:div w:id="988902364">
      <w:bodyDiv w:val="1"/>
      <w:marLeft w:val="0"/>
      <w:marRight w:val="0"/>
      <w:marTop w:val="0"/>
      <w:marBottom w:val="0"/>
      <w:divBdr>
        <w:top w:val="none" w:sz="0" w:space="0" w:color="auto"/>
        <w:left w:val="none" w:sz="0" w:space="0" w:color="auto"/>
        <w:bottom w:val="none" w:sz="0" w:space="0" w:color="auto"/>
        <w:right w:val="none" w:sz="0" w:space="0" w:color="auto"/>
      </w:divBdr>
    </w:div>
    <w:div w:id="1100835507">
      <w:bodyDiv w:val="1"/>
      <w:marLeft w:val="0"/>
      <w:marRight w:val="0"/>
      <w:marTop w:val="0"/>
      <w:marBottom w:val="0"/>
      <w:divBdr>
        <w:top w:val="none" w:sz="0" w:space="0" w:color="auto"/>
        <w:left w:val="none" w:sz="0" w:space="0" w:color="auto"/>
        <w:bottom w:val="none" w:sz="0" w:space="0" w:color="auto"/>
        <w:right w:val="none" w:sz="0" w:space="0" w:color="auto"/>
      </w:divBdr>
    </w:div>
    <w:div w:id="1159997395">
      <w:bodyDiv w:val="1"/>
      <w:marLeft w:val="0"/>
      <w:marRight w:val="0"/>
      <w:marTop w:val="0"/>
      <w:marBottom w:val="0"/>
      <w:divBdr>
        <w:top w:val="none" w:sz="0" w:space="0" w:color="auto"/>
        <w:left w:val="none" w:sz="0" w:space="0" w:color="auto"/>
        <w:bottom w:val="none" w:sz="0" w:space="0" w:color="auto"/>
        <w:right w:val="none" w:sz="0" w:space="0" w:color="auto"/>
      </w:divBdr>
      <w:divsChild>
        <w:div w:id="150755780">
          <w:marLeft w:val="0"/>
          <w:marRight w:val="0"/>
          <w:marTop w:val="0"/>
          <w:marBottom w:val="0"/>
          <w:divBdr>
            <w:top w:val="none" w:sz="0" w:space="0" w:color="auto"/>
            <w:left w:val="none" w:sz="0" w:space="0" w:color="auto"/>
            <w:bottom w:val="none" w:sz="0" w:space="0" w:color="auto"/>
            <w:right w:val="none" w:sz="0" w:space="0" w:color="auto"/>
          </w:divBdr>
        </w:div>
        <w:div w:id="183132290">
          <w:marLeft w:val="0"/>
          <w:marRight w:val="0"/>
          <w:marTop w:val="0"/>
          <w:marBottom w:val="0"/>
          <w:divBdr>
            <w:top w:val="none" w:sz="0" w:space="0" w:color="auto"/>
            <w:left w:val="none" w:sz="0" w:space="0" w:color="auto"/>
            <w:bottom w:val="none" w:sz="0" w:space="0" w:color="auto"/>
            <w:right w:val="none" w:sz="0" w:space="0" w:color="auto"/>
          </w:divBdr>
        </w:div>
        <w:div w:id="1377969330">
          <w:marLeft w:val="0"/>
          <w:marRight w:val="0"/>
          <w:marTop w:val="0"/>
          <w:marBottom w:val="0"/>
          <w:divBdr>
            <w:top w:val="none" w:sz="0" w:space="0" w:color="auto"/>
            <w:left w:val="none" w:sz="0" w:space="0" w:color="auto"/>
            <w:bottom w:val="none" w:sz="0" w:space="0" w:color="auto"/>
            <w:right w:val="none" w:sz="0" w:space="0" w:color="auto"/>
          </w:divBdr>
        </w:div>
        <w:div w:id="2127852008">
          <w:marLeft w:val="0"/>
          <w:marRight w:val="0"/>
          <w:marTop w:val="0"/>
          <w:marBottom w:val="0"/>
          <w:divBdr>
            <w:top w:val="none" w:sz="0" w:space="0" w:color="auto"/>
            <w:left w:val="none" w:sz="0" w:space="0" w:color="auto"/>
            <w:bottom w:val="none" w:sz="0" w:space="0" w:color="auto"/>
            <w:right w:val="none" w:sz="0" w:space="0" w:color="auto"/>
          </w:divBdr>
        </w:div>
      </w:divsChild>
    </w:div>
    <w:div w:id="1169977222">
      <w:bodyDiv w:val="1"/>
      <w:marLeft w:val="0"/>
      <w:marRight w:val="0"/>
      <w:marTop w:val="0"/>
      <w:marBottom w:val="0"/>
      <w:divBdr>
        <w:top w:val="none" w:sz="0" w:space="0" w:color="auto"/>
        <w:left w:val="none" w:sz="0" w:space="0" w:color="auto"/>
        <w:bottom w:val="none" w:sz="0" w:space="0" w:color="auto"/>
        <w:right w:val="none" w:sz="0" w:space="0" w:color="auto"/>
      </w:divBdr>
    </w:div>
    <w:div w:id="1171332884">
      <w:bodyDiv w:val="1"/>
      <w:marLeft w:val="0"/>
      <w:marRight w:val="0"/>
      <w:marTop w:val="0"/>
      <w:marBottom w:val="0"/>
      <w:divBdr>
        <w:top w:val="none" w:sz="0" w:space="0" w:color="auto"/>
        <w:left w:val="none" w:sz="0" w:space="0" w:color="auto"/>
        <w:bottom w:val="none" w:sz="0" w:space="0" w:color="auto"/>
        <w:right w:val="none" w:sz="0" w:space="0" w:color="auto"/>
      </w:divBdr>
      <w:divsChild>
        <w:div w:id="142737943">
          <w:marLeft w:val="0"/>
          <w:marRight w:val="0"/>
          <w:marTop w:val="0"/>
          <w:marBottom w:val="0"/>
          <w:divBdr>
            <w:top w:val="none" w:sz="0" w:space="0" w:color="auto"/>
            <w:left w:val="none" w:sz="0" w:space="0" w:color="auto"/>
            <w:bottom w:val="none" w:sz="0" w:space="0" w:color="auto"/>
            <w:right w:val="none" w:sz="0" w:space="0" w:color="auto"/>
          </w:divBdr>
        </w:div>
        <w:div w:id="498689989">
          <w:marLeft w:val="0"/>
          <w:marRight w:val="0"/>
          <w:marTop w:val="0"/>
          <w:marBottom w:val="0"/>
          <w:divBdr>
            <w:top w:val="none" w:sz="0" w:space="0" w:color="auto"/>
            <w:left w:val="none" w:sz="0" w:space="0" w:color="auto"/>
            <w:bottom w:val="none" w:sz="0" w:space="0" w:color="auto"/>
            <w:right w:val="none" w:sz="0" w:space="0" w:color="auto"/>
          </w:divBdr>
        </w:div>
      </w:divsChild>
    </w:div>
    <w:div w:id="1171598974">
      <w:bodyDiv w:val="1"/>
      <w:marLeft w:val="0"/>
      <w:marRight w:val="0"/>
      <w:marTop w:val="0"/>
      <w:marBottom w:val="0"/>
      <w:divBdr>
        <w:top w:val="none" w:sz="0" w:space="0" w:color="auto"/>
        <w:left w:val="none" w:sz="0" w:space="0" w:color="auto"/>
        <w:bottom w:val="none" w:sz="0" w:space="0" w:color="auto"/>
        <w:right w:val="none" w:sz="0" w:space="0" w:color="auto"/>
      </w:divBdr>
      <w:divsChild>
        <w:div w:id="442460729">
          <w:marLeft w:val="0"/>
          <w:marRight w:val="0"/>
          <w:marTop w:val="0"/>
          <w:marBottom w:val="0"/>
          <w:divBdr>
            <w:top w:val="none" w:sz="0" w:space="0" w:color="auto"/>
            <w:left w:val="none" w:sz="0" w:space="0" w:color="auto"/>
            <w:bottom w:val="none" w:sz="0" w:space="0" w:color="auto"/>
            <w:right w:val="none" w:sz="0" w:space="0" w:color="auto"/>
          </w:divBdr>
        </w:div>
        <w:div w:id="819998922">
          <w:marLeft w:val="0"/>
          <w:marRight w:val="0"/>
          <w:marTop w:val="0"/>
          <w:marBottom w:val="0"/>
          <w:divBdr>
            <w:top w:val="none" w:sz="0" w:space="0" w:color="auto"/>
            <w:left w:val="none" w:sz="0" w:space="0" w:color="auto"/>
            <w:bottom w:val="none" w:sz="0" w:space="0" w:color="auto"/>
            <w:right w:val="none" w:sz="0" w:space="0" w:color="auto"/>
          </w:divBdr>
        </w:div>
      </w:divsChild>
    </w:div>
    <w:div w:id="1277634970">
      <w:bodyDiv w:val="1"/>
      <w:marLeft w:val="0"/>
      <w:marRight w:val="0"/>
      <w:marTop w:val="0"/>
      <w:marBottom w:val="0"/>
      <w:divBdr>
        <w:top w:val="none" w:sz="0" w:space="0" w:color="auto"/>
        <w:left w:val="none" w:sz="0" w:space="0" w:color="auto"/>
        <w:bottom w:val="none" w:sz="0" w:space="0" w:color="auto"/>
        <w:right w:val="none" w:sz="0" w:space="0" w:color="auto"/>
      </w:divBdr>
      <w:divsChild>
        <w:div w:id="454257852">
          <w:marLeft w:val="0"/>
          <w:marRight w:val="0"/>
          <w:marTop w:val="0"/>
          <w:marBottom w:val="0"/>
          <w:divBdr>
            <w:top w:val="none" w:sz="0" w:space="0" w:color="auto"/>
            <w:left w:val="none" w:sz="0" w:space="0" w:color="auto"/>
            <w:bottom w:val="none" w:sz="0" w:space="0" w:color="auto"/>
            <w:right w:val="none" w:sz="0" w:space="0" w:color="auto"/>
          </w:divBdr>
        </w:div>
        <w:div w:id="1903326640">
          <w:marLeft w:val="0"/>
          <w:marRight w:val="0"/>
          <w:marTop w:val="0"/>
          <w:marBottom w:val="0"/>
          <w:divBdr>
            <w:top w:val="none" w:sz="0" w:space="0" w:color="auto"/>
            <w:left w:val="none" w:sz="0" w:space="0" w:color="auto"/>
            <w:bottom w:val="none" w:sz="0" w:space="0" w:color="auto"/>
            <w:right w:val="none" w:sz="0" w:space="0" w:color="auto"/>
          </w:divBdr>
        </w:div>
      </w:divsChild>
    </w:div>
    <w:div w:id="1313026857">
      <w:bodyDiv w:val="1"/>
      <w:marLeft w:val="0"/>
      <w:marRight w:val="0"/>
      <w:marTop w:val="0"/>
      <w:marBottom w:val="0"/>
      <w:divBdr>
        <w:top w:val="none" w:sz="0" w:space="0" w:color="auto"/>
        <w:left w:val="none" w:sz="0" w:space="0" w:color="auto"/>
        <w:bottom w:val="none" w:sz="0" w:space="0" w:color="auto"/>
        <w:right w:val="none" w:sz="0" w:space="0" w:color="auto"/>
      </w:divBdr>
      <w:divsChild>
        <w:div w:id="83042110">
          <w:marLeft w:val="0"/>
          <w:marRight w:val="0"/>
          <w:marTop w:val="0"/>
          <w:marBottom w:val="0"/>
          <w:divBdr>
            <w:top w:val="none" w:sz="0" w:space="0" w:color="auto"/>
            <w:left w:val="none" w:sz="0" w:space="0" w:color="auto"/>
            <w:bottom w:val="none" w:sz="0" w:space="0" w:color="auto"/>
            <w:right w:val="none" w:sz="0" w:space="0" w:color="auto"/>
          </w:divBdr>
        </w:div>
        <w:div w:id="561529761">
          <w:marLeft w:val="0"/>
          <w:marRight w:val="0"/>
          <w:marTop w:val="0"/>
          <w:marBottom w:val="0"/>
          <w:divBdr>
            <w:top w:val="none" w:sz="0" w:space="0" w:color="auto"/>
            <w:left w:val="none" w:sz="0" w:space="0" w:color="auto"/>
            <w:bottom w:val="none" w:sz="0" w:space="0" w:color="auto"/>
            <w:right w:val="none" w:sz="0" w:space="0" w:color="auto"/>
          </w:divBdr>
        </w:div>
        <w:div w:id="899438018">
          <w:marLeft w:val="0"/>
          <w:marRight w:val="0"/>
          <w:marTop w:val="0"/>
          <w:marBottom w:val="0"/>
          <w:divBdr>
            <w:top w:val="none" w:sz="0" w:space="0" w:color="auto"/>
            <w:left w:val="none" w:sz="0" w:space="0" w:color="auto"/>
            <w:bottom w:val="none" w:sz="0" w:space="0" w:color="auto"/>
            <w:right w:val="none" w:sz="0" w:space="0" w:color="auto"/>
          </w:divBdr>
        </w:div>
        <w:div w:id="933704145">
          <w:marLeft w:val="0"/>
          <w:marRight w:val="0"/>
          <w:marTop w:val="0"/>
          <w:marBottom w:val="0"/>
          <w:divBdr>
            <w:top w:val="none" w:sz="0" w:space="0" w:color="auto"/>
            <w:left w:val="none" w:sz="0" w:space="0" w:color="auto"/>
            <w:bottom w:val="none" w:sz="0" w:space="0" w:color="auto"/>
            <w:right w:val="none" w:sz="0" w:space="0" w:color="auto"/>
          </w:divBdr>
        </w:div>
        <w:div w:id="1157188855">
          <w:marLeft w:val="0"/>
          <w:marRight w:val="0"/>
          <w:marTop w:val="0"/>
          <w:marBottom w:val="0"/>
          <w:divBdr>
            <w:top w:val="none" w:sz="0" w:space="0" w:color="auto"/>
            <w:left w:val="none" w:sz="0" w:space="0" w:color="auto"/>
            <w:bottom w:val="none" w:sz="0" w:space="0" w:color="auto"/>
            <w:right w:val="none" w:sz="0" w:space="0" w:color="auto"/>
          </w:divBdr>
        </w:div>
        <w:div w:id="1615550904">
          <w:marLeft w:val="0"/>
          <w:marRight w:val="0"/>
          <w:marTop w:val="0"/>
          <w:marBottom w:val="0"/>
          <w:divBdr>
            <w:top w:val="none" w:sz="0" w:space="0" w:color="auto"/>
            <w:left w:val="none" w:sz="0" w:space="0" w:color="auto"/>
            <w:bottom w:val="none" w:sz="0" w:space="0" w:color="auto"/>
            <w:right w:val="none" w:sz="0" w:space="0" w:color="auto"/>
          </w:divBdr>
        </w:div>
      </w:divsChild>
    </w:div>
    <w:div w:id="1363822739">
      <w:bodyDiv w:val="1"/>
      <w:marLeft w:val="0"/>
      <w:marRight w:val="0"/>
      <w:marTop w:val="0"/>
      <w:marBottom w:val="0"/>
      <w:divBdr>
        <w:top w:val="none" w:sz="0" w:space="0" w:color="auto"/>
        <w:left w:val="none" w:sz="0" w:space="0" w:color="auto"/>
        <w:bottom w:val="none" w:sz="0" w:space="0" w:color="auto"/>
        <w:right w:val="none" w:sz="0" w:space="0" w:color="auto"/>
      </w:divBdr>
      <w:divsChild>
        <w:div w:id="284581746">
          <w:marLeft w:val="0"/>
          <w:marRight w:val="0"/>
          <w:marTop w:val="0"/>
          <w:marBottom w:val="0"/>
          <w:divBdr>
            <w:top w:val="none" w:sz="0" w:space="0" w:color="auto"/>
            <w:left w:val="none" w:sz="0" w:space="0" w:color="auto"/>
            <w:bottom w:val="none" w:sz="0" w:space="0" w:color="auto"/>
            <w:right w:val="none" w:sz="0" w:space="0" w:color="auto"/>
          </w:divBdr>
        </w:div>
        <w:div w:id="314839077">
          <w:marLeft w:val="0"/>
          <w:marRight w:val="0"/>
          <w:marTop w:val="0"/>
          <w:marBottom w:val="0"/>
          <w:divBdr>
            <w:top w:val="none" w:sz="0" w:space="0" w:color="auto"/>
            <w:left w:val="none" w:sz="0" w:space="0" w:color="auto"/>
            <w:bottom w:val="none" w:sz="0" w:space="0" w:color="auto"/>
            <w:right w:val="none" w:sz="0" w:space="0" w:color="auto"/>
          </w:divBdr>
        </w:div>
        <w:div w:id="760612878">
          <w:marLeft w:val="0"/>
          <w:marRight w:val="0"/>
          <w:marTop w:val="0"/>
          <w:marBottom w:val="0"/>
          <w:divBdr>
            <w:top w:val="none" w:sz="0" w:space="0" w:color="auto"/>
            <w:left w:val="none" w:sz="0" w:space="0" w:color="auto"/>
            <w:bottom w:val="none" w:sz="0" w:space="0" w:color="auto"/>
            <w:right w:val="none" w:sz="0" w:space="0" w:color="auto"/>
          </w:divBdr>
        </w:div>
        <w:div w:id="1821001865">
          <w:marLeft w:val="0"/>
          <w:marRight w:val="0"/>
          <w:marTop w:val="0"/>
          <w:marBottom w:val="0"/>
          <w:divBdr>
            <w:top w:val="none" w:sz="0" w:space="0" w:color="auto"/>
            <w:left w:val="none" w:sz="0" w:space="0" w:color="auto"/>
            <w:bottom w:val="none" w:sz="0" w:space="0" w:color="auto"/>
            <w:right w:val="none" w:sz="0" w:space="0" w:color="auto"/>
          </w:divBdr>
        </w:div>
      </w:divsChild>
    </w:div>
    <w:div w:id="1428888068">
      <w:bodyDiv w:val="1"/>
      <w:marLeft w:val="0"/>
      <w:marRight w:val="0"/>
      <w:marTop w:val="0"/>
      <w:marBottom w:val="0"/>
      <w:divBdr>
        <w:top w:val="none" w:sz="0" w:space="0" w:color="auto"/>
        <w:left w:val="none" w:sz="0" w:space="0" w:color="auto"/>
        <w:bottom w:val="none" w:sz="0" w:space="0" w:color="auto"/>
        <w:right w:val="none" w:sz="0" w:space="0" w:color="auto"/>
      </w:divBdr>
    </w:div>
    <w:div w:id="1442844349">
      <w:bodyDiv w:val="1"/>
      <w:marLeft w:val="0"/>
      <w:marRight w:val="0"/>
      <w:marTop w:val="0"/>
      <w:marBottom w:val="0"/>
      <w:divBdr>
        <w:top w:val="none" w:sz="0" w:space="0" w:color="auto"/>
        <w:left w:val="none" w:sz="0" w:space="0" w:color="auto"/>
        <w:bottom w:val="none" w:sz="0" w:space="0" w:color="auto"/>
        <w:right w:val="none" w:sz="0" w:space="0" w:color="auto"/>
      </w:divBdr>
    </w:div>
    <w:div w:id="1520317631">
      <w:bodyDiv w:val="1"/>
      <w:marLeft w:val="0"/>
      <w:marRight w:val="0"/>
      <w:marTop w:val="0"/>
      <w:marBottom w:val="0"/>
      <w:divBdr>
        <w:top w:val="none" w:sz="0" w:space="0" w:color="auto"/>
        <w:left w:val="none" w:sz="0" w:space="0" w:color="auto"/>
        <w:bottom w:val="none" w:sz="0" w:space="0" w:color="auto"/>
        <w:right w:val="none" w:sz="0" w:space="0" w:color="auto"/>
      </w:divBdr>
    </w:div>
    <w:div w:id="1533612969">
      <w:bodyDiv w:val="1"/>
      <w:marLeft w:val="0"/>
      <w:marRight w:val="0"/>
      <w:marTop w:val="0"/>
      <w:marBottom w:val="0"/>
      <w:divBdr>
        <w:top w:val="none" w:sz="0" w:space="0" w:color="auto"/>
        <w:left w:val="none" w:sz="0" w:space="0" w:color="auto"/>
        <w:bottom w:val="none" w:sz="0" w:space="0" w:color="auto"/>
        <w:right w:val="none" w:sz="0" w:space="0" w:color="auto"/>
      </w:divBdr>
    </w:div>
    <w:div w:id="1538935120">
      <w:bodyDiv w:val="1"/>
      <w:marLeft w:val="0"/>
      <w:marRight w:val="0"/>
      <w:marTop w:val="0"/>
      <w:marBottom w:val="0"/>
      <w:divBdr>
        <w:top w:val="none" w:sz="0" w:space="0" w:color="auto"/>
        <w:left w:val="none" w:sz="0" w:space="0" w:color="auto"/>
        <w:bottom w:val="none" w:sz="0" w:space="0" w:color="auto"/>
        <w:right w:val="none" w:sz="0" w:space="0" w:color="auto"/>
      </w:divBdr>
    </w:div>
    <w:div w:id="1604190688">
      <w:bodyDiv w:val="1"/>
      <w:marLeft w:val="0"/>
      <w:marRight w:val="0"/>
      <w:marTop w:val="0"/>
      <w:marBottom w:val="0"/>
      <w:divBdr>
        <w:top w:val="none" w:sz="0" w:space="0" w:color="auto"/>
        <w:left w:val="none" w:sz="0" w:space="0" w:color="auto"/>
        <w:bottom w:val="none" w:sz="0" w:space="0" w:color="auto"/>
        <w:right w:val="none" w:sz="0" w:space="0" w:color="auto"/>
      </w:divBdr>
      <w:divsChild>
        <w:div w:id="709035721">
          <w:marLeft w:val="0"/>
          <w:marRight w:val="0"/>
          <w:marTop w:val="0"/>
          <w:marBottom w:val="0"/>
          <w:divBdr>
            <w:top w:val="none" w:sz="0" w:space="0" w:color="auto"/>
            <w:left w:val="none" w:sz="0" w:space="0" w:color="auto"/>
            <w:bottom w:val="none" w:sz="0" w:space="0" w:color="auto"/>
            <w:right w:val="none" w:sz="0" w:space="0" w:color="auto"/>
          </w:divBdr>
        </w:div>
        <w:div w:id="1339893981">
          <w:marLeft w:val="0"/>
          <w:marRight w:val="0"/>
          <w:marTop w:val="0"/>
          <w:marBottom w:val="0"/>
          <w:divBdr>
            <w:top w:val="none" w:sz="0" w:space="0" w:color="auto"/>
            <w:left w:val="none" w:sz="0" w:space="0" w:color="auto"/>
            <w:bottom w:val="none" w:sz="0" w:space="0" w:color="auto"/>
            <w:right w:val="none" w:sz="0" w:space="0" w:color="auto"/>
          </w:divBdr>
        </w:div>
        <w:div w:id="1589117524">
          <w:marLeft w:val="0"/>
          <w:marRight w:val="0"/>
          <w:marTop w:val="0"/>
          <w:marBottom w:val="0"/>
          <w:divBdr>
            <w:top w:val="none" w:sz="0" w:space="0" w:color="auto"/>
            <w:left w:val="none" w:sz="0" w:space="0" w:color="auto"/>
            <w:bottom w:val="none" w:sz="0" w:space="0" w:color="auto"/>
            <w:right w:val="none" w:sz="0" w:space="0" w:color="auto"/>
          </w:divBdr>
        </w:div>
        <w:div w:id="2032489347">
          <w:marLeft w:val="0"/>
          <w:marRight w:val="0"/>
          <w:marTop w:val="0"/>
          <w:marBottom w:val="0"/>
          <w:divBdr>
            <w:top w:val="none" w:sz="0" w:space="0" w:color="auto"/>
            <w:left w:val="none" w:sz="0" w:space="0" w:color="auto"/>
            <w:bottom w:val="none" w:sz="0" w:space="0" w:color="auto"/>
            <w:right w:val="none" w:sz="0" w:space="0" w:color="auto"/>
          </w:divBdr>
        </w:div>
      </w:divsChild>
    </w:div>
    <w:div w:id="1630161781">
      <w:bodyDiv w:val="1"/>
      <w:marLeft w:val="0"/>
      <w:marRight w:val="0"/>
      <w:marTop w:val="0"/>
      <w:marBottom w:val="0"/>
      <w:divBdr>
        <w:top w:val="none" w:sz="0" w:space="0" w:color="auto"/>
        <w:left w:val="none" w:sz="0" w:space="0" w:color="auto"/>
        <w:bottom w:val="none" w:sz="0" w:space="0" w:color="auto"/>
        <w:right w:val="none" w:sz="0" w:space="0" w:color="auto"/>
      </w:divBdr>
    </w:div>
    <w:div w:id="1667828774">
      <w:bodyDiv w:val="1"/>
      <w:marLeft w:val="0"/>
      <w:marRight w:val="0"/>
      <w:marTop w:val="0"/>
      <w:marBottom w:val="0"/>
      <w:divBdr>
        <w:top w:val="none" w:sz="0" w:space="0" w:color="auto"/>
        <w:left w:val="none" w:sz="0" w:space="0" w:color="auto"/>
        <w:bottom w:val="none" w:sz="0" w:space="0" w:color="auto"/>
        <w:right w:val="none" w:sz="0" w:space="0" w:color="auto"/>
      </w:divBdr>
    </w:div>
    <w:div w:id="1670986409">
      <w:bodyDiv w:val="1"/>
      <w:marLeft w:val="0"/>
      <w:marRight w:val="0"/>
      <w:marTop w:val="0"/>
      <w:marBottom w:val="0"/>
      <w:divBdr>
        <w:top w:val="none" w:sz="0" w:space="0" w:color="auto"/>
        <w:left w:val="none" w:sz="0" w:space="0" w:color="auto"/>
        <w:bottom w:val="none" w:sz="0" w:space="0" w:color="auto"/>
        <w:right w:val="none" w:sz="0" w:space="0" w:color="auto"/>
      </w:divBdr>
    </w:div>
    <w:div w:id="1700738400">
      <w:bodyDiv w:val="1"/>
      <w:marLeft w:val="0"/>
      <w:marRight w:val="0"/>
      <w:marTop w:val="0"/>
      <w:marBottom w:val="0"/>
      <w:divBdr>
        <w:top w:val="none" w:sz="0" w:space="0" w:color="auto"/>
        <w:left w:val="none" w:sz="0" w:space="0" w:color="auto"/>
        <w:bottom w:val="none" w:sz="0" w:space="0" w:color="auto"/>
        <w:right w:val="none" w:sz="0" w:space="0" w:color="auto"/>
      </w:divBdr>
      <w:divsChild>
        <w:div w:id="86774420">
          <w:marLeft w:val="288"/>
          <w:marRight w:val="0"/>
          <w:marTop w:val="0"/>
          <w:marBottom w:val="0"/>
          <w:divBdr>
            <w:top w:val="none" w:sz="0" w:space="0" w:color="auto"/>
            <w:left w:val="none" w:sz="0" w:space="0" w:color="auto"/>
            <w:bottom w:val="none" w:sz="0" w:space="0" w:color="auto"/>
            <w:right w:val="none" w:sz="0" w:space="0" w:color="auto"/>
          </w:divBdr>
        </w:div>
        <w:div w:id="433205985">
          <w:marLeft w:val="288"/>
          <w:marRight w:val="0"/>
          <w:marTop w:val="0"/>
          <w:marBottom w:val="0"/>
          <w:divBdr>
            <w:top w:val="none" w:sz="0" w:space="0" w:color="auto"/>
            <w:left w:val="none" w:sz="0" w:space="0" w:color="auto"/>
            <w:bottom w:val="none" w:sz="0" w:space="0" w:color="auto"/>
            <w:right w:val="none" w:sz="0" w:space="0" w:color="auto"/>
          </w:divBdr>
        </w:div>
        <w:div w:id="676732611">
          <w:marLeft w:val="288"/>
          <w:marRight w:val="0"/>
          <w:marTop w:val="0"/>
          <w:marBottom w:val="0"/>
          <w:divBdr>
            <w:top w:val="none" w:sz="0" w:space="0" w:color="auto"/>
            <w:left w:val="none" w:sz="0" w:space="0" w:color="auto"/>
            <w:bottom w:val="none" w:sz="0" w:space="0" w:color="auto"/>
            <w:right w:val="none" w:sz="0" w:space="0" w:color="auto"/>
          </w:divBdr>
        </w:div>
        <w:div w:id="1113398404">
          <w:marLeft w:val="288"/>
          <w:marRight w:val="0"/>
          <w:marTop w:val="0"/>
          <w:marBottom w:val="0"/>
          <w:divBdr>
            <w:top w:val="none" w:sz="0" w:space="0" w:color="auto"/>
            <w:left w:val="none" w:sz="0" w:space="0" w:color="auto"/>
            <w:bottom w:val="none" w:sz="0" w:space="0" w:color="auto"/>
            <w:right w:val="none" w:sz="0" w:space="0" w:color="auto"/>
          </w:divBdr>
        </w:div>
        <w:div w:id="1163156056">
          <w:marLeft w:val="288"/>
          <w:marRight w:val="0"/>
          <w:marTop w:val="0"/>
          <w:marBottom w:val="0"/>
          <w:divBdr>
            <w:top w:val="none" w:sz="0" w:space="0" w:color="auto"/>
            <w:left w:val="none" w:sz="0" w:space="0" w:color="auto"/>
            <w:bottom w:val="none" w:sz="0" w:space="0" w:color="auto"/>
            <w:right w:val="none" w:sz="0" w:space="0" w:color="auto"/>
          </w:divBdr>
        </w:div>
        <w:div w:id="1267035610">
          <w:marLeft w:val="288"/>
          <w:marRight w:val="0"/>
          <w:marTop w:val="0"/>
          <w:marBottom w:val="0"/>
          <w:divBdr>
            <w:top w:val="none" w:sz="0" w:space="0" w:color="auto"/>
            <w:left w:val="none" w:sz="0" w:space="0" w:color="auto"/>
            <w:bottom w:val="none" w:sz="0" w:space="0" w:color="auto"/>
            <w:right w:val="none" w:sz="0" w:space="0" w:color="auto"/>
          </w:divBdr>
        </w:div>
        <w:div w:id="1559974777">
          <w:marLeft w:val="288"/>
          <w:marRight w:val="0"/>
          <w:marTop w:val="0"/>
          <w:marBottom w:val="0"/>
          <w:divBdr>
            <w:top w:val="none" w:sz="0" w:space="0" w:color="auto"/>
            <w:left w:val="none" w:sz="0" w:space="0" w:color="auto"/>
            <w:bottom w:val="none" w:sz="0" w:space="0" w:color="auto"/>
            <w:right w:val="none" w:sz="0" w:space="0" w:color="auto"/>
          </w:divBdr>
        </w:div>
        <w:div w:id="1938558202">
          <w:marLeft w:val="288"/>
          <w:marRight w:val="0"/>
          <w:marTop w:val="0"/>
          <w:marBottom w:val="0"/>
          <w:divBdr>
            <w:top w:val="none" w:sz="0" w:space="0" w:color="auto"/>
            <w:left w:val="none" w:sz="0" w:space="0" w:color="auto"/>
            <w:bottom w:val="none" w:sz="0" w:space="0" w:color="auto"/>
            <w:right w:val="none" w:sz="0" w:space="0" w:color="auto"/>
          </w:divBdr>
        </w:div>
      </w:divsChild>
    </w:div>
    <w:div w:id="1738091159">
      <w:bodyDiv w:val="1"/>
      <w:marLeft w:val="0"/>
      <w:marRight w:val="0"/>
      <w:marTop w:val="0"/>
      <w:marBottom w:val="0"/>
      <w:divBdr>
        <w:top w:val="none" w:sz="0" w:space="0" w:color="auto"/>
        <w:left w:val="none" w:sz="0" w:space="0" w:color="auto"/>
        <w:bottom w:val="none" w:sz="0" w:space="0" w:color="auto"/>
        <w:right w:val="none" w:sz="0" w:space="0" w:color="auto"/>
      </w:divBdr>
    </w:div>
    <w:div w:id="1746341305">
      <w:bodyDiv w:val="1"/>
      <w:marLeft w:val="0"/>
      <w:marRight w:val="0"/>
      <w:marTop w:val="0"/>
      <w:marBottom w:val="0"/>
      <w:divBdr>
        <w:top w:val="none" w:sz="0" w:space="0" w:color="auto"/>
        <w:left w:val="none" w:sz="0" w:space="0" w:color="auto"/>
        <w:bottom w:val="none" w:sz="0" w:space="0" w:color="auto"/>
        <w:right w:val="none" w:sz="0" w:space="0" w:color="auto"/>
      </w:divBdr>
      <w:divsChild>
        <w:div w:id="41755423">
          <w:marLeft w:val="0"/>
          <w:marRight w:val="0"/>
          <w:marTop w:val="0"/>
          <w:marBottom w:val="0"/>
          <w:divBdr>
            <w:top w:val="none" w:sz="0" w:space="0" w:color="auto"/>
            <w:left w:val="none" w:sz="0" w:space="0" w:color="auto"/>
            <w:bottom w:val="none" w:sz="0" w:space="0" w:color="auto"/>
            <w:right w:val="none" w:sz="0" w:space="0" w:color="auto"/>
          </w:divBdr>
        </w:div>
        <w:div w:id="124351385">
          <w:marLeft w:val="0"/>
          <w:marRight w:val="0"/>
          <w:marTop w:val="0"/>
          <w:marBottom w:val="0"/>
          <w:divBdr>
            <w:top w:val="none" w:sz="0" w:space="0" w:color="auto"/>
            <w:left w:val="none" w:sz="0" w:space="0" w:color="auto"/>
            <w:bottom w:val="none" w:sz="0" w:space="0" w:color="auto"/>
            <w:right w:val="none" w:sz="0" w:space="0" w:color="auto"/>
          </w:divBdr>
        </w:div>
        <w:div w:id="603221734">
          <w:marLeft w:val="0"/>
          <w:marRight w:val="0"/>
          <w:marTop w:val="0"/>
          <w:marBottom w:val="0"/>
          <w:divBdr>
            <w:top w:val="none" w:sz="0" w:space="0" w:color="auto"/>
            <w:left w:val="none" w:sz="0" w:space="0" w:color="auto"/>
            <w:bottom w:val="none" w:sz="0" w:space="0" w:color="auto"/>
            <w:right w:val="none" w:sz="0" w:space="0" w:color="auto"/>
          </w:divBdr>
        </w:div>
        <w:div w:id="1004360910">
          <w:marLeft w:val="0"/>
          <w:marRight w:val="0"/>
          <w:marTop w:val="0"/>
          <w:marBottom w:val="0"/>
          <w:divBdr>
            <w:top w:val="none" w:sz="0" w:space="0" w:color="auto"/>
            <w:left w:val="none" w:sz="0" w:space="0" w:color="auto"/>
            <w:bottom w:val="none" w:sz="0" w:space="0" w:color="auto"/>
            <w:right w:val="none" w:sz="0" w:space="0" w:color="auto"/>
          </w:divBdr>
        </w:div>
        <w:div w:id="1643806205">
          <w:marLeft w:val="0"/>
          <w:marRight w:val="0"/>
          <w:marTop w:val="0"/>
          <w:marBottom w:val="0"/>
          <w:divBdr>
            <w:top w:val="none" w:sz="0" w:space="0" w:color="auto"/>
            <w:left w:val="none" w:sz="0" w:space="0" w:color="auto"/>
            <w:bottom w:val="none" w:sz="0" w:space="0" w:color="auto"/>
            <w:right w:val="none" w:sz="0" w:space="0" w:color="auto"/>
          </w:divBdr>
        </w:div>
      </w:divsChild>
    </w:div>
    <w:div w:id="1752699842">
      <w:bodyDiv w:val="1"/>
      <w:marLeft w:val="0"/>
      <w:marRight w:val="0"/>
      <w:marTop w:val="0"/>
      <w:marBottom w:val="0"/>
      <w:divBdr>
        <w:top w:val="none" w:sz="0" w:space="0" w:color="auto"/>
        <w:left w:val="none" w:sz="0" w:space="0" w:color="auto"/>
        <w:bottom w:val="none" w:sz="0" w:space="0" w:color="auto"/>
        <w:right w:val="none" w:sz="0" w:space="0" w:color="auto"/>
      </w:divBdr>
    </w:div>
    <w:div w:id="1766459416">
      <w:bodyDiv w:val="1"/>
      <w:marLeft w:val="0"/>
      <w:marRight w:val="0"/>
      <w:marTop w:val="0"/>
      <w:marBottom w:val="0"/>
      <w:divBdr>
        <w:top w:val="none" w:sz="0" w:space="0" w:color="auto"/>
        <w:left w:val="none" w:sz="0" w:space="0" w:color="auto"/>
        <w:bottom w:val="none" w:sz="0" w:space="0" w:color="auto"/>
        <w:right w:val="none" w:sz="0" w:space="0" w:color="auto"/>
      </w:divBdr>
      <w:divsChild>
        <w:div w:id="305547351">
          <w:marLeft w:val="0"/>
          <w:marRight w:val="0"/>
          <w:marTop w:val="0"/>
          <w:marBottom w:val="0"/>
          <w:divBdr>
            <w:top w:val="none" w:sz="0" w:space="0" w:color="auto"/>
            <w:left w:val="none" w:sz="0" w:space="0" w:color="auto"/>
            <w:bottom w:val="none" w:sz="0" w:space="0" w:color="auto"/>
            <w:right w:val="none" w:sz="0" w:space="0" w:color="auto"/>
          </w:divBdr>
        </w:div>
        <w:div w:id="851606434">
          <w:marLeft w:val="0"/>
          <w:marRight w:val="0"/>
          <w:marTop w:val="0"/>
          <w:marBottom w:val="0"/>
          <w:divBdr>
            <w:top w:val="none" w:sz="0" w:space="0" w:color="auto"/>
            <w:left w:val="none" w:sz="0" w:space="0" w:color="auto"/>
            <w:bottom w:val="none" w:sz="0" w:space="0" w:color="auto"/>
            <w:right w:val="none" w:sz="0" w:space="0" w:color="auto"/>
          </w:divBdr>
        </w:div>
        <w:div w:id="1019894589">
          <w:marLeft w:val="0"/>
          <w:marRight w:val="0"/>
          <w:marTop w:val="0"/>
          <w:marBottom w:val="0"/>
          <w:divBdr>
            <w:top w:val="none" w:sz="0" w:space="0" w:color="auto"/>
            <w:left w:val="none" w:sz="0" w:space="0" w:color="auto"/>
            <w:bottom w:val="none" w:sz="0" w:space="0" w:color="auto"/>
            <w:right w:val="none" w:sz="0" w:space="0" w:color="auto"/>
          </w:divBdr>
        </w:div>
        <w:div w:id="1135176248">
          <w:marLeft w:val="0"/>
          <w:marRight w:val="0"/>
          <w:marTop w:val="0"/>
          <w:marBottom w:val="0"/>
          <w:divBdr>
            <w:top w:val="none" w:sz="0" w:space="0" w:color="auto"/>
            <w:left w:val="none" w:sz="0" w:space="0" w:color="auto"/>
            <w:bottom w:val="none" w:sz="0" w:space="0" w:color="auto"/>
            <w:right w:val="none" w:sz="0" w:space="0" w:color="auto"/>
          </w:divBdr>
        </w:div>
        <w:div w:id="1369449310">
          <w:marLeft w:val="0"/>
          <w:marRight w:val="0"/>
          <w:marTop w:val="0"/>
          <w:marBottom w:val="0"/>
          <w:divBdr>
            <w:top w:val="none" w:sz="0" w:space="0" w:color="auto"/>
            <w:left w:val="none" w:sz="0" w:space="0" w:color="auto"/>
            <w:bottom w:val="none" w:sz="0" w:space="0" w:color="auto"/>
            <w:right w:val="none" w:sz="0" w:space="0" w:color="auto"/>
          </w:divBdr>
        </w:div>
        <w:div w:id="1591699945">
          <w:marLeft w:val="0"/>
          <w:marRight w:val="0"/>
          <w:marTop w:val="0"/>
          <w:marBottom w:val="0"/>
          <w:divBdr>
            <w:top w:val="none" w:sz="0" w:space="0" w:color="auto"/>
            <w:left w:val="none" w:sz="0" w:space="0" w:color="auto"/>
            <w:bottom w:val="none" w:sz="0" w:space="0" w:color="auto"/>
            <w:right w:val="none" w:sz="0" w:space="0" w:color="auto"/>
          </w:divBdr>
        </w:div>
        <w:div w:id="2014187646">
          <w:marLeft w:val="0"/>
          <w:marRight w:val="0"/>
          <w:marTop w:val="0"/>
          <w:marBottom w:val="0"/>
          <w:divBdr>
            <w:top w:val="none" w:sz="0" w:space="0" w:color="auto"/>
            <w:left w:val="none" w:sz="0" w:space="0" w:color="auto"/>
            <w:bottom w:val="none" w:sz="0" w:space="0" w:color="auto"/>
            <w:right w:val="none" w:sz="0" w:space="0" w:color="auto"/>
          </w:divBdr>
        </w:div>
      </w:divsChild>
    </w:div>
    <w:div w:id="1806046619">
      <w:bodyDiv w:val="1"/>
      <w:marLeft w:val="0"/>
      <w:marRight w:val="0"/>
      <w:marTop w:val="0"/>
      <w:marBottom w:val="0"/>
      <w:divBdr>
        <w:top w:val="none" w:sz="0" w:space="0" w:color="auto"/>
        <w:left w:val="none" w:sz="0" w:space="0" w:color="auto"/>
        <w:bottom w:val="none" w:sz="0" w:space="0" w:color="auto"/>
        <w:right w:val="none" w:sz="0" w:space="0" w:color="auto"/>
      </w:divBdr>
      <w:divsChild>
        <w:div w:id="318580510">
          <w:marLeft w:val="0"/>
          <w:marRight w:val="0"/>
          <w:marTop w:val="0"/>
          <w:marBottom w:val="0"/>
          <w:divBdr>
            <w:top w:val="none" w:sz="0" w:space="0" w:color="auto"/>
            <w:left w:val="none" w:sz="0" w:space="0" w:color="auto"/>
            <w:bottom w:val="none" w:sz="0" w:space="0" w:color="auto"/>
            <w:right w:val="none" w:sz="0" w:space="0" w:color="auto"/>
          </w:divBdr>
        </w:div>
        <w:div w:id="1032611296">
          <w:marLeft w:val="0"/>
          <w:marRight w:val="0"/>
          <w:marTop w:val="0"/>
          <w:marBottom w:val="0"/>
          <w:divBdr>
            <w:top w:val="none" w:sz="0" w:space="0" w:color="auto"/>
            <w:left w:val="none" w:sz="0" w:space="0" w:color="auto"/>
            <w:bottom w:val="none" w:sz="0" w:space="0" w:color="auto"/>
            <w:right w:val="none" w:sz="0" w:space="0" w:color="auto"/>
          </w:divBdr>
        </w:div>
        <w:div w:id="1828131893">
          <w:marLeft w:val="0"/>
          <w:marRight w:val="0"/>
          <w:marTop w:val="0"/>
          <w:marBottom w:val="0"/>
          <w:divBdr>
            <w:top w:val="none" w:sz="0" w:space="0" w:color="auto"/>
            <w:left w:val="none" w:sz="0" w:space="0" w:color="auto"/>
            <w:bottom w:val="none" w:sz="0" w:space="0" w:color="auto"/>
            <w:right w:val="none" w:sz="0" w:space="0" w:color="auto"/>
          </w:divBdr>
        </w:div>
      </w:divsChild>
    </w:div>
    <w:div w:id="1832209253">
      <w:bodyDiv w:val="1"/>
      <w:marLeft w:val="0"/>
      <w:marRight w:val="0"/>
      <w:marTop w:val="0"/>
      <w:marBottom w:val="0"/>
      <w:divBdr>
        <w:top w:val="none" w:sz="0" w:space="0" w:color="auto"/>
        <w:left w:val="none" w:sz="0" w:space="0" w:color="auto"/>
        <w:bottom w:val="none" w:sz="0" w:space="0" w:color="auto"/>
        <w:right w:val="none" w:sz="0" w:space="0" w:color="auto"/>
      </w:divBdr>
      <w:divsChild>
        <w:div w:id="388966009">
          <w:marLeft w:val="0"/>
          <w:marRight w:val="0"/>
          <w:marTop w:val="0"/>
          <w:marBottom w:val="0"/>
          <w:divBdr>
            <w:top w:val="none" w:sz="0" w:space="0" w:color="auto"/>
            <w:left w:val="none" w:sz="0" w:space="0" w:color="auto"/>
            <w:bottom w:val="none" w:sz="0" w:space="0" w:color="auto"/>
            <w:right w:val="none" w:sz="0" w:space="0" w:color="auto"/>
          </w:divBdr>
        </w:div>
        <w:div w:id="1021200447">
          <w:marLeft w:val="0"/>
          <w:marRight w:val="0"/>
          <w:marTop w:val="0"/>
          <w:marBottom w:val="0"/>
          <w:divBdr>
            <w:top w:val="none" w:sz="0" w:space="0" w:color="auto"/>
            <w:left w:val="none" w:sz="0" w:space="0" w:color="auto"/>
            <w:bottom w:val="none" w:sz="0" w:space="0" w:color="auto"/>
            <w:right w:val="none" w:sz="0" w:space="0" w:color="auto"/>
          </w:divBdr>
        </w:div>
        <w:div w:id="1187867236">
          <w:marLeft w:val="0"/>
          <w:marRight w:val="0"/>
          <w:marTop w:val="0"/>
          <w:marBottom w:val="0"/>
          <w:divBdr>
            <w:top w:val="none" w:sz="0" w:space="0" w:color="auto"/>
            <w:left w:val="none" w:sz="0" w:space="0" w:color="auto"/>
            <w:bottom w:val="none" w:sz="0" w:space="0" w:color="auto"/>
            <w:right w:val="none" w:sz="0" w:space="0" w:color="auto"/>
          </w:divBdr>
        </w:div>
        <w:div w:id="2133860487">
          <w:marLeft w:val="0"/>
          <w:marRight w:val="0"/>
          <w:marTop w:val="0"/>
          <w:marBottom w:val="0"/>
          <w:divBdr>
            <w:top w:val="none" w:sz="0" w:space="0" w:color="auto"/>
            <w:left w:val="none" w:sz="0" w:space="0" w:color="auto"/>
            <w:bottom w:val="none" w:sz="0" w:space="0" w:color="auto"/>
            <w:right w:val="none" w:sz="0" w:space="0" w:color="auto"/>
          </w:divBdr>
        </w:div>
      </w:divsChild>
    </w:div>
    <w:div w:id="1890603775">
      <w:bodyDiv w:val="1"/>
      <w:marLeft w:val="0"/>
      <w:marRight w:val="0"/>
      <w:marTop w:val="0"/>
      <w:marBottom w:val="0"/>
      <w:divBdr>
        <w:top w:val="none" w:sz="0" w:space="0" w:color="auto"/>
        <w:left w:val="none" w:sz="0" w:space="0" w:color="auto"/>
        <w:bottom w:val="none" w:sz="0" w:space="0" w:color="auto"/>
        <w:right w:val="none" w:sz="0" w:space="0" w:color="auto"/>
      </w:divBdr>
    </w:div>
    <w:div w:id="1927349211">
      <w:bodyDiv w:val="1"/>
      <w:marLeft w:val="0"/>
      <w:marRight w:val="0"/>
      <w:marTop w:val="0"/>
      <w:marBottom w:val="0"/>
      <w:divBdr>
        <w:top w:val="none" w:sz="0" w:space="0" w:color="auto"/>
        <w:left w:val="none" w:sz="0" w:space="0" w:color="auto"/>
        <w:bottom w:val="none" w:sz="0" w:space="0" w:color="auto"/>
        <w:right w:val="none" w:sz="0" w:space="0" w:color="auto"/>
      </w:divBdr>
      <w:divsChild>
        <w:div w:id="164592366">
          <w:marLeft w:val="0"/>
          <w:marRight w:val="0"/>
          <w:marTop w:val="0"/>
          <w:marBottom w:val="0"/>
          <w:divBdr>
            <w:top w:val="none" w:sz="0" w:space="0" w:color="auto"/>
            <w:left w:val="none" w:sz="0" w:space="0" w:color="auto"/>
            <w:bottom w:val="none" w:sz="0" w:space="0" w:color="auto"/>
            <w:right w:val="none" w:sz="0" w:space="0" w:color="auto"/>
          </w:divBdr>
        </w:div>
        <w:div w:id="477650704">
          <w:marLeft w:val="0"/>
          <w:marRight w:val="0"/>
          <w:marTop w:val="0"/>
          <w:marBottom w:val="0"/>
          <w:divBdr>
            <w:top w:val="none" w:sz="0" w:space="0" w:color="auto"/>
            <w:left w:val="none" w:sz="0" w:space="0" w:color="auto"/>
            <w:bottom w:val="none" w:sz="0" w:space="0" w:color="auto"/>
            <w:right w:val="none" w:sz="0" w:space="0" w:color="auto"/>
          </w:divBdr>
        </w:div>
        <w:div w:id="2081324401">
          <w:marLeft w:val="0"/>
          <w:marRight w:val="0"/>
          <w:marTop w:val="0"/>
          <w:marBottom w:val="0"/>
          <w:divBdr>
            <w:top w:val="none" w:sz="0" w:space="0" w:color="auto"/>
            <w:left w:val="none" w:sz="0" w:space="0" w:color="auto"/>
            <w:bottom w:val="none" w:sz="0" w:space="0" w:color="auto"/>
            <w:right w:val="none" w:sz="0" w:space="0" w:color="auto"/>
          </w:divBdr>
        </w:div>
      </w:divsChild>
    </w:div>
    <w:div w:id="1933077092">
      <w:bodyDiv w:val="1"/>
      <w:marLeft w:val="0"/>
      <w:marRight w:val="0"/>
      <w:marTop w:val="0"/>
      <w:marBottom w:val="0"/>
      <w:divBdr>
        <w:top w:val="none" w:sz="0" w:space="0" w:color="auto"/>
        <w:left w:val="none" w:sz="0" w:space="0" w:color="auto"/>
        <w:bottom w:val="none" w:sz="0" w:space="0" w:color="auto"/>
        <w:right w:val="none" w:sz="0" w:space="0" w:color="auto"/>
      </w:divBdr>
      <w:divsChild>
        <w:div w:id="774595094">
          <w:marLeft w:val="0"/>
          <w:marRight w:val="0"/>
          <w:marTop w:val="0"/>
          <w:marBottom w:val="0"/>
          <w:divBdr>
            <w:top w:val="none" w:sz="0" w:space="0" w:color="auto"/>
            <w:left w:val="none" w:sz="0" w:space="0" w:color="auto"/>
            <w:bottom w:val="none" w:sz="0" w:space="0" w:color="auto"/>
            <w:right w:val="none" w:sz="0" w:space="0" w:color="auto"/>
          </w:divBdr>
        </w:div>
        <w:div w:id="1310400957">
          <w:marLeft w:val="0"/>
          <w:marRight w:val="0"/>
          <w:marTop w:val="0"/>
          <w:marBottom w:val="0"/>
          <w:divBdr>
            <w:top w:val="none" w:sz="0" w:space="0" w:color="auto"/>
            <w:left w:val="none" w:sz="0" w:space="0" w:color="auto"/>
            <w:bottom w:val="none" w:sz="0" w:space="0" w:color="auto"/>
            <w:right w:val="none" w:sz="0" w:space="0" w:color="auto"/>
          </w:divBdr>
        </w:div>
        <w:div w:id="1427383578">
          <w:marLeft w:val="0"/>
          <w:marRight w:val="0"/>
          <w:marTop w:val="0"/>
          <w:marBottom w:val="0"/>
          <w:divBdr>
            <w:top w:val="none" w:sz="0" w:space="0" w:color="auto"/>
            <w:left w:val="none" w:sz="0" w:space="0" w:color="auto"/>
            <w:bottom w:val="none" w:sz="0" w:space="0" w:color="auto"/>
            <w:right w:val="none" w:sz="0" w:space="0" w:color="auto"/>
          </w:divBdr>
        </w:div>
        <w:div w:id="2078551809">
          <w:marLeft w:val="0"/>
          <w:marRight w:val="0"/>
          <w:marTop w:val="0"/>
          <w:marBottom w:val="0"/>
          <w:divBdr>
            <w:top w:val="none" w:sz="0" w:space="0" w:color="auto"/>
            <w:left w:val="none" w:sz="0" w:space="0" w:color="auto"/>
            <w:bottom w:val="none" w:sz="0" w:space="0" w:color="auto"/>
            <w:right w:val="none" w:sz="0" w:space="0" w:color="auto"/>
          </w:divBdr>
        </w:div>
      </w:divsChild>
    </w:div>
    <w:div w:id="1948462544">
      <w:bodyDiv w:val="1"/>
      <w:marLeft w:val="0"/>
      <w:marRight w:val="0"/>
      <w:marTop w:val="0"/>
      <w:marBottom w:val="0"/>
      <w:divBdr>
        <w:top w:val="none" w:sz="0" w:space="0" w:color="auto"/>
        <w:left w:val="none" w:sz="0" w:space="0" w:color="auto"/>
        <w:bottom w:val="none" w:sz="0" w:space="0" w:color="auto"/>
        <w:right w:val="none" w:sz="0" w:space="0" w:color="auto"/>
      </w:divBdr>
      <w:divsChild>
        <w:div w:id="479272756">
          <w:marLeft w:val="360"/>
          <w:marRight w:val="0"/>
          <w:marTop w:val="0"/>
          <w:marBottom w:val="0"/>
          <w:divBdr>
            <w:top w:val="none" w:sz="0" w:space="0" w:color="auto"/>
            <w:left w:val="none" w:sz="0" w:space="0" w:color="auto"/>
            <w:bottom w:val="none" w:sz="0" w:space="0" w:color="auto"/>
            <w:right w:val="none" w:sz="0" w:space="0" w:color="auto"/>
          </w:divBdr>
        </w:div>
        <w:div w:id="634917145">
          <w:marLeft w:val="360"/>
          <w:marRight w:val="0"/>
          <w:marTop w:val="0"/>
          <w:marBottom w:val="0"/>
          <w:divBdr>
            <w:top w:val="none" w:sz="0" w:space="0" w:color="auto"/>
            <w:left w:val="none" w:sz="0" w:space="0" w:color="auto"/>
            <w:bottom w:val="none" w:sz="0" w:space="0" w:color="auto"/>
            <w:right w:val="none" w:sz="0" w:space="0" w:color="auto"/>
          </w:divBdr>
        </w:div>
        <w:div w:id="956106094">
          <w:marLeft w:val="360"/>
          <w:marRight w:val="0"/>
          <w:marTop w:val="0"/>
          <w:marBottom w:val="0"/>
          <w:divBdr>
            <w:top w:val="none" w:sz="0" w:space="0" w:color="auto"/>
            <w:left w:val="none" w:sz="0" w:space="0" w:color="auto"/>
            <w:bottom w:val="none" w:sz="0" w:space="0" w:color="auto"/>
            <w:right w:val="none" w:sz="0" w:space="0" w:color="auto"/>
          </w:divBdr>
        </w:div>
        <w:div w:id="1108700603">
          <w:marLeft w:val="360"/>
          <w:marRight w:val="0"/>
          <w:marTop w:val="0"/>
          <w:marBottom w:val="0"/>
          <w:divBdr>
            <w:top w:val="none" w:sz="0" w:space="0" w:color="auto"/>
            <w:left w:val="none" w:sz="0" w:space="0" w:color="auto"/>
            <w:bottom w:val="none" w:sz="0" w:space="0" w:color="auto"/>
            <w:right w:val="none" w:sz="0" w:space="0" w:color="auto"/>
          </w:divBdr>
        </w:div>
        <w:div w:id="1154639409">
          <w:marLeft w:val="360"/>
          <w:marRight w:val="0"/>
          <w:marTop w:val="0"/>
          <w:marBottom w:val="0"/>
          <w:divBdr>
            <w:top w:val="none" w:sz="0" w:space="0" w:color="auto"/>
            <w:left w:val="none" w:sz="0" w:space="0" w:color="auto"/>
            <w:bottom w:val="none" w:sz="0" w:space="0" w:color="auto"/>
            <w:right w:val="none" w:sz="0" w:space="0" w:color="auto"/>
          </w:divBdr>
        </w:div>
        <w:div w:id="1190266037">
          <w:marLeft w:val="360"/>
          <w:marRight w:val="0"/>
          <w:marTop w:val="0"/>
          <w:marBottom w:val="0"/>
          <w:divBdr>
            <w:top w:val="none" w:sz="0" w:space="0" w:color="auto"/>
            <w:left w:val="none" w:sz="0" w:space="0" w:color="auto"/>
            <w:bottom w:val="none" w:sz="0" w:space="0" w:color="auto"/>
            <w:right w:val="none" w:sz="0" w:space="0" w:color="auto"/>
          </w:divBdr>
        </w:div>
        <w:div w:id="1298295975">
          <w:marLeft w:val="360"/>
          <w:marRight w:val="0"/>
          <w:marTop w:val="0"/>
          <w:marBottom w:val="0"/>
          <w:divBdr>
            <w:top w:val="none" w:sz="0" w:space="0" w:color="auto"/>
            <w:left w:val="none" w:sz="0" w:space="0" w:color="auto"/>
            <w:bottom w:val="none" w:sz="0" w:space="0" w:color="auto"/>
            <w:right w:val="none" w:sz="0" w:space="0" w:color="auto"/>
          </w:divBdr>
        </w:div>
        <w:div w:id="1492985476">
          <w:marLeft w:val="360"/>
          <w:marRight w:val="0"/>
          <w:marTop w:val="0"/>
          <w:marBottom w:val="0"/>
          <w:divBdr>
            <w:top w:val="none" w:sz="0" w:space="0" w:color="auto"/>
            <w:left w:val="none" w:sz="0" w:space="0" w:color="auto"/>
            <w:bottom w:val="none" w:sz="0" w:space="0" w:color="auto"/>
            <w:right w:val="none" w:sz="0" w:space="0" w:color="auto"/>
          </w:divBdr>
        </w:div>
        <w:div w:id="1846741765">
          <w:marLeft w:val="360"/>
          <w:marRight w:val="0"/>
          <w:marTop w:val="0"/>
          <w:marBottom w:val="0"/>
          <w:divBdr>
            <w:top w:val="none" w:sz="0" w:space="0" w:color="auto"/>
            <w:left w:val="none" w:sz="0" w:space="0" w:color="auto"/>
            <w:bottom w:val="none" w:sz="0" w:space="0" w:color="auto"/>
            <w:right w:val="none" w:sz="0" w:space="0" w:color="auto"/>
          </w:divBdr>
        </w:div>
      </w:divsChild>
    </w:div>
    <w:div w:id="1958903764">
      <w:bodyDiv w:val="1"/>
      <w:marLeft w:val="0"/>
      <w:marRight w:val="0"/>
      <w:marTop w:val="0"/>
      <w:marBottom w:val="0"/>
      <w:divBdr>
        <w:top w:val="none" w:sz="0" w:space="0" w:color="auto"/>
        <w:left w:val="none" w:sz="0" w:space="0" w:color="auto"/>
        <w:bottom w:val="none" w:sz="0" w:space="0" w:color="auto"/>
        <w:right w:val="none" w:sz="0" w:space="0" w:color="auto"/>
      </w:divBdr>
      <w:divsChild>
        <w:div w:id="1123232707">
          <w:marLeft w:val="-720"/>
          <w:marRight w:val="0"/>
          <w:marTop w:val="0"/>
          <w:marBottom w:val="0"/>
          <w:divBdr>
            <w:top w:val="none" w:sz="0" w:space="0" w:color="auto"/>
            <w:left w:val="none" w:sz="0" w:space="0" w:color="auto"/>
            <w:bottom w:val="none" w:sz="0" w:space="0" w:color="auto"/>
            <w:right w:val="none" w:sz="0" w:space="0" w:color="auto"/>
          </w:divBdr>
        </w:div>
      </w:divsChild>
    </w:div>
    <w:div w:id="1982541713">
      <w:bodyDiv w:val="1"/>
      <w:marLeft w:val="0"/>
      <w:marRight w:val="0"/>
      <w:marTop w:val="0"/>
      <w:marBottom w:val="0"/>
      <w:divBdr>
        <w:top w:val="none" w:sz="0" w:space="0" w:color="auto"/>
        <w:left w:val="none" w:sz="0" w:space="0" w:color="auto"/>
        <w:bottom w:val="none" w:sz="0" w:space="0" w:color="auto"/>
        <w:right w:val="none" w:sz="0" w:space="0" w:color="auto"/>
      </w:divBdr>
      <w:divsChild>
        <w:div w:id="209806053">
          <w:marLeft w:val="0"/>
          <w:marRight w:val="0"/>
          <w:marTop w:val="0"/>
          <w:marBottom w:val="0"/>
          <w:divBdr>
            <w:top w:val="none" w:sz="0" w:space="0" w:color="auto"/>
            <w:left w:val="none" w:sz="0" w:space="0" w:color="auto"/>
            <w:bottom w:val="none" w:sz="0" w:space="0" w:color="auto"/>
            <w:right w:val="none" w:sz="0" w:space="0" w:color="auto"/>
          </w:divBdr>
        </w:div>
        <w:div w:id="346176354">
          <w:marLeft w:val="0"/>
          <w:marRight w:val="0"/>
          <w:marTop w:val="0"/>
          <w:marBottom w:val="0"/>
          <w:divBdr>
            <w:top w:val="none" w:sz="0" w:space="0" w:color="auto"/>
            <w:left w:val="none" w:sz="0" w:space="0" w:color="auto"/>
            <w:bottom w:val="none" w:sz="0" w:space="0" w:color="auto"/>
            <w:right w:val="none" w:sz="0" w:space="0" w:color="auto"/>
          </w:divBdr>
        </w:div>
        <w:div w:id="1629816735">
          <w:marLeft w:val="0"/>
          <w:marRight w:val="0"/>
          <w:marTop w:val="0"/>
          <w:marBottom w:val="0"/>
          <w:divBdr>
            <w:top w:val="none" w:sz="0" w:space="0" w:color="auto"/>
            <w:left w:val="none" w:sz="0" w:space="0" w:color="auto"/>
            <w:bottom w:val="none" w:sz="0" w:space="0" w:color="auto"/>
            <w:right w:val="none" w:sz="0" w:space="0" w:color="auto"/>
          </w:divBdr>
        </w:div>
        <w:div w:id="1645967893">
          <w:marLeft w:val="0"/>
          <w:marRight w:val="0"/>
          <w:marTop w:val="0"/>
          <w:marBottom w:val="0"/>
          <w:divBdr>
            <w:top w:val="none" w:sz="0" w:space="0" w:color="auto"/>
            <w:left w:val="none" w:sz="0" w:space="0" w:color="auto"/>
            <w:bottom w:val="none" w:sz="0" w:space="0" w:color="auto"/>
            <w:right w:val="none" w:sz="0" w:space="0" w:color="auto"/>
          </w:divBdr>
        </w:div>
        <w:div w:id="2055080863">
          <w:marLeft w:val="0"/>
          <w:marRight w:val="0"/>
          <w:marTop w:val="0"/>
          <w:marBottom w:val="0"/>
          <w:divBdr>
            <w:top w:val="none" w:sz="0" w:space="0" w:color="auto"/>
            <w:left w:val="none" w:sz="0" w:space="0" w:color="auto"/>
            <w:bottom w:val="none" w:sz="0" w:space="0" w:color="auto"/>
            <w:right w:val="none" w:sz="0" w:space="0" w:color="auto"/>
          </w:divBdr>
        </w:div>
      </w:divsChild>
    </w:div>
    <w:div w:id="1987204026">
      <w:bodyDiv w:val="1"/>
      <w:marLeft w:val="0"/>
      <w:marRight w:val="0"/>
      <w:marTop w:val="0"/>
      <w:marBottom w:val="0"/>
      <w:divBdr>
        <w:top w:val="none" w:sz="0" w:space="0" w:color="auto"/>
        <w:left w:val="none" w:sz="0" w:space="0" w:color="auto"/>
        <w:bottom w:val="none" w:sz="0" w:space="0" w:color="auto"/>
        <w:right w:val="none" w:sz="0" w:space="0" w:color="auto"/>
      </w:divBdr>
      <w:divsChild>
        <w:div w:id="274408908">
          <w:marLeft w:val="360"/>
          <w:marRight w:val="0"/>
          <w:marTop w:val="0"/>
          <w:marBottom w:val="0"/>
          <w:divBdr>
            <w:top w:val="none" w:sz="0" w:space="0" w:color="auto"/>
            <w:left w:val="none" w:sz="0" w:space="0" w:color="auto"/>
            <w:bottom w:val="none" w:sz="0" w:space="0" w:color="auto"/>
            <w:right w:val="none" w:sz="0" w:space="0" w:color="auto"/>
          </w:divBdr>
        </w:div>
        <w:div w:id="291403267">
          <w:marLeft w:val="360"/>
          <w:marRight w:val="0"/>
          <w:marTop w:val="0"/>
          <w:marBottom w:val="0"/>
          <w:divBdr>
            <w:top w:val="none" w:sz="0" w:space="0" w:color="auto"/>
            <w:left w:val="none" w:sz="0" w:space="0" w:color="auto"/>
            <w:bottom w:val="none" w:sz="0" w:space="0" w:color="auto"/>
            <w:right w:val="none" w:sz="0" w:space="0" w:color="auto"/>
          </w:divBdr>
        </w:div>
        <w:div w:id="472138615">
          <w:marLeft w:val="778"/>
          <w:marRight w:val="0"/>
          <w:marTop w:val="0"/>
          <w:marBottom w:val="0"/>
          <w:divBdr>
            <w:top w:val="none" w:sz="0" w:space="0" w:color="auto"/>
            <w:left w:val="none" w:sz="0" w:space="0" w:color="auto"/>
            <w:bottom w:val="none" w:sz="0" w:space="0" w:color="auto"/>
            <w:right w:val="none" w:sz="0" w:space="0" w:color="auto"/>
          </w:divBdr>
        </w:div>
        <w:div w:id="478116244">
          <w:marLeft w:val="1483"/>
          <w:marRight w:val="0"/>
          <w:marTop w:val="0"/>
          <w:marBottom w:val="0"/>
          <w:divBdr>
            <w:top w:val="none" w:sz="0" w:space="0" w:color="auto"/>
            <w:left w:val="none" w:sz="0" w:space="0" w:color="auto"/>
            <w:bottom w:val="none" w:sz="0" w:space="0" w:color="auto"/>
            <w:right w:val="none" w:sz="0" w:space="0" w:color="auto"/>
          </w:divBdr>
        </w:div>
        <w:div w:id="556357353">
          <w:marLeft w:val="360"/>
          <w:marRight w:val="0"/>
          <w:marTop w:val="0"/>
          <w:marBottom w:val="0"/>
          <w:divBdr>
            <w:top w:val="none" w:sz="0" w:space="0" w:color="auto"/>
            <w:left w:val="none" w:sz="0" w:space="0" w:color="auto"/>
            <w:bottom w:val="none" w:sz="0" w:space="0" w:color="auto"/>
            <w:right w:val="none" w:sz="0" w:space="0" w:color="auto"/>
          </w:divBdr>
        </w:div>
        <w:div w:id="819887538">
          <w:marLeft w:val="360"/>
          <w:marRight w:val="0"/>
          <w:marTop w:val="0"/>
          <w:marBottom w:val="0"/>
          <w:divBdr>
            <w:top w:val="none" w:sz="0" w:space="0" w:color="auto"/>
            <w:left w:val="none" w:sz="0" w:space="0" w:color="auto"/>
            <w:bottom w:val="none" w:sz="0" w:space="0" w:color="auto"/>
            <w:right w:val="none" w:sz="0" w:space="0" w:color="auto"/>
          </w:divBdr>
        </w:div>
        <w:div w:id="1016149288">
          <w:marLeft w:val="778"/>
          <w:marRight w:val="0"/>
          <w:marTop w:val="0"/>
          <w:marBottom w:val="0"/>
          <w:divBdr>
            <w:top w:val="none" w:sz="0" w:space="0" w:color="auto"/>
            <w:left w:val="none" w:sz="0" w:space="0" w:color="auto"/>
            <w:bottom w:val="none" w:sz="0" w:space="0" w:color="auto"/>
            <w:right w:val="none" w:sz="0" w:space="0" w:color="auto"/>
          </w:divBdr>
        </w:div>
        <w:div w:id="1077171065">
          <w:marLeft w:val="1483"/>
          <w:marRight w:val="0"/>
          <w:marTop w:val="0"/>
          <w:marBottom w:val="0"/>
          <w:divBdr>
            <w:top w:val="none" w:sz="0" w:space="0" w:color="auto"/>
            <w:left w:val="none" w:sz="0" w:space="0" w:color="auto"/>
            <w:bottom w:val="none" w:sz="0" w:space="0" w:color="auto"/>
            <w:right w:val="none" w:sz="0" w:space="0" w:color="auto"/>
          </w:divBdr>
        </w:div>
        <w:div w:id="1228110072">
          <w:marLeft w:val="360"/>
          <w:marRight w:val="0"/>
          <w:marTop w:val="0"/>
          <w:marBottom w:val="0"/>
          <w:divBdr>
            <w:top w:val="none" w:sz="0" w:space="0" w:color="auto"/>
            <w:left w:val="none" w:sz="0" w:space="0" w:color="auto"/>
            <w:bottom w:val="none" w:sz="0" w:space="0" w:color="auto"/>
            <w:right w:val="none" w:sz="0" w:space="0" w:color="auto"/>
          </w:divBdr>
        </w:div>
        <w:div w:id="1520318239">
          <w:marLeft w:val="360"/>
          <w:marRight w:val="0"/>
          <w:marTop w:val="0"/>
          <w:marBottom w:val="0"/>
          <w:divBdr>
            <w:top w:val="none" w:sz="0" w:space="0" w:color="auto"/>
            <w:left w:val="none" w:sz="0" w:space="0" w:color="auto"/>
            <w:bottom w:val="none" w:sz="0" w:space="0" w:color="auto"/>
            <w:right w:val="none" w:sz="0" w:space="0" w:color="auto"/>
          </w:divBdr>
        </w:div>
        <w:div w:id="1546218441">
          <w:marLeft w:val="778"/>
          <w:marRight w:val="0"/>
          <w:marTop w:val="0"/>
          <w:marBottom w:val="0"/>
          <w:divBdr>
            <w:top w:val="none" w:sz="0" w:space="0" w:color="auto"/>
            <w:left w:val="none" w:sz="0" w:space="0" w:color="auto"/>
            <w:bottom w:val="none" w:sz="0" w:space="0" w:color="auto"/>
            <w:right w:val="none" w:sz="0" w:space="0" w:color="auto"/>
          </w:divBdr>
        </w:div>
        <w:div w:id="2017148219">
          <w:marLeft w:val="360"/>
          <w:marRight w:val="0"/>
          <w:marTop w:val="0"/>
          <w:marBottom w:val="0"/>
          <w:divBdr>
            <w:top w:val="none" w:sz="0" w:space="0" w:color="auto"/>
            <w:left w:val="none" w:sz="0" w:space="0" w:color="auto"/>
            <w:bottom w:val="none" w:sz="0" w:space="0" w:color="auto"/>
            <w:right w:val="none" w:sz="0" w:space="0" w:color="auto"/>
          </w:divBdr>
        </w:div>
        <w:div w:id="2036492364">
          <w:marLeft w:val="360"/>
          <w:marRight w:val="0"/>
          <w:marTop w:val="0"/>
          <w:marBottom w:val="0"/>
          <w:divBdr>
            <w:top w:val="none" w:sz="0" w:space="0" w:color="auto"/>
            <w:left w:val="none" w:sz="0" w:space="0" w:color="auto"/>
            <w:bottom w:val="none" w:sz="0" w:space="0" w:color="auto"/>
            <w:right w:val="none" w:sz="0" w:space="0" w:color="auto"/>
          </w:divBdr>
        </w:div>
      </w:divsChild>
    </w:div>
    <w:div w:id="2043824148">
      <w:bodyDiv w:val="1"/>
      <w:marLeft w:val="0"/>
      <w:marRight w:val="0"/>
      <w:marTop w:val="0"/>
      <w:marBottom w:val="0"/>
      <w:divBdr>
        <w:top w:val="none" w:sz="0" w:space="0" w:color="auto"/>
        <w:left w:val="none" w:sz="0" w:space="0" w:color="auto"/>
        <w:bottom w:val="none" w:sz="0" w:space="0" w:color="auto"/>
        <w:right w:val="none" w:sz="0" w:space="0" w:color="auto"/>
      </w:divBdr>
      <w:divsChild>
        <w:div w:id="676346072">
          <w:marLeft w:val="0"/>
          <w:marRight w:val="0"/>
          <w:marTop w:val="0"/>
          <w:marBottom w:val="0"/>
          <w:divBdr>
            <w:top w:val="none" w:sz="0" w:space="0" w:color="auto"/>
            <w:left w:val="none" w:sz="0" w:space="0" w:color="auto"/>
            <w:bottom w:val="none" w:sz="0" w:space="0" w:color="auto"/>
            <w:right w:val="none" w:sz="0" w:space="0" w:color="auto"/>
          </w:divBdr>
        </w:div>
        <w:div w:id="1029647691">
          <w:marLeft w:val="0"/>
          <w:marRight w:val="0"/>
          <w:marTop w:val="0"/>
          <w:marBottom w:val="0"/>
          <w:divBdr>
            <w:top w:val="none" w:sz="0" w:space="0" w:color="auto"/>
            <w:left w:val="none" w:sz="0" w:space="0" w:color="auto"/>
            <w:bottom w:val="none" w:sz="0" w:space="0" w:color="auto"/>
            <w:right w:val="none" w:sz="0" w:space="0" w:color="auto"/>
          </w:divBdr>
        </w:div>
        <w:div w:id="1312562738">
          <w:marLeft w:val="0"/>
          <w:marRight w:val="0"/>
          <w:marTop w:val="0"/>
          <w:marBottom w:val="0"/>
          <w:divBdr>
            <w:top w:val="none" w:sz="0" w:space="0" w:color="auto"/>
            <w:left w:val="none" w:sz="0" w:space="0" w:color="auto"/>
            <w:bottom w:val="none" w:sz="0" w:space="0" w:color="auto"/>
            <w:right w:val="none" w:sz="0" w:space="0" w:color="auto"/>
          </w:divBdr>
        </w:div>
        <w:div w:id="1760831110">
          <w:marLeft w:val="0"/>
          <w:marRight w:val="0"/>
          <w:marTop w:val="0"/>
          <w:marBottom w:val="0"/>
          <w:divBdr>
            <w:top w:val="none" w:sz="0" w:space="0" w:color="auto"/>
            <w:left w:val="none" w:sz="0" w:space="0" w:color="auto"/>
            <w:bottom w:val="none" w:sz="0" w:space="0" w:color="auto"/>
            <w:right w:val="none" w:sz="0" w:space="0" w:color="auto"/>
          </w:divBdr>
        </w:div>
      </w:divsChild>
    </w:div>
    <w:div w:id="2072070793">
      <w:bodyDiv w:val="1"/>
      <w:marLeft w:val="0"/>
      <w:marRight w:val="0"/>
      <w:marTop w:val="0"/>
      <w:marBottom w:val="0"/>
      <w:divBdr>
        <w:top w:val="none" w:sz="0" w:space="0" w:color="auto"/>
        <w:left w:val="none" w:sz="0" w:space="0" w:color="auto"/>
        <w:bottom w:val="none" w:sz="0" w:space="0" w:color="auto"/>
        <w:right w:val="none" w:sz="0" w:space="0" w:color="auto"/>
      </w:divBdr>
    </w:div>
    <w:div w:id="207874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3.xml"/><Relationship Id="rId21" Type="http://schemas.openxmlformats.org/officeDocument/2006/relationships/image" Target="media/image14.svg"/><Relationship Id="rId42" Type="http://schemas.openxmlformats.org/officeDocument/2006/relationships/image" Target="media/image35.png"/><Relationship Id="rId63" Type="http://schemas.openxmlformats.org/officeDocument/2006/relationships/hyperlink" Target="https://www.health.gov.au/resources/publications/national-medicines-policy?language=en" TargetMode="External"/><Relationship Id="rId84" Type="http://schemas.openxmlformats.org/officeDocument/2006/relationships/hyperlink" Target="https://www.health.gov.au/our-work/2020-25-national-health-reform-agreement-nhra" TargetMode="External"/><Relationship Id="rId138" Type="http://schemas.openxmlformats.org/officeDocument/2006/relationships/hyperlink" Target="https://www.health.gov.au/our-work/2020-25-national-health-reform-agreement-nhra" TargetMode="External"/><Relationship Id="rId159" Type="http://schemas.openxmlformats.org/officeDocument/2006/relationships/hyperlink" Target="https://healthgov.sharepoint.com/sites/HTAReview-External/Shared%20Documents/HTAR%20-%20Options%20consideration/HTA%20Paper%20on%20HTA%20Methods:%20Clinical%20Evaluation" TargetMode="External"/><Relationship Id="rId170" Type="http://schemas.openxmlformats.org/officeDocument/2006/relationships/header" Target="header17.xml"/><Relationship Id="rId191" Type="http://schemas.openxmlformats.org/officeDocument/2006/relationships/hyperlink" Target="https://www.closingthegap.gov.au/national-agreement" TargetMode="External"/><Relationship Id="rId205" Type="http://schemas.openxmlformats.org/officeDocument/2006/relationships/hyperlink" Target="https://www.aph.gov.au/Parliamentary_Business/Committees/House/Health_Aged_Care_and_Sport/Newdrugs/Report" TargetMode="External"/><Relationship Id="rId107" Type="http://schemas.openxmlformats.org/officeDocument/2006/relationships/hyperlink" Target="https://www.health.gov.au/sites/default/files/2023-03/health-technology-assessment-policy-and-methods-review-terms-of-reference.pdf" TargetMode="External"/><Relationship Id="rId11" Type="http://schemas.openxmlformats.org/officeDocument/2006/relationships/image" Target="media/image4.sv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www.health.gov.au/resources/publications/hta-policy-and-methods-review-draft-paper-determination-of-the-population-intervention-comparator-and-outcome-pico?language=en" TargetMode="External"/><Relationship Id="rId58" Type="http://schemas.openxmlformats.org/officeDocument/2006/relationships/hyperlink" Target="https://www.health.gov.au/resources/publications/hta-policy-and-methods-review-draft-paper-australian-market-authorisation-funding-and-assessment-pathways-and-timelines?language=en" TargetMode="External"/><Relationship Id="rId74" Type="http://schemas.openxmlformats.org/officeDocument/2006/relationships/hyperlink" Target="https://www.health.gov.au/resources/collections/health-technology-assessment-policy-and-methods-review-research-and-analysis-papers" TargetMode="External"/><Relationship Id="rId79" Type="http://schemas.openxmlformats.org/officeDocument/2006/relationships/hyperlink" Target="https://www.health.gov.au/resources/publications/hta-policy-and-methods-review-draft-paper-clinical-evaluation-methods-in-hta?language=en" TargetMode="External"/><Relationship Id="rId102" Type="http://schemas.openxmlformats.org/officeDocument/2006/relationships/hyperlink" Target="https://www.health.gov.au/resources/publications/conversations-for-change-report-2023?language=en" TargetMode="External"/><Relationship Id="rId123" Type="http://schemas.openxmlformats.org/officeDocument/2006/relationships/hyperlink" Target="https://www.health.gov.au/resources/publications/health-technology-assessment-policy-and-methods-review-consultation-1-report" TargetMode="External"/><Relationship Id="rId128" Type="http://schemas.openxmlformats.org/officeDocument/2006/relationships/hyperlink" Target="https://www.health.gov.au/sites/default/files/2023-10/hta-policy-and-methods-review-draft-paper-determination-of-the-population-intervention-comparator-and-outcome-pico.pdf" TargetMode="External"/><Relationship Id="rId144" Type="http://schemas.openxmlformats.org/officeDocument/2006/relationships/image" Target="media/image40.png"/><Relationship Id="rId149" Type="http://schemas.openxmlformats.org/officeDocument/2006/relationships/image" Target="media/image41.png"/><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yperlink" Target="https://www.health.gov.au/our-work/2020-25-national-health-reform-agreement-nhra" TargetMode="External"/><Relationship Id="rId160" Type="http://schemas.openxmlformats.org/officeDocument/2006/relationships/hyperlink" Target="https://www.health.gov.au/sites/default/files/2023-10/hta-policy-and-methods-review-draft-paper-clinical-evaluation-methods-in-hta.pdf" TargetMode="External"/><Relationship Id="rId165" Type="http://schemas.openxmlformats.org/officeDocument/2006/relationships/hyperlink" Target="https://www.health.gov.au/resources/publications/hta-policy-and-methods-review-draft-paper-clinical-evaluation-methods-in-hta?language=en" TargetMode="External"/><Relationship Id="rId181" Type="http://schemas.openxmlformats.org/officeDocument/2006/relationships/hyperlink" Target="https://www.health.gov.au/resources/publications/inquiry-into-approval-processes-for-new-drugs-and-novel-medical-technologies-in-australia" TargetMode="External"/><Relationship Id="rId186" Type="http://schemas.openxmlformats.org/officeDocument/2006/relationships/image" Target="media/image44.png"/><Relationship Id="rId211" Type="http://schemas.openxmlformats.org/officeDocument/2006/relationships/glossaryDocument" Target="glossary/document.xml"/><Relationship Id="rId22" Type="http://schemas.openxmlformats.org/officeDocument/2006/relationships/image" Target="media/image15.png"/><Relationship Id="rId27" Type="http://schemas.openxmlformats.org/officeDocument/2006/relationships/image" Target="media/image20.svg"/><Relationship Id="rId43" Type="http://schemas.openxmlformats.org/officeDocument/2006/relationships/image" Target="media/image36.png"/><Relationship Id="rId48" Type="http://schemas.openxmlformats.org/officeDocument/2006/relationships/header" Target="header2.xml"/><Relationship Id="rId64" Type="http://schemas.openxmlformats.org/officeDocument/2006/relationships/hyperlink" Target="https://ohta-consultations.health.gov.au/ohta/hta-review-consultation1/" TargetMode="External"/><Relationship Id="rId69" Type="http://schemas.openxmlformats.org/officeDocument/2006/relationships/header" Target="header8.xml"/><Relationship Id="rId113" Type="http://schemas.openxmlformats.org/officeDocument/2006/relationships/hyperlink" Target="https://www.health.gov.au/resources/publications/hta-policy-and-methods-review-draft-paper-clinical-evaluation-methods-in-hta?language=en" TargetMode="External"/><Relationship Id="rId118" Type="http://schemas.openxmlformats.org/officeDocument/2006/relationships/header" Target="header14.xml"/><Relationship Id="rId134" Type="http://schemas.openxmlformats.org/officeDocument/2006/relationships/hyperlink" Target="https://www.health.gov.au/resources/collections/health-technology-assessment-policy-and-methods-review-research-and-analysis-papers" TargetMode="External"/><Relationship Id="rId139" Type="http://schemas.openxmlformats.org/officeDocument/2006/relationships/hyperlink" Target="https://www.health.gov.au/our-work/2020-25-national-health-reform-agreement-nhra" TargetMode="External"/><Relationship Id="rId80" Type="http://schemas.openxmlformats.org/officeDocument/2006/relationships/hyperlink" Target="https://www.cadth.ca/2022-2025-strategic-plan" TargetMode="External"/><Relationship Id="rId85" Type="http://schemas.openxmlformats.org/officeDocument/2006/relationships/hyperlink" Target="https://www.health.gov.au/sites/default/files/2023-10/hta-policy-and-methods-review-draft-paper-clinical-evaluation-methods-in-hta.pdf" TargetMode="External"/><Relationship Id="rId150" Type="http://schemas.openxmlformats.org/officeDocument/2006/relationships/image" Target="media/image42.png"/><Relationship Id="rId155" Type="http://schemas.openxmlformats.org/officeDocument/2006/relationships/hyperlink" Target="http://www.msac.gov.au/internet/msac/publishing.nsf/Content/E0D4E4EDDE91EAC8CA2586E0007AFC75/$File/MSAC%20Guidelines-complete-16-FINAL(18May21).pdf" TargetMode="External"/><Relationship Id="rId171" Type="http://schemas.openxmlformats.org/officeDocument/2006/relationships/hyperlink" Target="https://www.health.gov.au/resources/collections/health-technology-assessment-policy-and-methods-review-research-and-analysis-papers" TargetMode="External"/><Relationship Id="rId176" Type="http://schemas.openxmlformats.org/officeDocument/2006/relationships/hyperlink" Target="https://www.aph.gov.au/Parliamentary_Business/Committees/House/Health_Aged_Care_and_Sport/Newdrugs/Report" TargetMode="External"/><Relationship Id="rId192" Type="http://schemas.openxmlformats.org/officeDocument/2006/relationships/hyperlink" Target="https://www.health.gov.au/resources/publications/hta-policy-and-methods-review-draft-paper-horizon-scanning-and-early-assessment?language=en" TargetMode="External"/><Relationship Id="rId197" Type="http://schemas.openxmlformats.org/officeDocument/2006/relationships/hyperlink" Target="https://www.health.gov.au/our-work/national-health-and-climate-strategy" TargetMode="External"/><Relationship Id="rId206" Type="http://schemas.openxmlformats.org/officeDocument/2006/relationships/header" Target="header19.xml"/><Relationship Id="rId201" Type="http://schemas.openxmlformats.org/officeDocument/2006/relationships/hyperlink" Target="https://www.pbs.gov.au/medicinestatus/home.html" TargetMode="External"/><Relationship Id="rId12" Type="http://schemas.openxmlformats.org/officeDocument/2006/relationships/image" Target="media/image5.png"/><Relationship Id="rId17" Type="http://schemas.openxmlformats.org/officeDocument/2006/relationships/image" Target="media/image10.sv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eader" Target="header4.xml"/><Relationship Id="rId103" Type="http://schemas.openxmlformats.org/officeDocument/2006/relationships/hyperlink" Target="https://www.health.gov.au/our-work/co-design-of-an-enhanced-consumer-engagement-process" TargetMode="External"/><Relationship Id="rId108" Type="http://schemas.openxmlformats.org/officeDocument/2006/relationships/hyperlink" Target="https://ohta-consultations.health.gov.au/ohta/hta-review-consultation1/consultation/published_select_respondent" TargetMode="External"/><Relationship Id="rId124" Type="http://schemas.openxmlformats.org/officeDocument/2006/relationships/hyperlink" Target="https://www.health.gov.au/resources/publications/conversations-for-change-report-2023?language=en" TargetMode="External"/><Relationship Id="rId129" Type="http://schemas.openxmlformats.org/officeDocument/2006/relationships/hyperlink" Target="https://www.health.gov.au/sites/default/files/2023-11/health-technology-assessment-policy-and-methods-review-consultation-1-report_0.pdf" TargetMode="External"/><Relationship Id="rId54" Type="http://schemas.openxmlformats.org/officeDocument/2006/relationships/hyperlink" Target="https://www.health.gov.au/sites/default/files/2023-10/hta-policy-and-methods-review-draft-paper-clinical-evaluation-methods-in-hta.pdf" TargetMode="External"/><Relationship Id="rId70" Type="http://schemas.openxmlformats.org/officeDocument/2006/relationships/header" Target="header9.xml"/><Relationship Id="rId75" Type="http://schemas.openxmlformats.org/officeDocument/2006/relationships/hyperlink" Target="https://www.health.gov.au/resources/publications/health-technology-assessment-policy-and-methods-review-terms-of-reference?language=en" TargetMode="External"/><Relationship Id="rId91" Type="http://schemas.openxmlformats.org/officeDocument/2006/relationships/header" Target="header12.xml"/><Relationship Id="rId96" Type="http://schemas.openxmlformats.org/officeDocument/2006/relationships/hyperlink" Target="https://www.health.gov.au/resources/publications/hta-policy-and-methods-review-draft-paper-australian-market-authorisation-funding-and-assessment-pathways-and-timelines?language=en" TargetMode="External"/><Relationship Id="rId140" Type="http://schemas.openxmlformats.org/officeDocument/2006/relationships/header" Target="header15.xml"/><Relationship Id="rId145" Type="http://schemas.openxmlformats.org/officeDocument/2006/relationships/hyperlink" Target="https://www.pbs.gov.au/info/reviews/pbs-pharmaceuticals-in-hospitals-review" TargetMode="External"/><Relationship Id="rId161" Type="http://schemas.openxmlformats.org/officeDocument/2006/relationships/hyperlink" Target="https://www.health.gov.au/sites/default/files/2023-10/hta-policy-and-methods-review-draft-paper-clinical-evaluation-methods-in-hta.pdf" TargetMode="External"/><Relationship Id="rId166" Type="http://schemas.openxmlformats.org/officeDocument/2006/relationships/hyperlink" Target="https://www.health.gov.au/sites/default/files/2023-10/hta-policy-and-methods-review-draft-paper-clinical-evaluation-methods-in-hta.pdf" TargetMode="External"/><Relationship Id="rId182" Type="http://schemas.openxmlformats.org/officeDocument/2006/relationships/hyperlink" Target="https://www.aph.gov.au/Parliamentary_Business/Committees/House/Health_Aged_Care_and_Sport/Newdrugs/Report" TargetMode="External"/><Relationship Id="rId187" Type="http://schemas.openxmlformats.org/officeDocument/2006/relationships/hyperlink" Target="https://www.health.gov.au/resources/publications/hta-policy-and-methods-review-draft-paper-optimised-real-world-evidence-to-support-health-technology-assessment-in-australia?language=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6.svg"/><Relationship Id="rId28" Type="http://schemas.openxmlformats.org/officeDocument/2006/relationships/image" Target="media/image21.png"/><Relationship Id="rId49" Type="http://schemas.openxmlformats.org/officeDocument/2006/relationships/header" Target="header3.xml"/><Relationship Id="rId114" Type="http://schemas.openxmlformats.org/officeDocument/2006/relationships/hyperlink" Target="https://www.health.gov.au/resources/publications/hta-policy-and-methods-review-draft-paper-hta-methods-economic-evaluation?language=en" TargetMode="External"/><Relationship Id="rId119" Type="http://schemas.openxmlformats.org/officeDocument/2006/relationships/hyperlink" Target="http://www.pbs.gov.au/medicinestatus/home.html" TargetMode="External"/><Relationship Id="rId44" Type="http://schemas.openxmlformats.org/officeDocument/2006/relationships/hyperlink" Target="https://www.health.gov.au/committees-and-groups/hta-review-reference-committee" TargetMode="External"/><Relationship Id="rId60" Type="http://schemas.openxmlformats.org/officeDocument/2006/relationships/header" Target="header5.xml"/><Relationship Id="rId65" Type="http://schemas.openxmlformats.org/officeDocument/2006/relationships/hyperlink" Target="https://www.aph.gov.au/Parliamentary_Business/Committees/House/Health_Aged_Care_and_Sport/Newdrugs/Report" TargetMode="External"/><Relationship Id="rId81" Type="http://schemas.openxmlformats.org/officeDocument/2006/relationships/header" Target="header10.xml"/><Relationship Id="rId86" Type="http://schemas.openxmlformats.org/officeDocument/2006/relationships/hyperlink" Target="https://www.health.gov.au/sites/default/files/2023-10/hta-policy-and-methods-review-draft-paper-clinical-evaluation-methods-in-hta.pdf" TargetMode="External"/><Relationship Id="rId130" Type="http://schemas.openxmlformats.org/officeDocument/2006/relationships/hyperlink" Target="https://www.aph.gov.au/Parliamentary_Business/Committees/House/Health_Aged_Care_and_Sport/Newdrugs/Report" TargetMode="External"/><Relationship Id="rId135" Type="http://schemas.openxmlformats.org/officeDocument/2006/relationships/hyperlink" Target="https://www.health.gov.au/resources/publications/health-technology-assessment-policy-and-methods-review-consultation-plan" TargetMode="External"/><Relationship Id="rId151" Type="http://schemas.openxmlformats.org/officeDocument/2006/relationships/header" Target="header16.xml"/><Relationship Id="rId156" Type="http://schemas.openxmlformats.org/officeDocument/2006/relationships/hyperlink" Target="https://www.health.gov.au/resources/publications/hta-policy-and-methods-review-draft-paper-clinical-evaluation-methods-in-hta?language=en" TargetMode="External"/><Relationship Id="rId177" Type="http://schemas.openxmlformats.org/officeDocument/2006/relationships/hyperlink" Target="https://www.aph.gov.au/Parliamentary_Business/Committees/House/Health_Aged_Care_and_Sport/Newdrugs/Government_Response" TargetMode="External"/><Relationship Id="rId198" Type="http://schemas.openxmlformats.org/officeDocument/2006/relationships/hyperlink" Target="https://www.health.gov.au/resources/publications/inquiry-into-approval-processes-for-new-drugs-and-novel-medical-technologies-in-australia" TargetMode="External"/><Relationship Id="rId172" Type="http://schemas.openxmlformats.org/officeDocument/2006/relationships/hyperlink" Target="https://www.health.gov.au/resources/publications/hta-policy-and-methods-review-draft-paper-review-international-health-technology-market-approval-funding-and-assessment-pathways?language=en," TargetMode="External"/><Relationship Id="rId193" Type="http://schemas.openxmlformats.org/officeDocument/2006/relationships/hyperlink" Target="https://www.health.gov.au/resources/publications/health-technology-assessment-policy-and-methods-review-glossary" TargetMode="External"/><Relationship Id="rId202" Type="http://schemas.openxmlformats.org/officeDocument/2006/relationships/hyperlink" Target="https://hpp.health.gov.au/" TargetMode="External"/><Relationship Id="rId207" Type="http://schemas.openxmlformats.org/officeDocument/2006/relationships/header" Target="header20.xml"/><Relationship Id="rId13" Type="http://schemas.openxmlformats.org/officeDocument/2006/relationships/image" Target="media/image6.sv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health.gov.au/resources/publications/health-technology-assessment-policy-and-methods-review-consultation-1-report" TargetMode="External"/><Relationship Id="rId34" Type="http://schemas.openxmlformats.org/officeDocument/2006/relationships/image" Target="media/image27.png"/><Relationship Id="rId50" Type="http://schemas.openxmlformats.org/officeDocument/2006/relationships/hyperlink" Target="https://www.health.gov.au/resources/publications/health-technology-assessment-policy-and-methods-review-terms-of-reference" TargetMode="External"/><Relationship Id="rId55" Type="http://schemas.openxmlformats.org/officeDocument/2006/relationships/hyperlink" Target="https://www.health.gov.au/resources/publications/hta-policy-and-methods-review-draft-paper-hta-methods-economic-evaluation?language=en" TargetMode="External"/><Relationship Id="rId76" Type="http://schemas.openxmlformats.org/officeDocument/2006/relationships/hyperlink" Target="https://www.aph.gov.au/Parliamentary_Business/Committees/House/Health_Aged_Care_and_Sport/Newdrugs/Report" TargetMode="External"/><Relationship Id="rId97" Type="http://schemas.openxmlformats.org/officeDocument/2006/relationships/hyperlink" Target="https://www.health.gov.au/resources/publications/hta-policy-and-methods-review-draft-paper-australian-market-authorisation-funding-and-assessment-pathways-and-timelines?language=en" TargetMode="External"/><Relationship Id="rId104" Type="http://schemas.openxmlformats.org/officeDocument/2006/relationships/hyperlink" Target="https://www.pbs.gov.au/info/general/medicines-industry-strategic-agreement" TargetMode="External"/><Relationship Id="rId120" Type="http://schemas.openxmlformats.org/officeDocument/2006/relationships/hyperlink" Target="http://www.pbs.gov.au" TargetMode="External"/><Relationship Id="rId125" Type="http://schemas.openxmlformats.org/officeDocument/2006/relationships/image" Target="media/image38.jpeg"/><Relationship Id="rId141" Type="http://schemas.openxmlformats.org/officeDocument/2006/relationships/hyperlink" Target="https://www.health.gov.au/resources/publications/hta-policy-and-methods-review-draft-paper-australian-market-authorisation-funding-and-assessment-pathways-and-timelines?language=en" TargetMode="External"/><Relationship Id="rId146" Type="http://schemas.openxmlformats.org/officeDocument/2006/relationships/hyperlink" Target="https://federalfinancialrelations.gov.au/sites/federalfinancialrelations.gov.au/files/2021-07/NHRA_2020-25_Addendum_consolidated.pdf" TargetMode="External"/><Relationship Id="rId167" Type="http://schemas.openxmlformats.org/officeDocument/2006/relationships/hyperlink" Target="https://www.finance.gov.au/sites/default/files/2023-05/Budget_Process_Operational_Rule_esffective_6%20_December_2022.pdf" TargetMode="External"/><Relationship Id="rId188"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s://www.pbs.gov.au/info/general/medicines-industry-strategic-agreement" TargetMode="External"/><Relationship Id="rId92" Type="http://schemas.openxmlformats.org/officeDocument/2006/relationships/image" Target="media/image37.png"/><Relationship Id="rId162" Type="http://schemas.openxmlformats.org/officeDocument/2006/relationships/hyperlink" Target="https://www.health.gov.au/sites/default/files/2023-10/hta-policy-and-methods-review-draft-paper-clinical-evaluation-methods-in-hta.pdf" TargetMode="External"/><Relationship Id="rId183" Type="http://schemas.openxmlformats.org/officeDocument/2006/relationships/hyperlink" Target="https://www.health.gov.au/resources/publications/hta-policy-and-methods-review-draft-paper-optimised-real-world-evidence-to-support-health-technology-assessment-in-australia?language=en" TargetMode="External"/><Relationship Id="rId2" Type="http://schemas.openxmlformats.org/officeDocument/2006/relationships/numbering" Target="numbering.xml"/><Relationship Id="rId29" Type="http://schemas.openxmlformats.org/officeDocument/2006/relationships/image" Target="media/image22.sv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eader" Target="header1.xml"/><Relationship Id="rId66" Type="http://schemas.openxmlformats.org/officeDocument/2006/relationships/hyperlink" Target="https://www.aph.gov.au/Parliamentary_Business/Committees/House/Health_Aged_Care_and_Sport/Newdrugs/Report" TargetMode="External"/><Relationship Id="rId87" Type="http://schemas.openxmlformats.org/officeDocument/2006/relationships/hyperlink" Target="https://www.health.gov.au/sites/default/files/2023-10/hta-policy-and-methods-review-draft-paper-clinical-evaluation-methods-in-hta.pdf" TargetMode="External"/><Relationship Id="rId110" Type="http://schemas.openxmlformats.org/officeDocument/2006/relationships/hyperlink" Target="https://www.health.gov.au/resources/publications/hta-policy-and-methods-review-draft-paper-review-international-health-technology-market-approval-funding-and-assessment-pathways?language=en" TargetMode="External"/><Relationship Id="rId115" Type="http://schemas.openxmlformats.org/officeDocument/2006/relationships/hyperlink" Target="https://www.health.gov.au/resources/publications/hta-policy-and-methods-review-draft-paper-funding-and-purchasing-decisions-and-managing-uncertainty?language=en" TargetMode="External"/><Relationship Id="rId131" Type="http://schemas.openxmlformats.org/officeDocument/2006/relationships/hyperlink" Target="https://www.aph.gov.au/Parliamentary_Business/Committees/House/Health_Aged_Care_and_Sport/Newdrugs/Report" TargetMode="External"/><Relationship Id="rId136" Type="http://schemas.openxmlformats.org/officeDocument/2006/relationships/hyperlink" Target="https://pbac.pbs.gov.au/" TargetMode="External"/><Relationship Id="rId157" Type="http://schemas.openxmlformats.org/officeDocument/2006/relationships/hyperlink" Target="https://www.health.gov.au/resources/publications/hta-policy-and-methods-review-draft-paper-clinical-evaluation-methods-in-hta?language=en" TargetMode="External"/><Relationship Id="rId178" Type="http://schemas.openxmlformats.org/officeDocument/2006/relationships/hyperlink" Target="https://www.health.gov.au/resources/publications/hta-policy-and-methods-review-draft-paper-review-international-health-technology-market-approval-funding-and-assessment-pathways?language=en" TargetMode="External"/><Relationship Id="rId61" Type="http://schemas.openxmlformats.org/officeDocument/2006/relationships/header" Target="header6.xml"/><Relationship Id="rId82" Type="http://schemas.openxmlformats.org/officeDocument/2006/relationships/hyperlink" Target="https://www.health.gov.au/our-work/co-design-of-an-enhanced-consumer-engagement-process" TargetMode="External"/><Relationship Id="rId152" Type="http://schemas.openxmlformats.org/officeDocument/2006/relationships/hyperlink" Target="https://pbac.pbs.gov.au/information/table-of-contents.html" TargetMode="External"/><Relationship Id="rId173" Type="http://schemas.openxmlformats.org/officeDocument/2006/relationships/hyperlink" Target="https://www.health.gov.au/sites/default/files/2023-10/hta-policy-and-methods-review-draft-paper-review-international-health-technology-market-approval-funding-and-assessment-pathways.pdf" TargetMode="External"/><Relationship Id="rId194" Type="http://schemas.openxmlformats.org/officeDocument/2006/relationships/hyperlink" Target="https://www.health.gov.au/resources/publications/hta-policy-and-methods-review-draft-paper-horizon-scanning-and-early-assessment?language=en" TargetMode="External"/><Relationship Id="rId199" Type="http://schemas.openxmlformats.org/officeDocument/2006/relationships/hyperlink" Target="http://www.pbs.gov.au/info/general/pbs-process-improvements" TargetMode="External"/><Relationship Id="rId203" Type="http://schemas.openxmlformats.org/officeDocument/2006/relationships/hyperlink" Target="https://www.pbs.gov.au/info/reviews/subsidised-medicines-reviews" TargetMode="External"/><Relationship Id="rId208" Type="http://schemas.openxmlformats.org/officeDocument/2006/relationships/hyperlink" Target="https://www.health.gov.au/our-work/2020-25-national-health-reform-agreement-nhra" TargetMode="External"/><Relationship Id="rId19" Type="http://schemas.openxmlformats.org/officeDocument/2006/relationships/image" Target="media/image12.sv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www.health.gov.au/resources/publications/hta-policy-and-methods-review-draft-paper-funding-and-purchasing-decisions-and-managing-uncertainty?language=en" TargetMode="External"/><Relationship Id="rId77" Type="http://schemas.openxmlformats.org/officeDocument/2006/relationships/hyperlink" Target="https://www.aph.gov.au/Parliamentary_Business/Committees/House/Health_Aged_Care_and_Sport/Newdrugs/Government_Response" TargetMode="External"/><Relationship Id="rId100" Type="http://schemas.openxmlformats.org/officeDocument/2006/relationships/hyperlink" Target="https://www.aph.gov.au/Parliamentary_Business/Committees/House/Health_Aged_Care_and_Sport/Newdrugs" TargetMode="External"/><Relationship Id="rId105" Type="http://schemas.openxmlformats.org/officeDocument/2006/relationships/hyperlink" Target="https://www.health.gov.au/resources/publications/health-technology-assessment-policy-and-methods-review-terms-of-reference?language=en" TargetMode="External"/><Relationship Id="rId126" Type="http://schemas.openxmlformats.org/officeDocument/2006/relationships/hyperlink" Target="https://www.health.gov.au/sites/default/files/2023-10/hta-policy-and-methods-review-draft-paper-review-international-health-technology-market-approval-funding-and-assessment-pathways.pdf" TargetMode="External"/><Relationship Id="rId147" Type="http://schemas.openxmlformats.org/officeDocument/2006/relationships/hyperlink" Target="https://pbac.pbs.gov.au/product-type-4-codependent-technologies.html" TargetMode="External"/><Relationship Id="rId168" Type="http://schemas.openxmlformats.org/officeDocument/2006/relationships/hyperlink" Target="https://www.finance.gov.au/sites/default/files/2023-05/Budget_Process_Operational_Rule_esffective_6%20_December_2022.pdf" TargetMode="External"/><Relationship Id="rId8" Type="http://schemas.openxmlformats.org/officeDocument/2006/relationships/image" Target="media/image1.png"/><Relationship Id="rId51" Type="http://schemas.openxmlformats.org/officeDocument/2006/relationships/hyperlink" Target="https://www.health.gov.au/resources/publications/hta-policy-and-methods-review-draft-paper-review-international-health-technology-market-approval-funding-and-assessment-pathways?language=en" TargetMode="External"/><Relationship Id="rId72" Type="http://schemas.openxmlformats.org/officeDocument/2006/relationships/hyperlink" Target="https://www.health.gov.au/resources/publications/health-technology-assessment-policy-and-methods-review-terms-of-reference" TargetMode="External"/><Relationship Id="rId93" Type="http://schemas.openxmlformats.org/officeDocument/2006/relationships/hyperlink" Target="https://www.pbs.gov.au/pbs/home" TargetMode="External"/><Relationship Id="rId98" Type="http://schemas.openxmlformats.org/officeDocument/2006/relationships/hyperlink" Target="https://www.aph.gov.au/Parliamentary_Business/Committees/House/Health_Aged_Care_and_Sport/Newdrugs/Report" TargetMode="External"/><Relationship Id="rId121" Type="http://schemas.openxmlformats.org/officeDocument/2006/relationships/hyperlink" Target="http://www.msac.gov.au/" TargetMode="External"/><Relationship Id="rId142" Type="http://schemas.openxmlformats.org/officeDocument/2006/relationships/hyperlink" Target="https://www.health.gov.au/our-work/2020-25-national-health-reform-agreement-nhra" TargetMode="External"/><Relationship Id="rId163" Type="http://schemas.openxmlformats.org/officeDocument/2006/relationships/hyperlink" Target="https://www.health.gov.au/sites/default/files/2023-10/hta-policy-and-methods-review-draft-paper-clinical-evaluation-methods-in-hta.pdf" TargetMode="External"/><Relationship Id="rId184" Type="http://schemas.openxmlformats.org/officeDocument/2006/relationships/hyperlink" Target="https://www.health.gov.au/resources/publications/hta-policy-and-methods-review-draft-paper-optimised-real-world-evidence-to-support-health-technology-assessment-in-australia?language=en" TargetMode="External"/><Relationship Id="rId189" Type="http://schemas.openxmlformats.org/officeDocument/2006/relationships/hyperlink" Target="https://www.health.gov.au/sites/default/files/2023-10/hta-policy-and-methods-review-draft-paper-horizon-scanning-and-early-assessment.pdf" TargetMode="External"/><Relationship Id="rId3" Type="http://schemas.openxmlformats.org/officeDocument/2006/relationships/styles" Target="styles.xml"/><Relationship Id="rId25" Type="http://schemas.openxmlformats.org/officeDocument/2006/relationships/image" Target="media/image18.svg"/><Relationship Id="rId46" Type="http://schemas.openxmlformats.org/officeDocument/2006/relationships/footer" Target="footer1.xml"/><Relationship Id="rId67" Type="http://schemas.openxmlformats.org/officeDocument/2006/relationships/hyperlink" Target="https://www.aph.gov.au/Parliamentary_Business/Committees/House/Health_Aged_Care_and_Sport/rheumaticdiseases" TargetMode="External"/><Relationship Id="rId116" Type="http://schemas.openxmlformats.org/officeDocument/2006/relationships/hyperlink" Target="https://www.health.gov.au/resources/publications/hta-policy-and-methods-review-draft-paper-optimised-real-world-evidence-to-support-health-technology-assessment-in-australia?language=en" TargetMode="External"/><Relationship Id="rId137" Type="http://schemas.openxmlformats.org/officeDocument/2006/relationships/hyperlink" Target="https://www.closingthegap.gov.au/national-agreement" TargetMode="External"/><Relationship Id="rId158" Type="http://schemas.openxmlformats.org/officeDocument/2006/relationships/hyperlink" Target="https://www.health.gov.au/sites/default/files/2023-10/hta-policy-and-methods-review-draft-paper-clinical-evaluation-methods-in-hta.pdf"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eader" Target="header7.xml"/><Relationship Id="rId83" Type="http://schemas.openxmlformats.org/officeDocument/2006/relationships/hyperlink" Target="bookmark://_Capacity_and_capability" TargetMode="External"/><Relationship Id="rId88" Type="http://schemas.openxmlformats.org/officeDocument/2006/relationships/hyperlink" Target="https://www.health.gov.au/sites/default/files/2023-10/hta-policy-and-methods-review-draft-paper-clinical-evaluation-methods-in-hta.pdf" TargetMode="External"/><Relationship Id="rId111" Type="http://schemas.openxmlformats.org/officeDocument/2006/relationships/hyperlink" Target="https://www.health.gov.au/resources/publications/hta-policy-and-methods-review-draft-paper-horizon-scanning-and-early-assessment?language=en" TargetMode="External"/><Relationship Id="rId132" Type="http://schemas.openxmlformats.org/officeDocument/2006/relationships/hyperlink" Target="https://www.health.gov.au/resources/publications/conversations-for-change-report-2023?language=en" TargetMode="External"/><Relationship Id="rId153" Type="http://schemas.openxmlformats.org/officeDocument/2006/relationships/hyperlink" Target="http://www.msac.gov.au/internet/msac/publishing.nsf/Content/MSAC-Guidelines" TargetMode="External"/><Relationship Id="rId174" Type="http://schemas.openxmlformats.org/officeDocument/2006/relationships/hyperlink" Target="https://www.health.gov.au/sites/default/files/2023-12/hta-policy-and-methods-review-draft-paper-funding-and-purchasing-decisions-and-managing-uncertainty.pdf" TargetMode="External"/><Relationship Id="rId179" Type="http://schemas.openxmlformats.org/officeDocument/2006/relationships/hyperlink" Target="https://www.health.gov.au/resources/collections/health-technology-assessment-policy-and-methods-review-research-and-analysis-papers" TargetMode="External"/><Relationship Id="rId195" Type="http://schemas.openxmlformats.org/officeDocument/2006/relationships/hyperlink" Target="https://static1.squarespace.com/static/62ebb08a9ffa427423c18724/t/64467ee62c9e8f38067d2352/1682341610670/National-Agreement-on-Closing-the-Gap-July-2020.pdf" TargetMode="External"/><Relationship Id="rId209" Type="http://schemas.openxmlformats.org/officeDocument/2006/relationships/hyperlink" Target="https://www.health.gov.au/resources/publications/national-medicines-policy?language=en" TargetMode="External"/><Relationship Id="rId190" Type="http://schemas.openxmlformats.org/officeDocument/2006/relationships/hyperlink" Target="https://www.health.gov.au/sites/default/files/2023-10/hta-policy-and-methods-review-draft-paper-review-international-health-technology-market-approval-funding-and-assessment-pathways.pdf" TargetMode="External"/><Relationship Id="rId204" Type="http://schemas.openxmlformats.org/officeDocument/2006/relationships/hyperlink" Target="https://www.pbs.gov.au/info/browse/reviews" TargetMode="External"/><Relationship Id="rId15" Type="http://schemas.openxmlformats.org/officeDocument/2006/relationships/image" Target="media/image8.svg"/><Relationship Id="rId36" Type="http://schemas.openxmlformats.org/officeDocument/2006/relationships/image" Target="media/image29.png"/><Relationship Id="rId57" Type="http://schemas.openxmlformats.org/officeDocument/2006/relationships/hyperlink" Target="https://www.health.gov.au/resources/publications/hta-policy-and-methods-review-draft-paper-optimised-real-world-evidence-to-support-health-technology-assessment-in-australia?language=en" TargetMode="External"/><Relationship Id="rId106" Type="http://schemas.openxmlformats.org/officeDocument/2006/relationships/hyperlink" Target="https://www.aph.gov.au/Parliamentary_Business/Committees/House/Health_Aged_Care_and_Sport/Newdrugs/Report" TargetMode="External"/><Relationship Id="rId127" Type="http://schemas.openxmlformats.org/officeDocument/2006/relationships/hyperlink" Target="https://www.health.gov.au/sites/default/files/2023-10/hta-policy-and-methods-review-draft-paper-review-international-health-technology-market-approval-funding-and-assessment-pathways.pdf" TargetMode="External"/><Relationship Id="rId10" Type="http://schemas.openxmlformats.org/officeDocument/2006/relationships/image" Target="media/image3.png"/><Relationship Id="rId31" Type="http://schemas.openxmlformats.org/officeDocument/2006/relationships/image" Target="media/image24.svg"/><Relationship Id="rId52" Type="http://schemas.openxmlformats.org/officeDocument/2006/relationships/hyperlink" Target="https://www.health.gov.au/resources/publications/hta-policy-and-methods-review-draft-paper-horizon-scanning-and-early-assessment?language=en" TargetMode="External"/><Relationship Id="rId73" Type="http://schemas.openxmlformats.org/officeDocument/2006/relationships/hyperlink" Target="https://ohta-consultations.health.gov.au/ohta/hta-review-consultation1/" TargetMode="External"/><Relationship Id="rId78" Type="http://schemas.openxmlformats.org/officeDocument/2006/relationships/hyperlink" Target="https://www.health.gov.au/resources/publications/national-medicines-policy?language=en" TargetMode="External"/><Relationship Id="rId94" Type="http://schemas.openxmlformats.org/officeDocument/2006/relationships/hyperlink" Target="https://www.mbsonline.gov.au/" TargetMode="External"/><Relationship Id="rId99" Type="http://schemas.openxmlformats.org/officeDocument/2006/relationships/hyperlink" Target="https://www.pbs.gov.au/info/general/medicines-industry-strategic-agreement" TargetMode="External"/><Relationship Id="rId101" Type="http://schemas.openxmlformats.org/officeDocument/2006/relationships/hyperlink" Target="https://www.health.gov.au/resources/publications/national-medicines-policy-final-consultation-report?language=en" TargetMode="External"/><Relationship Id="rId122" Type="http://schemas.openxmlformats.org/officeDocument/2006/relationships/hyperlink" Target="https://www.health.gov.au/resources/publications/hta-policy-and-methods-review-draft-paper-review-international-health-technology-market-approval-funding-and-assessment-pathways?language=en" TargetMode="External"/><Relationship Id="rId143" Type="http://schemas.openxmlformats.org/officeDocument/2006/relationships/image" Target="media/image39.png"/><Relationship Id="rId148" Type="http://schemas.openxmlformats.org/officeDocument/2006/relationships/hyperlink" Target="https://www.health.gov.au/sites/default/files/2023-10/hta-policy-and-methods-review-draft-paper-review-international-health-technology-market-approval-funding-and-assessment-pathways.pdf" TargetMode="External"/><Relationship Id="rId164" Type="http://schemas.openxmlformats.org/officeDocument/2006/relationships/hyperlink" Target="https://www.health.gov.au/sites/default/files/2023-10/hta-policy-and-methods-review-draft-paper-clinical-evaluation-methods-in-hta.pdf" TargetMode="External"/><Relationship Id="rId169" Type="http://schemas.openxmlformats.org/officeDocument/2006/relationships/hyperlink" Target="https://www.health.gov.au/resources/publications/hta-policy-and-methods-review-draft-paper-hta-methods-economic-evaluation?language=en" TargetMode="External"/><Relationship Id="rId18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hyperlink" Target="https://www.health.gov.au/resources/publications/inquiry-into-approval-processes-for-new-drugs-and-novel-medical-technologies-in-australia" TargetMode="External"/><Relationship Id="rId210" Type="http://schemas.openxmlformats.org/officeDocument/2006/relationships/fontTable" Target="fontTable.xml"/><Relationship Id="rId26" Type="http://schemas.openxmlformats.org/officeDocument/2006/relationships/image" Target="media/image19.png"/><Relationship Id="rId47" Type="http://schemas.openxmlformats.org/officeDocument/2006/relationships/footer" Target="footer2.xml"/><Relationship Id="rId68" Type="http://schemas.openxmlformats.org/officeDocument/2006/relationships/hyperlink" Target="https://www.health.gov.au/resources/collections/health-technology-assessment-policy-and-methods-review-research-and-analysis-papers" TargetMode="External"/><Relationship Id="rId89" Type="http://schemas.openxmlformats.org/officeDocument/2006/relationships/hyperlink" Target="https://www.closingthegap.gov.au/national-agreement" TargetMode="External"/><Relationship Id="rId112" Type="http://schemas.openxmlformats.org/officeDocument/2006/relationships/hyperlink" Target="https://www.health.gov.au/resources/publications/hta-policy-and-methods-review-draft-paper-determination-of-the-population-intervention-comparator-and-outcome-pico?language=en" TargetMode="External"/><Relationship Id="rId133" Type="http://schemas.openxmlformats.org/officeDocument/2006/relationships/hyperlink" Target="https://www.health.gov.au/our-work/co-design-of-an-enhanced-consumer-engagement-process" TargetMode="External"/><Relationship Id="rId154" Type="http://schemas.openxmlformats.org/officeDocument/2006/relationships/hyperlink" Target="https://www.pbs.gov.au/info/industry/listing/listing-steps" TargetMode="External"/><Relationship Id="rId175" Type="http://schemas.openxmlformats.org/officeDocument/2006/relationships/hyperlink" Target="https://www.aph.gov.au/Parliamentary_Business/Committees/House/Health_Aged_Care_and_Sport/Newdrugs/Report" TargetMode="External"/><Relationship Id="rId196" Type="http://schemas.openxmlformats.org/officeDocument/2006/relationships/image" Target="media/image45.jpeg"/><Relationship Id="rId200" Type="http://schemas.openxmlformats.org/officeDocument/2006/relationships/hyperlink" Target="http://www.pbs.gov.au/info/general/pbs-process-improvements" TargetMode="External"/><Relationship Id="rId16"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sites/default/files/2023-10/hta-policy-and-methods-review-draft-paper-review-international-health-technology-market-approval-funding-and-assessment-pathways.pdf" TargetMode="External"/><Relationship Id="rId13" Type="http://schemas.openxmlformats.org/officeDocument/2006/relationships/hyperlink" Target="https://strategicplan.cadth.ca/wp-content/uploads/2022/03/cadth_2022_2025_strategic_plan.pdf" TargetMode="External"/><Relationship Id="rId3" Type="http://schemas.openxmlformats.org/officeDocument/2006/relationships/hyperlink" Target="https://phrma.org/-/media/Project/PhRMA/PhRMA-Org/PhRMA-Refresh/Report-PDFs/A-C/2023-04-20-PhRMA-Global-Access-to-New-Medicines-Report-FINAL-1.pdf" TargetMode="External"/><Relationship Id="rId7" Type="http://schemas.openxmlformats.org/officeDocument/2006/relationships/hyperlink" Target="https://www.indigenoushpf.gov.au/measures/3-15-access-prescription-medicines" TargetMode="External"/><Relationship Id="rId12" Type="http://schemas.openxmlformats.org/officeDocument/2006/relationships/hyperlink" Target="https://www.nice.org.uk/Media/Default/Get-involved/Meetings-In-Public/Public-board-meetings/Mar-24-pbm-NICE-strategy-2021-2026.pdf" TargetMode="External"/><Relationship Id="rId2" Type="http://schemas.openxmlformats.org/officeDocument/2006/relationships/hyperlink" Target="https://www.medicinesaustralia.com.au/publications/medicines-matter/" TargetMode="External"/><Relationship Id="rId16" Type="http://schemas.openxmlformats.org/officeDocument/2006/relationships/hyperlink" Target="https://www.fda.gov/about-fda/oncology-center-excellence/project-orbis" TargetMode="External"/><Relationship Id="rId1" Type="http://schemas.openxmlformats.org/officeDocument/2006/relationships/hyperlink" Target="https://www.cirsci.org/publications/cirs-rd-briefing-86-hta-outcomes-in-australia-canada-and-europe-2017-2021/" TargetMode="External"/><Relationship Id="rId6" Type="http://schemas.openxmlformats.org/officeDocument/2006/relationships/hyperlink" Target="https://www.health.gov.au/sites/default/files/2023-08/conversations-for-change-report-2023_0.pdf" TargetMode="External"/><Relationship Id="rId11" Type="http://schemas.openxmlformats.org/officeDocument/2006/relationships/hyperlink" Target="https://www.nejm.org/doi/full/10.1056/NEJMc2312345" TargetMode="External"/><Relationship Id="rId5" Type="http://schemas.openxmlformats.org/officeDocument/2006/relationships/hyperlink" Target="https://www.health.gov.au/sites/default/files/2023-08/conversations-for-change-report-2023_0.pdf" TargetMode="External"/><Relationship Id="rId15" Type="http://schemas.openxmlformats.org/officeDocument/2006/relationships/hyperlink" Target="https://www.tga.gov.au/international-activities/australia-canada-singapore-switzerland-united-kingdom-access-consortium" TargetMode="External"/><Relationship Id="rId10" Type="http://schemas.openxmlformats.org/officeDocument/2006/relationships/hyperlink" Target="https://www.oecd.org/els/health-systems/Antimicrobial-Resistance-in-G7-Countries-and-Beyond.pdf" TargetMode="External"/><Relationship Id="rId4" Type="http://schemas.openxmlformats.org/officeDocument/2006/relationships/hyperlink" Target="https://www.pbs.gov.au/info/general/pbs-process-improvements" TargetMode="External"/><Relationship Id="rId9" Type="http://schemas.openxmlformats.org/officeDocument/2006/relationships/hyperlink" Target="https://www.health.gov.au/sites/default/files/2023-12/hta-policy-and-methods-review-draft-paper-funding-and-purchasing-decisions-and-managing-uncertainty.pdf" TargetMode="External"/><Relationship Id="rId14" Type="http://schemas.openxmlformats.org/officeDocument/2006/relationships/hyperlink" Target="http://www.pbs.gov.au/info/news/2023/09/international-hta-collaboration-expan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D109674C6C4A3CB40D7A2078B83942"/>
        <w:category>
          <w:name w:val="General"/>
          <w:gallery w:val="placeholder"/>
        </w:category>
        <w:types>
          <w:type w:val="bbPlcHdr"/>
        </w:types>
        <w:behaviors>
          <w:behavior w:val="content"/>
        </w:behaviors>
        <w:guid w:val="{4D338C1A-6E8D-49B2-82AA-68F4F58AA3C5}"/>
      </w:docPartPr>
      <w:docPartBody>
        <w:p w:rsidR="00DA3DFB" w:rsidRDefault="00E1549B">
          <w:pPr>
            <w:pStyle w:val="47D109674C6C4A3CB40D7A2078B83942"/>
          </w:pPr>
          <w:r>
            <w:t>[Type here]</w:t>
          </w:r>
        </w:p>
      </w:docPartBody>
    </w:docPart>
    <w:docPart>
      <w:docPartPr>
        <w:name w:val="332F4F4EB1A7429D848884331F3E7E68"/>
        <w:category>
          <w:name w:val="General"/>
          <w:gallery w:val="placeholder"/>
        </w:category>
        <w:types>
          <w:type w:val="bbPlcHdr"/>
        </w:types>
        <w:behaviors>
          <w:behavior w:val="content"/>
        </w:behaviors>
        <w:guid w:val="{C41D4336-E17E-4A08-933C-D233052D1473}"/>
      </w:docPartPr>
      <w:docPartBody>
        <w:p w:rsidR="00DA3DFB" w:rsidRDefault="00E1549B">
          <w:pPr>
            <w:pStyle w:val="332F4F4EB1A7429D848884331F3E7E68"/>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7C1"/>
    <w:rsid w:val="002667FE"/>
    <w:rsid w:val="00345E65"/>
    <w:rsid w:val="008B491B"/>
    <w:rsid w:val="00DA3DFB"/>
    <w:rsid w:val="00E067C1"/>
    <w:rsid w:val="00E1549B"/>
    <w:rsid w:val="00EA7F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D109674C6C4A3CB40D7A2078B83942">
    <w:name w:val="47D109674C6C4A3CB40D7A2078B83942"/>
  </w:style>
  <w:style w:type="paragraph" w:customStyle="1" w:styleId="332F4F4EB1A7429D848884331F3E7E68">
    <w:name w:val="332F4F4EB1A7429D848884331F3E7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HAC 1">
      <a:dk1>
        <a:sysClr val="windowText" lastClr="000000"/>
      </a:dk1>
      <a:lt1>
        <a:sysClr val="window" lastClr="FFFFFF"/>
      </a:lt1>
      <a:dk2>
        <a:srgbClr val="153A6E"/>
      </a:dk2>
      <a:lt2>
        <a:srgbClr val="E7E6E6"/>
      </a:lt2>
      <a:accent1>
        <a:srgbClr val="1D437F"/>
      </a:accent1>
      <a:accent2>
        <a:srgbClr val="AA176D"/>
      </a:accent2>
      <a:accent3>
        <a:srgbClr val="008A96"/>
      </a:accent3>
      <a:accent4>
        <a:srgbClr val="1390CF"/>
      </a:accent4>
      <a:accent5>
        <a:srgbClr val="ACC02A"/>
      </a:accent5>
      <a:accent6>
        <a:srgbClr val="00B4D0"/>
      </a:accent6>
      <a:hlink>
        <a:srgbClr val="0E6C9B"/>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D9C9C-E4D8-4AAB-B3BD-AB8DCBB1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66615</Words>
  <Characters>379708</Characters>
  <Application>Microsoft Office Word</Application>
  <DocSecurity>0</DocSecurity>
  <Lines>3164</Lines>
  <Paragraphs>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445433</CharactersWithSpaces>
  <SharedDoc>false</SharedDoc>
  <HLinks>
    <vt:vector size="1404" baseType="variant">
      <vt:variant>
        <vt:i4>8257579</vt:i4>
      </vt:variant>
      <vt:variant>
        <vt:i4>858</vt:i4>
      </vt:variant>
      <vt:variant>
        <vt:i4>0</vt:i4>
      </vt:variant>
      <vt:variant>
        <vt:i4>5</vt:i4>
      </vt:variant>
      <vt:variant>
        <vt:lpwstr>https://www.health.gov.au/resources/publications/national-medicines-policy?language=en</vt:lpwstr>
      </vt:variant>
      <vt:variant>
        <vt:lpwstr/>
      </vt:variant>
      <vt:variant>
        <vt:i4>262217</vt:i4>
      </vt:variant>
      <vt:variant>
        <vt:i4>855</vt:i4>
      </vt:variant>
      <vt:variant>
        <vt:i4>0</vt:i4>
      </vt:variant>
      <vt:variant>
        <vt:i4>5</vt:i4>
      </vt:variant>
      <vt:variant>
        <vt:lpwstr>https://www.health.gov.au/our-work/2020-25-national-health-reform-agreement-nhra</vt:lpwstr>
      </vt:variant>
      <vt:variant>
        <vt:lpwstr/>
      </vt:variant>
      <vt:variant>
        <vt:i4>7143516</vt:i4>
      </vt:variant>
      <vt:variant>
        <vt:i4>846</vt:i4>
      </vt:variant>
      <vt:variant>
        <vt:i4>0</vt:i4>
      </vt:variant>
      <vt:variant>
        <vt:i4>5</vt:i4>
      </vt:variant>
      <vt:variant>
        <vt:lpwstr>https://www.aph.gov.au/Parliamentary_Business/Committees/House/Health_Aged_Care_and_Sport/Newdrugs/Report</vt:lpwstr>
      </vt:variant>
      <vt:variant>
        <vt:lpwstr/>
      </vt:variant>
      <vt:variant>
        <vt:i4>6422583</vt:i4>
      </vt:variant>
      <vt:variant>
        <vt:i4>843</vt:i4>
      </vt:variant>
      <vt:variant>
        <vt:i4>0</vt:i4>
      </vt:variant>
      <vt:variant>
        <vt:i4>5</vt:i4>
      </vt:variant>
      <vt:variant>
        <vt:lpwstr>https://www.pbs.gov.au/info/browse/reviews</vt:lpwstr>
      </vt:variant>
      <vt:variant>
        <vt:lpwstr/>
      </vt:variant>
      <vt:variant>
        <vt:i4>5505024</vt:i4>
      </vt:variant>
      <vt:variant>
        <vt:i4>840</vt:i4>
      </vt:variant>
      <vt:variant>
        <vt:i4>0</vt:i4>
      </vt:variant>
      <vt:variant>
        <vt:i4>5</vt:i4>
      </vt:variant>
      <vt:variant>
        <vt:lpwstr>https://www.pbs.gov.au/info/reviews/subsidised-medicines-reviews</vt:lpwstr>
      </vt:variant>
      <vt:variant>
        <vt:lpwstr/>
      </vt:variant>
      <vt:variant>
        <vt:i4>7405631</vt:i4>
      </vt:variant>
      <vt:variant>
        <vt:i4>837</vt:i4>
      </vt:variant>
      <vt:variant>
        <vt:i4>0</vt:i4>
      </vt:variant>
      <vt:variant>
        <vt:i4>5</vt:i4>
      </vt:variant>
      <vt:variant>
        <vt:lpwstr>https://hpp.health.gov.au/</vt:lpwstr>
      </vt:variant>
      <vt:variant>
        <vt:lpwstr/>
      </vt:variant>
      <vt:variant>
        <vt:i4>7536688</vt:i4>
      </vt:variant>
      <vt:variant>
        <vt:i4>834</vt:i4>
      </vt:variant>
      <vt:variant>
        <vt:i4>0</vt:i4>
      </vt:variant>
      <vt:variant>
        <vt:i4>5</vt:i4>
      </vt:variant>
      <vt:variant>
        <vt:lpwstr>https://www.pbs.gov.au/medicinestatus/home.html</vt:lpwstr>
      </vt:variant>
      <vt:variant>
        <vt:lpwstr/>
      </vt:variant>
      <vt:variant>
        <vt:i4>6881324</vt:i4>
      </vt:variant>
      <vt:variant>
        <vt:i4>831</vt:i4>
      </vt:variant>
      <vt:variant>
        <vt:i4>0</vt:i4>
      </vt:variant>
      <vt:variant>
        <vt:i4>5</vt:i4>
      </vt:variant>
      <vt:variant>
        <vt:lpwstr>http://www.pbs.gov.au/info/general/pbs-process-improvements</vt:lpwstr>
      </vt:variant>
      <vt:variant>
        <vt:lpwstr/>
      </vt:variant>
      <vt:variant>
        <vt:i4>6881324</vt:i4>
      </vt:variant>
      <vt:variant>
        <vt:i4>828</vt:i4>
      </vt:variant>
      <vt:variant>
        <vt:i4>0</vt:i4>
      </vt:variant>
      <vt:variant>
        <vt:i4>5</vt:i4>
      </vt:variant>
      <vt:variant>
        <vt:lpwstr>http://www.pbs.gov.au/info/general/pbs-process-improvements</vt:lpwstr>
      </vt:variant>
      <vt:variant>
        <vt:lpwstr/>
      </vt:variant>
      <vt:variant>
        <vt:i4>7536745</vt:i4>
      </vt:variant>
      <vt:variant>
        <vt:i4>825</vt:i4>
      </vt:variant>
      <vt:variant>
        <vt:i4>0</vt:i4>
      </vt:variant>
      <vt:variant>
        <vt:i4>5</vt:i4>
      </vt:variant>
      <vt:variant>
        <vt:lpwstr>https://www.pbs.gov.au/info/general/medicines-industry-strategic-agreement</vt:lpwstr>
      </vt:variant>
      <vt:variant>
        <vt:lpwstr/>
      </vt:variant>
      <vt:variant>
        <vt:i4>2949216</vt:i4>
      </vt:variant>
      <vt:variant>
        <vt:i4>822</vt:i4>
      </vt:variant>
      <vt:variant>
        <vt:i4>0</vt:i4>
      </vt:variant>
      <vt:variant>
        <vt:i4>5</vt:i4>
      </vt:variant>
      <vt:variant>
        <vt:lpwstr>https://www.health.gov.au/resources/publications/inquiry-into-approval-processes-for-new-drugs-and-novel-medical-technologies-in-australia</vt:lpwstr>
      </vt:variant>
      <vt:variant>
        <vt:lpwstr/>
      </vt:variant>
      <vt:variant>
        <vt:i4>4784225</vt:i4>
      </vt:variant>
      <vt:variant>
        <vt:i4>819</vt:i4>
      </vt:variant>
      <vt:variant>
        <vt:i4>0</vt:i4>
      </vt:variant>
      <vt:variant>
        <vt:i4>5</vt:i4>
      </vt:variant>
      <vt:variant>
        <vt:lpwstr/>
      </vt:variant>
      <vt:variant>
        <vt:lpwstr>_History_of_HTA</vt:lpwstr>
      </vt:variant>
      <vt:variant>
        <vt:i4>7012385</vt:i4>
      </vt:variant>
      <vt:variant>
        <vt:i4>816</vt:i4>
      </vt:variant>
      <vt:variant>
        <vt:i4>0</vt:i4>
      </vt:variant>
      <vt:variant>
        <vt:i4>5</vt:i4>
      </vt:variant>
      <vt:variant>
        <vt:lpwstr>https://www.health.gov.au/our-work/national-health-and-climate-strategy</vt:lpwstr>
      </vt:variant>
      <vt:variant>
        <vt:lpwstr/>
      </vt:variant>
      <vt:variant>
        <vt:i4>1900619</vt:i4>
      </vt:variant>
      <vt:variant>
        <vt:i4>813</vt:i4>
      </vt:variant>
      <vt:variant>
        <vt:i4>0</vt:i4>
      </vt:variant>
      <vt:variant>
        <vt:i4>5</vt:i4>
      </vt:variant>
      <vt:variant>
        <vt:lpwstr>https://static1.squarespace.com/static/62ebb08a9ffa427423c18724/t/64467ee62c9e8f38067d2352/1682341610670/National-Agreement-on-Closing-the-Gap-July-2020.pdf</vt:lpwstr>
      </vt:variant>
      <vt:variant>
        <vt:lpwstr/>
      </vt:variant>
      <vt:variant>
        <vt:i4>720928</vt:i4>
      </vt:variant>
      <vt:variant>
        <vt:i4>810</vt:i4>
      </vt:variant>
      <vt:variant>
        <vt:i4>0</vt:i4>
      </vt:variant>
      <vt:variant>
        <vt:i4>5</vt:i4>
      </vt:variant>
      <vt:variant>
        <vt:lpwstr/>
      </vt:variant>
      <vt:variant>
        <vt:lpwstr>_State_and_territory</vt:lpwstr>
      </vt:variant>
      <vt:variant>
        <vt:i4>1507357</vt:i4>
      </vt:variant>
      <vt:variant>
        <vt:i4>807</vt:i4>
      </vt:variant>
      <vt:variant>
        <vt:i4>0</vt:i4>
      </vt:variant>
      <vt:variant>
        <vt:i4>5</vt:i4>
      </vt:variant>
      <vt:variant>
        <vt:lpwstr>https://www.health.gov.au/resources/publications/hta-policy-and-methods-review-draft-paper-horizon-scanning-and-early-assessment?language=en</vt:lpwstr>
      </vt:variant>
      <vt:variant>
        <vt:lpwstr/>
      </vt:variant>
      <vt:variant>
        <vt:i4>589852</vt:i4>
      </vt:variant>
      <vt:variant>
        <vt:i4>804</vt:i4>
      </vt:variant>
      <vt:variant>
        <vt:i4>0</vt:i4>
      </vt:variant>
      <vt:variant>
        <vt:i4>5</vt:i4>
      </vt:variant>
      <vt:variant>
        <vt:lpwstr>https://www.health.gov.au/resources/publications/health-technology-assessment-policy-and-methods-review-glossary</vt:lpwstr>
      </vt:variant>
      <vt:variant>
        <vt:lpwstr/>
      </vt:variant>
      <vt:variant>
        <vt:i4>1507357</vt:i4>
      </vt:variant>
      <vt:variant>
        <vt:i4>801</vt:i4>
      </vt:variant>
      <vt:variant>
        <vt:i4>0</vt:i4>
      </vt:variant>
      <vt:variant>
        <vt:i4>5</vt:i4>
      </vt:variant>
      <vt:variant>
        <vt:lpwstr>https://www.health.gov.au/resources/publications/hta-policy-and-methods-review-draft-paper-horizon-scanning-and-early-assessment?language=en</vt:lpwstr>
      </vt:variant>
      <vt:variant>
        <vt:lpwstr/>
      </vt:variant>
      <vt:variant>
        <vt:i4>8323116</vt:i4>
      </vt:variant>
      <vt:variant>
        <vt:i4>798</vt:i4>
      </vt:variant>
      <vt:variant>
        <vt:i4>0</vt:i4>
      </vt:variant>
      <vt:variant>
        <vt:i4>5</vt:i4>
      </vt:variant>
      <vt:variant>
        <vt:lpwstr/>
      </vt:variant>
      <vt:variant>
        <vt:lpwstr>_Approaches_to_funding_1</vt:lpwstr>
      </vt:variant>
      <vt:variant>
        <vt:i4>458799</vt:i4>
      </vt:variant>
      <vt:variant>
        <vt:i4>795</vt:i4>
      </vt:variant>
      <vt:variant>
        <vt:i4>0</vt:i4>
      </vt:variant>
      <vt:variant>
        <vt:i4>5</vt:i4>
      </vt:variant>
      <vt:variant>
        <vt:lpwstr/>
      </vt:variant>
      <vt:variant>
        <vt:lpwstr>po_HS</vt:lpwstr>
      </vt:variant>
      <vt:variant>
        <vt:i4>7012475</vt:i4>
      </vt:variant>
      <vt:variant>
        <vt:i4>792</vt:i4>
      </vt:variant>
      <vt:variant>
        <vt:i4>0</vt:i4>
      </vt:variant>
      <vt:variant>
        <vt:i4>5</vt:i4>
      </vt:variant>
      <vt:variant>
        <vt:lpwstr>https://www.closingthegap.gov.au/national-agreement</vt:lpwstr>
      </vt:variant>
      <vt:variant>
        <vt:lpwstr/>
      </vt:variant>
      <vt:variant>
        <vt:i4>6422585</vt:i4>
      </vt:variant>
      <vt:variant>
        <vt:i4>789</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
      </vt:variant>
      <vt:variant>
        <vt:i4>5374022</vt:i4>
      </vt:variant>
      <vt:variant>
        <vt:i4>786</vt:i4>
      </vt:variant>
      <vt:variant>
        <vt:i4>0</vt:i4>
      </vt:variant>
      <vt:variant>
        <vt:i4>5</vt:i4>
      </vt:variant>
      <vt:variant>
        <vt:lpwstr>https://www.health.gov.au/sites/default/files/2023-10/hta-policy-and-methods-review-draft-paper-horizon-scanning-and-early-assessment.pdf</vt:lpwstr>
      </vt:variant>
      <vt:variant>
        <vt:lpwstr/>
      </vt:variant>
      <vt:variant>
        <vt:i4>4587598</vt:i4>
      </vt:variant>
      <vt:variant>
        <vt:i4>783</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4587598</vt:i4>
      </vt:variant>
      <vt:variant>
        <vt:i4>774</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4587598</vt:i4>
      </vt:variant>
      <vt:variant>
        <vt:i4>771</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7143516</vt:i4>
      </vt:variant>
      <vt:variant>
        <vt:i4>768</vt:i4>
      </vt:variant>
      <vt:variant>
        <vt:i4>0</vt:i4>
      </vt:variant>
      <vt:variant>
        <vt:i4>5</vt:i4>
      </vt:variant>
      <vt:variant>
        <vt:lpwstr>https://www.aph.gov.au/Parliamentary_Business/Committees/House/Health_Aged_Care_and_Sport/Newdrugs/Report</vt:lpwstr>
      </vt:variant>
      <vt:variant>
        <vt:lpwstr/>
      </vt:variant>
      <vt:variant>
        <vt:i4>2949216</vt:i4>
      </vt:variant>
      <vt:variant>
        <vt:i4>765</vt:i4>
      </vt:variant>
      <vt:variant>
        <vt:i4>0</vt:i4>
      </vt:variant>
      <vt:variant>
        <vt:i4>5</vt:i4>
      </vt:variant>
      <vt:variant>
        <vt:lpwstr>https://www.health.gov.au/resources/publications/inquiry-into-approval-processes-for-new-drugs-and-novel-medical-technologies-in-australia</vt:lpwstr>
      </vt:variant>
      <vt:variant>
        <vt:lpwstr/>
      </vt:variant>
      <vt:variant>
        <vt:i4>2949216</vt:i4>
      </vt:variant>
      <vt:variant>
        <vt:i4>762</vt:i4>
      </vt:variant>
      <vt:variant>
        <vt:i4>0</vt:i4>
      </vt:variant>
      <vt:variant>
        <vt:i4>5</vt:i4>
      </vt:variant>
      <vt:variant>
        <vt:lpwstr>https://www.health.gov.au/resources/publications/inquiry-into-approval-processes-for-new-drugs-and-novel-medical-technologies-in-australia</vt:lpwstr>
      </vt:variant>
      <vt:variant>
        <vt:lpwstr/>
      </vt:variant>
      <vt:variant>
        <vt:i4>7667775</vt:i4>
      </vt:variant>
      <vt:variant>
        <vt:i4>759</vt:i4>
      </vt:variant>
      <vt:variant>
        <vt:i4>0</vt:i4>
      </vt:variant>
      <vt:variant>
        <vt:i4>5</vt:i4>
      </vt:variant>
      <vt:variant>
        <vt:lpwstr>https://www.health.gov.au/resources/collections/health-technology-assessment-policy-and-methods-review-research-and-analysis-papers</vt:lpwstr>
      </vt:variant>
      <vt:variant>
        <vt:lpwstr/>
      </vt:variant>
      <vt:variant>
        <vt:i4>4784132</vt:i4>
      </vt:variant>
      <vt:variant>
        <vt:i4>756</vt:i4>
      </vt:variant>
      <vt:variant>
        <vt:i4>0</vt:i4>
      </vt:variant>
      <vt:variant>
        <vt:i4>5</vt:i4>
      </vt:variant>
      <vt:variant>
        <vt:lpwstr>https://www.health.gov.au/resources/publications/hta-policy-and-methods-review-draft-paper-review-international-health-technology-market-approval-funding-and-assessment-pathways?language=en</vt:lpwstr>
      </vt:variant>
      <vt:variant>
        <vt:lpwstr/>
      </vt:variant>
      <vt:variant>
        <vt:i4>2097182</vt:i4>
      </vt:variant>
      <vt:variant>
        <vt:i4>753</vt:i4>
      </vt:variant>
      <vt:variant>
        <vt:i4>0</vt:i4>
      </vt:variant>
      <vt:variant>
        <vt:i4>5</vt:i4>
      </vt:variant>
      <vt:variant>
        <vt:lpwstr/>
      </vt:variant>
      <vt:variant>
        <vt:lpwstr>_Health_technologies_that</vt:lpwstr>
      </vt:variant>
      <vt:variant>
        <vt:i4>544931883</vt:i4>
      </vt:variant>
      <vt:variant>
        <vt:i4>750</vt:i4>
      </vt:variant>
      <vt:variant>
        <vt:i4>0</vt:i4>
      </vt:variant>
      <vt:variant>
        <vt:i4>5</vt:i4>
      </vt:variant>
      <vt:variant>
        <vt:lpwstr/>
      </vt:variant>
      <vt:variant>
        <vt:lpwstr>_Options_–_Proportionate</vt:lpwstr>
      </vt:variant>
      <vt:variant>
        <vt:i4>6357043</vt:i4>
      </vt:variant>
      <vt:variant>
        <vt:i4>747</vt:i4>
      </vt:variant>
      <vt:variant>
        <vt:i4>0</vt:i4>
      </vt:variant>
      <vt:variant>
        <vt:i4>5</vt:i4>
      </vt:variant>
      <vt:variant>
        <vt:lpwstr/>
      </vt:variant>
      <vt:variant>
        <vt:lpwstr>_Health_Technology_Funding_1</vt:lpwstr>
      </vt:variant>
      <vt:variant>
        <vt:i4>544931883</vt:i4>
      </vt:variant>
      <vt:variant>
        <vt:i4>743</vt:i4>
      </vt:variant>
      <vt:variant>
        <vt:i4>0</vt:i4>
      </vt:variant>
      <vt:variant>
        <vt:i4>5</vt:i4>
      </vt:variant>
      <vt:variant>
        <vt:lpwstr/>
      </vt:variant>
      <vt:variant>
        <vt:lpwstr>_Options_–_Proportionate</vt:lpwstr>
      </vt:variant>
      <vt:variant>
        <vt:i4>3145805</vt:i4>
      </vt:variant>
      <vt:variant>
        <vt:i4>741</vt:i4>
      </vt:variant>
      <vt:variant>
        <vt:i4>0</vt:i4>
      </vt:variant>
      <vt:variant>
        <vt:i4>5</vt:i4>
      </vt:variant>
      <vt:variant>
        <vt:lpwstr/>
      </vt:variant>
      <vt:variant>
        <vt:lpwstr>_Proportionate_appraisal_pathways:</vt:lpwstr>
      </vt:variant>
      <vt:variant>
        <vt:i4>544931883</vt:i4>
      </vt:variant>
      <vt:variant>
        <vt:i4>738</vt:i4>
      </vt:variant>
      <vt:variant>
        <vt:i4>0</vt:i4>
      </vt:variant>
      <vt:variant>
        <vt:i4>5</vt:i4>
      </vt:variant>
      <vt:variant>
        <vt:lpwstr/>
      </vt:variant>
      <vt:variant>
        <vt:lpwstr>_Options_–_Proportionate</vt:lpwstr>
      </vt:variant>
      <vt:variant>
        <vt:i4>3932222</vt:i4>
      </vt:variant>
      <vt:variant>
        <vt:i4>735</vt:i4>
      </vt:variant>
      <vt:variant>
        <vt:i4>0</vt:i4>
      </vt:variant>
      <vt:variant>
        <vt:i4>5</vt:i4>
      </vt:variant>
      <vt:variant>
        <vt:lpwstr>https://www.aph.gov.au/Parliamentary_Business/Committees/House/Health_Aged_Care_and_Sport/Newdrugs/Government_Response</vt:lpwstr>
      </vt:variant>
      <vt:variant>
        <vt:lpwstr/>
      </vt:variant>
      <vt:variant>
        <vt:i4>7143516</vt:i4>
      </vt:variant>
      <vt:variant>
        <vt:i4>732</vt:i4>
      </vt:variant>
      <vt:variant>
        <vt:i4>0</vt:i4>
      </vt:variant>
      <vt:variant>
        <vt:i4>5</vt:i4>
      </vt:variant>
      <vt:variant>
        <vt:lpwstr>https://www.aph.gov.au/Parliamentary_Business/Committees/House/Health_Aged_Care_and_Sport/Newdrugs/Report</vt:lpwstr>
      </vt:variant>
      <vt:variant>
        <vt:lpwstr/>
      </vt:variant>
      <vt:variant>
        <vt:i4>7143516</vt:i4>
      </vt:variant>
      <vt:variant>
        <vt:i4>729</vt:i4>
      </vt:variant>
      <vt:variant>
        <vt:i4>0</vt:i4>
      </vt:variant>
      <vt:variant>
        <vt:i4>5</vt:i4>
      </vt:variant>
      <vt:variant>
        <vt:lpwstr>https://www.aph.gov.au/Parliamentary_Business/Committees/House/Health_Aged_Care_and_Sport/Newdrugs/Report</vt:lpwstr>
      </vt:variant>
      <vt:variant>
        <vt:lpwstr/>
      </vt:variant>
      <vt:variant>
        <vt:i4>6357096</vt:i4>
      </vt:variant>
      <vt:variant>
        <vt:i4>726</vt:i4>
      </vt:variant>
      <vt:variant>
        <vt:i4>0</vt:i4>
      </vt:variant>
      <vt:variant>
        <vt:i4>5</vt:i4>
      </vt:variant>
      <vt:variant>
        <vt:lpwstr>https://www.health.gov.au/sites/default/files/2023-12/hta-policy-and-methods-review-draft-paper-funding-and-purchasing-decisions-and-managing-uncertainty.pdf</vt:lpwstr>
      </vt:variant>
      <vt:variant>
        <vt:lpwstr>page=9</vt:lpwstr>
      </vt:variant>
      <vt:variant>
        <vt:i4>6160403</vt:i4>
      </vt:variant>
      <vt:variant>
        <vt:i4>723</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page=8</vt:lpwstr>
      </vt:variant>
      <vt:variant>
        <vt:i4>6619242</vt:i4>
      </vt:variant>
      <vt:variant>
        <vt:i4>720</vt:i4>
      </vt:variant>
      <vt:variant>
        <vt:i4>0</vt:i4>
      </vt:variant>
      <vt:variant>
        <vt:i4>5</vt:i4>
      </vt:variant>
      <vt:variant>
        <vt:lpwstr>https://www.health.gov.au/resources/publications/hta-policy-and-methods-review-draft-paper-review-international-health-technology-market-approval-funding-and-assessment-pathways?language=en,</vt:lpwstr>
      </vt:variant>
      <vt:variant>
        <vt:lpwstr/>
      </vt:variant>
      <vt:variant>
        <vt:i4>7667775</vt:i4>
      </vt:variant>
      <vt:variant>
        <vt:i4>717</vt:i4>
      </vt:variant>
      <vt:variant>
        <vt:i4>0</vt:i4>
      </vt:variant>
      <vt:variant>
        <vt:i4>5</vt:i4>
      </vt:variant>
      <vt:variant>
        <vt:lpwstr>https://www.health.gov.au/resources/collections/health-technology-assessment-policy-and-methods-review-research-and-analysis-papers</vt:lpwstr>
      </vt:variant>
      <vt:variant>
        <vt:lpwstr/>
      </vt:variant>
      <vt:variant>
        <vt:i4>3342356</vt:i4>
      </vt:variant>
      <vt:variant>
        <vt:i4>714</vt:i4>
      </vt:variant>
      <vt:variant>
        <vt:i4>0</vt:i4>
      </vt:variant>
      <vt:variant>
        <vt:i4>5</vt:i4>
      </vt:variant>
      <vt:variant>
        <vt:lpwstr/>
      </vt:variant>
      <vt:variant>
        <vt:lpwstr>_Develop_an_explicit</vt:lpwstr>
      </vt:variant>
      <vt:variant>
        <vt:i4>6357043</vt:i4>
      </vt:variant>
      <vt:variant>
        <vt:i4>708</vt:i4>
      </vt:variant>
      <vt:variant>
        <vt:i4>0</vt:i4>
      </vt:variant>
      <vt:variant>
        <vt:i4>5</vt:i4>
      </vt:variant>
      <vt:variant>
        <vt:lpwstr/>
      </vt:variant>
      <vt:variant>
        <vt:lpwstr>_Health_Technology_Funding_1</vt:lpwstr>
      </vt:variant>
      <vt:variant>
        <vt:i4>6422579</vt:i4>
      </vt:variant>
      <vt:variant>
        <vt:i4>705</vt:i4>
      </vt:variant>
      <vt:variant>
        <vt:i4>0</vt:i4>
      </vt:variant>
      <vt:variant>
        <vt:i4>5</vt:i4>
      </vt:variant>
      <vt:variant>
        <vt:lpwstr/>
      </vt:variant>
      <vt:variant>
        <vt:lpwstr>_Health_technology_funding_2</vt:lpwstr>
      </vt:variant>
      <vt:variant>
        <vt:i4>6291495</vt:i4>
      </vt:variant>
      <vt:variant>
        <vt:i4>702</vt:i4>
      </vt:variant>
      <vt:variant>
        <vt:i4>0</vt:i4>
      </vt:variant>
      <vt:variant>
        <vt:i4>5</vt:i4>
      </vt:variant>
      <vt:variant>
        <vt:lpwstr>https://www.health.gov.au/resources/publications/hta-policy-and-methods-review-draft-paper-hta-methods-economic-evaluation?language=en</vt:lpwstr>
      </vt:variant>
      <vt:variant>
        <vt:lpwstr/>
      </vt:variant>
      <vt:variant>
        <vt:i4>4587552</vt:i4>
      </vt:variant>
      <vt:variant>
        <vt:i4>699</vt:i4>
      </vt:variant>
      <vt:variant>
        <vt:i4>0</vt:i4>
      </vt:variant>
      <vt:variant>
        <vt:i4>5</vt:i4>
      </vt:variant>
      <vt:variant>
        <vt:lpwstr>https://www.finance.gov.au/sites/default/files/2023-05/Budget_Process_Operational_Rule_esffective_6 _December_2022.pdf</vt:lpwstr>
      </vt:variant>
      <vt:variant>
        <vt:lpwstr/>
      </vt:variant>
      <vt:variant>
        <vt:i4>4587552</vt:i4>
      </vt:variant>
      <vt:variant>
        <vt:i4>696</vt:i4>
      </vt:variant>
      <vt:variant>
        <vt:i4>0</vt:i4>
      </vt:variant>
      <vt:variant>
        <vt:i4>5</vt:i4>
      </vt:variant>
      <vt:variant>
        <vt:lpwstr>https://www.finance.gov.au/sites/default/files/2023-05/Budget_Process_Operational_Rule_esffective_6 _December_2022.pdf</vt:lpwstr>
      </vt:variant>
      <vt:variant>
        <vt:lpwstr/>
      </vt:variant>
      <vt:variant>
        <vt:i4>6291495</vt:i4>
      </vt:variant>
      <vt:variant>
        <vt:i4>693</vt:i4>
      </vt:variant>
      <vt:variant>
        <vt:i4>0</vt:i4>
      </vt:variant>
      <vt:variant>
        <vt:i4>5</vt:i4>
      </vt:variant>
      <vt:variant>
        <vt:lpwstr>https://www.health.gov.au/resources/publications/hta-policy-and-methods-review-draft-paper-hta-methods-economic-evaluation?language=en</vt:lpwstr>
      </vt:variant>
      <vt:variant>
        <vt:lpwstr/>
      </vt:variant>
      <vt:variant>
        <vt:i4>2949155</vt:i4>
      </vt:variant>
      <vt:variant>
        <vt:i4>690</vt:i4>
      </vt:variant>
      <vt:variant>
        <vt:i4>0</vt:i4>
      </vt:variant>
      <vt:variant>
        <vt:i4>5</vt:i4>
      </vt:variant>
      <vt:variant>
        <vt:lpwstr>https://www.health.gov.au/sites/default/files/2023-10/hta-policy-and-methods-review-draft-paper-clinical-evaluation-methods-in-hta.pdf</vt:lpwstr>
      </vt:variant>
      <vt:variant>
        <vt:lpwstr>page=151</vt:lpwstr>
      </vt:variant>
      <vt:variant>
        <vt:i4>4980815</vt:i4>
      </vt:variant>
      <vt:variant>
        <vt:i4>687</vt:i4>
      </vt:variant>
      <vt:variant>
        <vt:i4>0</vt:i4>
      </vt:variant>
      <vt:variant>
        <vt:i4>5</vt:i4>
      </vt:variant>
      <vt:variant>
        <vt:lpwstr>https://www.health.gov.au/resources/publications/hta-policy-and-methods-review-draft-paper-clinical-evaluation-methods-in-hta?language=en</vt:lpwstr>
      </vt:variant>
      <vt:variant>
        <vt:lpwstr/>
      </vt:variant>
      <vt:variant>
        <vt:i4>3080225</vt:i4>
      </vt:variant>
      <vt:variant>
        <vt:i4>684</vt:i4>
      </vt:variant>
      <vt:variant>
        <vt:i4>0</vt:i4>
      </vt:variant>
      <vt:variant>
        <vt:i4>5</vt:i4>
      </vt:variant>
      <vt:variant>
        <vt:lpwstr>https://www.health.gov.au/sites/default/files/2023-10/hta-policy-and-methods-review-draft-paper-clinical-evaluation-methods-in-hta.pdf</vt:lpwstr>
      </vt:variant>
      <vt:variant>
        <vt:lpwstr>page=173</vt:lpwstr>
      </vt:variant>
      <vt:variant>
        <vt:i4>1179694</vt:i4>
      </vt:variant>
      <vt:variant>
        <vt:i4>678</vt:i4>
      </vt:variant>
      <vt:variant>
        <vt:i4>0</vt:i4>
      </vt:variant>
      <vt:variant>
        <vt:i4>5</vt:i4>
      </vt:variant>
      <vt:variant>
        <vt:lpwstr/>
      </vt:variant>
      <vt:variant>
        <vt:lpwstr>_Unified_HTA_pathway</vt:lpwstr>
      </vt:variant>
      <vt:variant>
        <vt:i4>2949155</vt:i4>
      </vt:variant>
      <vt:variant>
        <vt:i4>675</vt:i4>
      </vt:variant>
      <vt:variant>
        <vt:i4>0</vt:i4>
      </vt:variant>
      <vt:variant>
        <vt:i4>5</vt:i4>
      </vt:variant>
      <vt:variant>
        <vt:lpwstr>https://www.health.gov.au/sites/default/files/2023-10/hta-policy-and-methods-review-draft-paper-clinical-evaluation-methods-in-hta.pdf</vt:lpwstr>
      </vt:variant>
      <vt:variant>
        <vt:lpwstr>page=151</vt:lpwstr>
      </vt:variant>
      <vt:variant>
        <vt:i4>2621472</vt:i4>
      </vt:variant>
      <vt:variant>
        <vt:i4>672</vt:i4>
      </vt:variant>
      <vt:variant>
        <vt:i4>0</vt:i4>
      </vt:variant>
      <vt:variant>
        <vt:i4>5</vt:i4>
      </vt:variant>
      <vt:variant>
        <vt:lpwstr>https://www.health.gov.au/sites/default/files/2023-10/hta-policy-and-methods-review-draft-paper-clinical-evaluation-methods-in-hta.pdf</vt:lpwstr>
      </vt:variant>
      <vt:variant>
        <vt:lpwstr>page=164</vt:lpwstr>
      </vt:variant>
      <vt:variant>
        <vt:i4>2752547</vt:i4>
      </vt:variant>
      <vt:variant>
        <vt:i4>669</vt:i4>
      </vt:variant>
      <vt:variant>
        <vt:i4>0</vt:i4>
      </vt:variant>
      <vt:variant>
        <vt:i4>5</vt:i4>
      </vt:variant>
      <vt:variant>
        <vt:lpwstr>https://www.health.gov.au/sites/default/files/2023-10/hta-policy-and-methods-review-draft-paper-clinical-evaluation-methods-in-hta.pdf</vt:lpwstr>
      </vt:variant>
      <vt:variant>
        <vt:lpwstr>page=156</vt:lpwstr>
      </vt:variant>
      <vt:variant>
        <vt:i4>2949155</vt:i4>
      </vt:variant>
      <vt:variant>
        <vt:i4>666</vt:i4>
      </vt:variant>
      <vt:variant>
        <vt:i4>0</vt:i4>
      </vt:variant>
      <vt:variant>
        <vt:i4>5</vt:i4>
      </vt:variant>
      <vt:variant>
        <vt:lpwstr>https://www.health.gov.au/sites/default/files/2023-10/hta-policy-and-methods-review-draft-paper-clinical-evaluation-methods-in-hta.pdf</vt:lpwstr>
      </vt:variant>
      <vt:variant>
        <vt:lpwstr>page=151</vt:lpwstr>
      </vt:variant>
      <vt:variant>
        <vt:i4>6225931</vt:i4>
      </vt:variant>
      <vt:variant>
        <vt:i4>663</vt:i4>
      </vt:variant>
      <vt:variant>
        <vt:i4>0</vt:i4>
      </vt:variant>
      <vt:variant>
        <vt:i4>5</vt:i4>
      </vt:variant>
      <vt:variant>
        <vt:lpwstr>https://healthgov.sharepoint.com/sites/HTAReview-External/Shared Documents/HTAR - Options consideration/HTA Paper on HTA Methods: Clinical Evaluation</vt:lpwstr>
      </vt:variant>
      <vt:variant>
        <vt:lpwstr/>
      </vt:variant>
      <vt:variant>
        <vt:i4>2424959</vt:i4>
      </vt:variant>
      <vt:variant>
        <vt:i4>660</vt:i4>
      </vt:variant>
      <vt:variant>
        <vt:i4>0</vt:i4>
      </vt:variant>
      <vt:variant>
        <vt:i4>5</vt:i4>
      </vt:variant>
      <vt:variant>
        <vt:lpwstr>https://www.health.gov.au/sites/default/files/2023-10/hta-policy-and-methods-review-draft-paper-clinical-evaluation-methods-in-hta.pdf</vt:lpwstr>
      </vt:variant>
      <vt:variant>
        <vt:lpwstr>paper=150</vt:lpwstr>
      </vt:variant>
      <vt:variant>
        <vt:i4>4980815</vt:i4>
      </vt:variant>
      <vt:variant>
        <vt:i4>657</vt:i4>
      </vt:variant>
      <vt:variant>
        <vt:i4>0</vt:i4>
      </vt:variant>
      <vt:variant>
        <vt:i4>5</vt:i4>
      </vt:variant>
      <vt:variant>
        <vt:lpwstr>https://www.health.gov.au/resources/publications/hta-policy-and-methods-review-draft-paper-clinical-evaluation-methods-in-hta?language=en</vt:lpwstr>
      </vt:variant>
      <vt:variant>
        <vt:lpwstr/>
      </vt:variant>
      <vt:variant>
        <vt:i4>4980815</vt:i4>
      </vt:variant>
      <vt:variant>
        <vt:i4>654</vt:i4>
      </vt:variant>
      <vt:variant>
        <vt:i4>0</vt:i4>
      </vt:variant>
      <vt:variant>
        <vt:i4>5</vt:i4>
      </vt:variant>
      <vt:variant>
        <vt:lpwstr>https://www.health.gov.au/resources/publications/hta-policy-and-methods-review-draft-paper-clinical-evaluation-methods-in-hta?language=en</vt:lpwstr>
      </vt:variant>
      <vt:variant>
        <vt:lpwstr/>
      </vt:variant>
      <vt:variant>
        <vt:i4>131100</vt:i4>
      </vt:variant>
      <vt:variant>
        <vt:i4>651</vt:i4>
      </vt:variant>
      <vt:variant>
        <vt:i4>0</vt:i4>
      </vt:variant>
      <vt:variant>
        <vt:i4>5</vt:i4>
      </vt:variant>
      <vt:variant>
        <vt:lpwstr>http://www.msac.gov.au/internet/msac/publishing.nsf/Content/E0D4E4EDDE91EAC8CA2586E0007AFC75/$File/MSAC Guidelines-complete-16-FINAL(18May21).pdf</vt:lpwstr>
      </vt:variant>
      <vt:variant>
        <vt:lpwstr/>
      </vt:variant>
      <vt:variant>
        <vt:i4>6488120</vt:i4>
      </vt:variant>
      <vt:variant>
        <vt:i4>648</vt:i4>
      </vt:variant>
      <vt:variant>
        <vt:i4>0</vt:i4>
      </vt:variant>
      <vt:variant>
        <vt:i4>5</vt:i4>
      </vt:variant>
      <vt:variant>
        <vt:lpwstr>https://www.pbs.gov.au/info/industry/listing/listing-steps</vt:lpwstr>
      </vt:variant>
      <vt:variant>
        <vt:lpwstr/>
      </vt:variant>
      <vt:variant>
        <vt:i4>4980815</vt:i4>
      </vt:variant>
      <vt:variant>
        <vt:i4>645</vt:i4>
      </vt:variant>
      <vt:variant>
        <vt:i4>0</vt:i4>
      </vt:variant>
      <vt:variant>
        <vt:i4>5</vt:i4>
      </vt:variant>
      <vt:variant>
        <vt:lpwstr>https://www.health.gov.au/resources/publications/hta-policy-and-methods-review-draft-paper-clinical-evaluation-methods-in-hta?language=en</vt:lpwstr>
      </vt:variant>
      <vt:variant>
        <vt:lpwstr/>
      </vt:variant>
      <vt:variant>
        <vt:i4>2752623</vt:i4>
      </vt:variant>
      <vt:variant>
        <vt:i4>642</vt:i4>
      </vt:variant>
      <vt:variant>
        <vt:i4>0</vt:i4>
      </vt:variant>
      <vt:variant>
        <vt:i4>5</vt:i4>
      </vt:variant>
      <vt:variant>
        <vt:lpwstr>http://www.msac.gov.au/internet/msac/publishing.nsf/Content/MSAC-Guidelines</vt:lpwstr>
      </vt:variant>
      <vt:variant>
        <vt:lpwstr/>
      </vt:variant>
      <vt:variant>
        <vt:i4>7864366</vt:i4>
      </vt:variant>
      <vt:variant>
        <vt:i4>639</vt:i4>
      </vt:variant>
      <vt:variant>
        <vt:i4>0</vt:i4>
      </vt:variant>
      <vt:variant>
        <vt:i4>5</vt:i4>
      </vt:variant>
      <vt:variant>
        <vt:lpwstr>https://pbac.pbs.gov.au/information/table-of-contents.html</vt:lpwstr>
      </vt:variant>
      <vt:variant>
        <vt:lpwstr/>
      </vt:variant>
      <vt:variant>
        <vt:i4>2687036</vt:i4>
      </vt:variant>
      <vt:variant>
        <vt:i4>636</vt:i4>
      </vt:variant>
      <vt:variant>
        <vt:i4>0</vt:i4>
      </vt:variant>
      <vt:variant>
        <vt:i4>5</vt:i4>
      </vt:variant>
      <vt:variant>
        <vt:lpwstr>https://www.health.gov.au/sites/default/files/2023-10/hta-policy-and-methods-review-draft-paper-clinical-evaluation-methods-in-hta.pdf</vt:lpwstr>
      </vt:variant>
      <vt:variant>
        <vt:lpwstr/>
      </vt:variant>
      <vt:variant>
        <vt:i4>1966185</vt:i4>
      </vt:variant>
      <vt:variant>
        <vt:i4>630</vt:i4>
      </vt:variant>
      <vt:variant>
        <vt:i4>0</vt:i4>
      </vt:variant>
      <vt:variant>
        <vt:i4>5</vt:i4>
      </vt:variant>
      <vt:variant>
        <vt:lpwstr/>
      </vt:variant>
      <vt:variant>
        <vt:lpwstr>_Economic_evaluation_1</vt:lpwstr>
      </vt:variant>
      <vt:variant>
        <vt:i4>1245212</vt:i4>
      </vt:variant>
      <vt:variant>
        <vt:i4>627</vt:i4>
      </vt:variant>
      <vt:variant>
        <vt:i4>0</vt:i4>
      </vt:variant>
      <vt:variant>
        <vt:i4>5</vt:i4>
      </vt:variant>
      <vt:variant>
        <vt:lpwstr>https://www.health.gov.au/sites/default/files/2023-10/hta-policy-and-methods-review-draft-paper-determination-of-the-population-intervention-comparator-and-outcome-pico.pdf</vt:lpwstr>
      </vt:variant>
      <vt:variant>
        <vt:lpwstr/>
      </vt:variant>
      <vt:variant>
        <vt:i4>5701651</vt:i4>
      </vt:variant>
      <vt:variant>
        <vt:i4>618</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page=10</vt:lpwstr>
      </vt:variant>
      <vt:variant>
        <vt:i4>1376327</vt:i4>
      </vt:variant>
      <vt:variant>
        <vt:i4>615</vt:i4>
      </vt:variant>
      <vt:variant>
        <vt:i4>0</vt:i4>
      </vt:variant>
      <vt:variant>
        <vt:i4>5</vt:i4>
      </vt:variant>
      <vt:variant>
        <vt:lpwstr>https://pbac.pbs.gov.au/product-type-4-codependent-technologies.html</vt:lpwstr>
      </vt:variant>
      <vt:variant>
        <vt:lpwstr/>
      </vt:variant>
      <vt:variant>
        <vt:i4>4063303</vt:i4>
      </vt:variant>
      <vt:variant>
        <vt:i4>612</vt:i4>
      </vt:variant>
      <vt:variant>
        <vt:i4>0</vt:i4>
      </vt:variant>
      <vt:variant>
        <vt:i4>5</vt:i4>
      </vt:variant>
      <vt:variant>
        <vt:lpwstr>https://federalfinancialrelations.gov.au/sites/federalfinancialrelations.gov.au/files/2021-07/NHRA_2020-25_Addendum_consolidated.pdf</vt:lpwstr>
      </vt:variant>
      <vt:variant>
        <vt:lpwstr/>
      </vt:variant>
      <vt:variant>
        <vt:i4>2883711</vt:i4>
      </vt:variant>
      <vt:variant>
        <vt:i4>609</vt:i4>
      </vt:variant>
      <vt:variant>
        <vt:i4>0</vt:i4>
      </vt:variant>
      <vt:variant>
        <vt:i4>5</vt:i4>
      </vt:variant>
      <vt:variant>
        <vt:lpwstr>https://www.pbs.gov.au/info/reviews/pbs-pharmaceuticals-in-hospitals-review</vt:lpwstr>
      </vt:variant>
      <vt:variant>
        <vt:lpwstr/>
      </vt:variant>
      <vt:variant>
        <vt:i4>262217</vt:i4>
      </vt:variant>
      <vt:variant>
        <vt:i4>600</vt:i4>
      </vt:variant>
      <vt:variant>
        <vt:i4>0</vt:i4>
      </vt:variant>
      <vt:variant>
        <vt:i4>5</vt:i4>
      </vt:variant>
      <vt:variant>
        <vt:lpwstr>https://www.health.gov.au/our-work/2020-25-national-health-reform-agreement-nhra</vt:lpwstr>
      </vt:variant>
      <vt:variant>
        <vt:lpwstr/>
      </vt:variant>
      <vt:variant>
        <vt:i4>4194376</vt:i4>
      </vt:variant>
      <vt:variant>
        <vt:i4>597</vt:i4>
      </vt:variant>
      <vt:variant>
        <vt:i4>0</vt:i4>
      </vt:variant>
      <vt:variant>
        <vt:i4>5</vt:i4>
      </vt:variant>
      <vt:variant>
        <vt:lpwstr>https://www.health.gov.au/resources/publications/hta-policy-and-methods-review-draft-paper-australian-market-authorisation-funding-and-assessment-pathways-and-timelines?language=en</vt:lpwstr>
      </vt:variant>
      <vt:variant>
        <vt:lpwstr/>
      </vt:variant>
      <vt:variant>
        <vt:i4>3670034</vt:i4>
      </vt:variant>
      <vt:variant>
        <vt:i4>594</vt:i4>
      </vt:variant>
      <vt:variant>
        <vt:i4>0</vt:i4>
      </vt:variant>
      <vt:variant>
        <vt:i4>5</vt:i4>
      </vt:variant>
      <vt:variant>
        <vt:lpwstr/>
      </vt:variant>
      <vt:variant>
        <vt:lpwstr>_Proactively_addressing_areas</vt:lpwstr>
      </vt:variant>
      <vt:variant>
        <vt:i4>1835021</vt:i4>
      </vt:variant>
      <vt:variant>
        <vt:i4>591</vt:i4>
      </vt:variant>
      <vt:variant>
        <vt:i4>0</vt:i4>
      </vt:variant>
      <vt:variant>
        <vt:i4>5</vt:i4>
      </vt:variant>
      <vt:variant>
        <vt:lpwstr/>
      </vt:variant>
      <vt:variant>
        <vt:lpwstr>_Horizon_Scanning</vt:lpwstr>
      </vt:variant>
      <vt:variant>
        <vt:i4>262217</vt:i4>
      </vt:variant>
      <vt:variant>
        <vt:i4>588</vt:i4>
      </vt:variant>
      <vt:variant>
        <vt:i4>0</vt:i4>
      </vt:variant>
      <vt:variant>
        <vt:i4>5</vt:i4>
      </vt:variant>
      <vt:variant>
        <vt:lpwstr>https://www.health.gov.au/our-work/2020-25-national-health-reform-agreement-nhra</vt:lpwstr>
      </vt:variant>
      <vt:variant>
        <vt:lpwstr/>
      </vt:variant>
      <vt:variant>
        <vt:i4>1245219</vt:i4>
      </vt:variant>
      <vt:variant>
        <vt:i4>585</vt:i4>
      </vt:variant>
      <vt:variant>
        <vt:i4>0</vt:i4>
      </vt:variant>
      <vt:variant>
        <vt:i4>5</vt:i4>
      </vt:variant>
      <vt:variant>
        <vt:lpwstr/>
      </vt:variant>
      <vt:variant>
        <vt:lpwstr>_Capacity_and_capability</vt:lpwstr>
      </vt:variant>
      <vt:variant>
        <vt:i4>262217</vt:i4>
      </vt:variant>
      <vt:variant>
        <vt:i4>582</vt:i4>
      </vt:variant>
      <vt:variant>
        <vt:i4>0</vt:i4>
      </vt:variant>
      <vt:variant>
        <vt:i4>5</vt:i4>
      </vt:variant>
      <vt:variant>
        <vt:lpwstr>https://www.health.gov.au/our-work/2020-25-national-health-reform-agreement-nhra</vt:lpwstr>
      </vt:variant>
      <vt:variant>
        <vt:lpwstr/>
      </vt:variant>
      <vt:variant>
        <vt:i4>3670034</vt:i4>
      </vt:variant>
      <vt:variant>
        <vt:i4>576</vt:i4>
      </vt:variant>
      <vt:variant>
        <vt:i4>0</vt:i4>
      </vt:variant>
      <vt:variant>
        <vt:i4>5</vt:i4>
      </vt:variant>
      <vt:variant>
        <vt:lpwstr/>
      </vt:variant>
      <vt:variant>
        <vt:lpwstr>_Proactively_addressing_areas</vt:lpwstr>
      </vt:variant>
      <vt:variant>
        <vt:i4>6422609</vt:i4>
      </vt:variant>
      <vt:variant>
        <vt:i4>573</vt:i4>
      </vt:variant>
      <vt:variant>
        <vt:i4>0</vt:i4>
      </vt:variant>
      <vt:variant>
        <vt:i4>5</vt:i4>
      </vt:variant>
      <vt:variant>
        <vt:lpwstr/>
      </vt:variant>
      <vt:variant>
        <vt:lpwstr>_Futureproofing_our_systems</vt:lpwstr>
      </vt:variant>
      <vt:variant>
        <vt:i4>3670034</vt:i4>
      </vt:variant>
      <vt:variant>
        <vt:i4>567</vt:i4>
      </vt:variant>
      <vt:variant>
        <vt:i4>0</vt:i4>
      </vt:variant>
      <vt:variant>
        <vt:i4>5</vt:i4>
      </vt:variant>
      <vt:variant>
        <vt:lpwstr/>
      </vt:variant>
      <vt:variant>
        <vt:lpwstr>_Proactively_addressing_areas</vt:lpwstr>
      </vt:variant>
      <vt:variant>
        <vt:i4>3670034</vt:i4>
      </vt:variant>
      <vt:variant>
        <vt:i4>561</vt:i4>
      </vt:variant>
      <vt:variant>
        <vt:i4>0</vt:i4>
      </vt:variant>
      <vt:variant>
        <vt:i4>5</vt:i4>
      </vt:variant>
      <vt:variant>
        <vt:lpwstr/>
      </vt:variant>
      <vt:variant>
        <vt:lpwstr>_Proactively_addressing_areas</vt:lpwstr>
      </vt:variant>
      <vt:variant>
        <vt:i4>7012475</vt:i4>
      </vt:variant>
      <vt:variant>
        <vt:i4>558</vt:i4>
      </vt:variant>
      <vt:variant>
        <vt:i4>0</vt:i4>
      </vt:variant>
      <vt:variant>
        <vt:i4>5</vt:i4>
      </vt:variant>
      <vt:variant>
        <vt:lpwstr>https://www.closingthegap.gov.au/national-agreement</vt:lpwstr>
      </vt:variant>
      <vt:variant>
        <vt:lpwstr/>
      </vt:variant>
      <vt:variant>
        <vt:i4>3670034</vt:i4>
      </vt:variant>
      <vt:variant>
        <vt:i4>552</vt:i4>
      </vt:variant>
      <vt:variant>
        <vt:i4>0</vt:i4>
      </vt:variant>
      <vt:variant>
        <vt:i4>5</vt:i4>
      </vt:variant>
      <vt:variant>
        <vt:lpwstr/>
      </vt:variant>
      <vt:variant>
        <vt:lpwstr>_Proactively_addressing_areas</vt:lpwstr>
      </vt:variant>
      <vt:variant>
        <vt:i4>4980743</vt:i4>
      </vt:variant>
      <vt:variant>
        <vt:i4>549</vt:i4>
      </vt:variant>
      <vt:variant>
        <vt:i4>0</vt:i4>
      </vt:variant>
      <vt:variant>
        <vt:i4>5</vt:i4>
      </vt:variant>
      <vt:variant>
        <vt:lpwstr>https://pbac.pbs.gov.au/</vt:lpwstr>
      </vt:variant>
      <vt:variant>
        <vt:lpwstr/>
      </vt:variant>
      <vt:variant>
        <vt:i4>589891</vt:i4>
      </vt:variant>
      <vt:variant>
        <vt:i4>546</vt:i4>
      </vt:variant>
      <vt:variant>
        <vt:i4>0</vt:i4>
      </vt:variant>
      <vt:variant>
        <vt:i4>5</vt:i4>
      </vt:variant>
      <vt:variant>
        <vt:lpwstr>https://www.health.gov.au/resources/publications/health-technology-assessment-policy-and-methods-review-consultation-plan</vt:lpwstr>
      </vt:variant>
      <vt:variant>
        <vt:lpwstr/>
      </vt:variant>
      <vt:variant>
        <vt:i4>7667775</vt:i4>
      </vt:variant>
      <vt:variant>
        <vt:i4>543</vt:i4>
      </vt:variant>
      <vt:variant>
        <vt:i4>0</vt:i4>
      </vt:variant>
      <vt:variant>
        <vt:i4>5</vt:i4>
      </vt:variant>
      <vt:variant>
        <vt:lpwstr>https://www.health.gov.au/resources/collections/health-technology-assessment-policy-and-methods-review-research-and-analysis-papers</vt:lpwstr>
      </vt:variant>
      <vt:variant>
        <vt:lpwstr/>
      </vt:variant>
      <vt:variant>
        <vt:i4>2818097</vt:i4>
      </vt:variant>
      <vt:variant>
        <vt:i4>540</vt:i4>
      </vt:variant>
      <vt:variant>
        <vt:i4>0</vt:i4>
      </vt:variant>
      <vt:variant>
        <vt:i4>5</vt:i4>
      </vt:variant>
      <vt:variant>
        <vt:lpwstr>https://www.health.gov.au/our-work/co-design-of-an-enhanced-consumer-engagement-process</vt:lpwstr>
      </vt:variant>
      <vt:variant>
        <vt:lpwstr/>
      </vt:variant>
      <vt:variant>
        <vt:i4>6225923</vt:i4>
      </vt:variant>
      <vt:variant>
        <vt:i4>537</vt:i4>
      </vt:variant>
      <vt:variant>
        <vt:i4>0</vt:i4>
      </vt:variant>
      <vt:variant>
        <vt:i4>5</vt:i4>
      </vt:variant>
      <vt:variant>
        <vt:lpwstr>https://www.health.gov.au/resources/publications/conversations-for-change-report-2023?language=en</vt:lpwstr>
      </vt:variant>
      <vt:variant>
        <vt:lpwstr/>
      </vt:variant>
      <vt:variant>
        <vt:i4>7143516</vt:i4>
      </vt:variant>
      <vt:variant>
        <vt:i4>534</vt:i4>
      </vt:variant>
      <vt:variant>
        <vt:i4>0</vt:i4>
      </vt:variant>
      <vt:variant>
        <vt:i4>5</vt:i4>
      </vt:variant>
      <vt:variant>
        <vt:lpwstr>https://www.aph.gov.au/Parliamentary_Business/Committees/House/Health_Aged_Care_and_Sport/Newdrugs/Report</vt:lpwstr>
      </vt:variant>
      <vt:variant>
        <vt:lpwstr/>
      </vt:variant>
      <vt:variant>
        <vt:i4>7143516</vt:i4>
      </vt:variant>
      <vt:variant>
        <vt:i4>531</vt:i4>
      </vt:variant>
      <vt:variant>
        <vt:i4>0</vt:i4>
      </vt:variant>
      <vt:variant>
        <vt:i4>5</vt:i4>
      </vt:variant>
      <vt:variant>
        <vt:lpwstr>https://www.aph.gov.au/Parliamentary_Business/Committees/House/Health_Aged_Care_and_Sport/Newdrugs/Report</vt:lpwstr>
      </vt:variant>
      <vt:variant>
        <vt:lpwstr/>
      </vt:variant>
      <vt:variant>
        <vt:i4>3276805</vt:i4>
      </vt:variant>
      <vt:variant>
        <vt:i4>528</vt:i4>
      </vt:variant>
      <vt:variant>
        <vt:i4>0</vt:i4>
      </vt:variant>
      <vt:variant>
        <vt:i4>5</vt:i4>
      </vt:variant>
      <vt:variant>
        <vt:lpwstr>https://www.health.gov.au/sites/default/files/2023-11/health-technology-assessment-policy-and-methods-review-consultation-1-report_0.pdf</vt:lpwstr>
      </vt:variant>
      <vt:variant>
        <vt:lpwstr>page=16</vt:lpwstr>
      </vt:variant>
      <vt:variant>
        <vt:i4>2359350</vt:i4>
      </vt:variant>
      <vt:variant>
        <vt:i4>522</vt:i4>
      </vt:variant>
      <vt:variant>
        <vt:i4>0</vt:i4>
      </vt:variant>
      <vt:variant>
        <vt:i4>5</vt:i4>
      </vt:variant>
      <vt:variant>
        <vt:lpwstr>https://www.health.gov.au/sites/default/files/2023-10/hta-policy-and-methods-review-draft-paper-determination-of-the-population-intervention-comparator-and-outcome-pico.pdf</vt:lpwstr>
      </vt:variant>
      <vt:variant>
        <vt:lpwstr>page=36</vt:lpwstr>
      </vt:variant>
      <vt:variant>
        <vt:i4>6291491</vt:i4>
      </vt:variant>
      <vt:variant>
        <vt:i4>519</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page=107</vt:lpwstr>
      </vt:variant>
      <vt:variant>
        <vt:i4>6750243</vt:i4>
      </vt:variant>
      <vt:variant>
        <vt:i4>516</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page=100</vt:lpwstr>
      </vt:variant>
      <vt:variant>
        <vt:i4>6225923</vt:i4>
      </vt:variant>
      <vt:variant>
        <vt:i4>510</vt:i4>
      </vt:variant>
      <vt:variant>
        <vt:i4>0</vt:i4>
      </vt:variant>
      <vt:variant>
        <vt:i4>5</vt:i4>
      </vt:variant>
      <vt:variant>
        <vt:lpwstr>https://www.health.gov.au/resources/publications/conversations-for-change-report-2023?language=en</vt:lpwstr>
      </vt:variant>
      <vt:variant>
        <vt:lpwstr/>
      </vt:variant>
      <vt:variant>
        <vt:i4>5832712</vt:i4>
      </vt:variant>
      <vt:variant>
        <vt:i4>507</vt:i4>
      </vt:variant>
      <vt:variant>
        <vt:i4>0</vt:i4>
      </vt:variant>
      <vt:variant>
        <vt:i4>5</vt:i4>
      </vt:variant>
      <vt:variant>
        <vt:lpwstr>https://www.health.gov.au/resources/publications/health-technology-assessment-policy-and-methods-review-consultation-1-report</vt:lpwstr>
      </vt:variant>
      <vt:variant>
        <vt:lpwstr/>
      </vt:variant>
      <vt:variant>
        <vt:i4>4784132</vt:i4>
      </vt:variant>
      <vt:variant>
        <vt:i4>504</vt:i4>
      </vt:variant>
      <vt:variant>
        <vt:i4>0</vt:i4>
      </vt:variant>
      <vt:variant>
        <vt:i4>5</vt:i4>
      </vt:variant>
      <vt:variant>
        <vt:lpwstr>https://www.health.gov.au/resources/publications/hta-policy-and-methods-review-draft-paper-review-international-health-technology-market-approval-funding-and-assessment-pathways?language=en</vt:lpwstr>
      </vt:variant>
      <vt:variant>
        <vt:lpwstr/>
      </vt:variant>
      <vt:variant>
        <vt:i4>3997744</vt:i4>
      </vt:variant>
      <vt:variant>
        <vt:i4>501</vt:i4>
      </vt:variant>
      <vt:variant>
        <vt:i4>0</vt:i4>
      </vt:variant>
      <vt:variant>
        <vt:i4>5</vt:i4>
      </vt:variant>
      <vt:variant>
        <vt:lpwstr>http://www.msac.gov.au/</vt:lpwstr>
      </vt:variant>
      <vt:variant>
        <vt:lpwstr/>
      </vt:variant>
      <vt:variant>
        <vt:i4>7798824</vt:i4>
      </vt:variant>
      <vt:variant>
        <vt:i4>498</vt:i4>
      </vt:variant>
      <vt:variant>
        <vt:i4>0</vt:i4>
      </vt:variant>
      <vt:variant>
        <vt:i4>5</vt:i4>
      </vt:variant>
      <vt:variant>
        <vt:lpwstr>http://www.pbs.gov.au/</vt:lpwstr>
      </vt:variant>
      <vt:variant>
        <vt:lpwstr/>
      </vt:variant>
      <vt:variant>
        <vt:i4>3604587</vt:i4>
      </vt:variant>
      <vt:variant>
        <vt:i4>495</vt:i4>
      </vt:variant>
      <vt:variant>
        <vt:i4>0</vt:i4>
      </vt:variant>
      <vt:variant>
        <vt:i4>5</vt:i4>
      </vt:variant>
      <vt:variant>
        <vt:lpwstr>http://www.pbs.gov.au/medicinestatus/home.html</vt:lpwstr>
      </vt:variant>
      <vt:variant>
        <vt:lpwstr/>
      </vt:variant>
      <vt:variant>
        <vt:i4>4587598</vt:i4>
      </vt:variant>
      <vt:variant>
        <vt:i4>492</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1114131</vt:i4>
      </vt:variant>
      <vt:variant>
        <vt:i4>489</vt:i4>
      </vt:variant>
      <vt:variant>
        <vt:i4>0</vt:i4>
      </vt:variant>
      <vt:variant>
        <vt:i4>5</vt:i4>
      </vt:variant>
      <vt:variant>
        <vt:lpwstr>https://www.health.gov.au/resources/publications/hta-policy-and-methods-review-draft-paper-funding-and-purchasing-decisions-and-managing-uncertainty?language=en</vt:lpwstr>
      </vt:variant>
      <vt:variant>
        <vt:lpwstr/>
      </vt:variant>
      <vt:variant>
        <vt:i4>6291495</vt:i4>
      </vt:variant>
      <vt:variant>
        <vt:i4>486</vt:i4>
      </vt:variant>
      <vt:variant>
        <vt:i4>0</vt:i4>
      </vt:variant>
      <vt:variant>
        <vt:i4>5</vt:i4>
      </vt:variant>
      <vt:variant>
        <vt:lpwstr>https://www.health.gov.au/resources/publications/hta-policy-and-methods-review-draft-paper-hta-methods-economic-evaluation?language=en</vt:lpwstr>
      </vt:variant>
      <vt:variant>
        <vt:lpwstr/>
      </vt:variant>
      <vt:variant>
        <vt:i4>4980815</vt:i4>
      </vt:variant>
      <vt:variant>
        <vt:i4>483</vt:i4>
      </vt:variant>
      <vt:variant>
        <vt:i4>0</vt:i4>
      </vt:variant>
      <vt:variant>
        <vt:i4>5</vt:i4>
      </vt:variant>
      <vt:variant>
        <vt:lpwstr>https://www.health.gov.au/resources/publications/hta-policy-and-methods-review-draft-paper-clinical-evaluation-methods-in-hta?language=en</vt:lpwstr>
      </vt:variant>
      <vt:variant>
        <vt:lpwstr/>
      </vt:variant>
      <vt:variant>
        <vt:i4>7078005</vt:i4>
      </vt:variant>
      <vt:variant>
        <vt:i4>480</vt:i4>
      </vt:variant>
      <vt:variant>
        <vt:i4>0</vt:i4>
      </vt:variant>
      <vt:variant>
        <vt:i4>5</vt:i4>
      </vt:variant>
      <vt:variant>
        <vt:lpwstr>https://www.health.gov.au/resources/publications/hta-policy-and-methods-review-draft-paper-determination-of-the-population-intervention-comparator-and-outcome-pico?language=en</vt:lpwstr>
      </vt:variant>
      <vt:variant>
        <vt:lpwstr/>
      </vt:variant>
      <vt:variant>
        <vt:i4>1507357</vt:i4>
      </vt:variant>
      <vt:variant>
        <vt:i4>477</vt:i4>
      </vt:variant>
      <vt:variant>
        <vt:i4>0</vt:i4>
      </vt:variant>
      <vt:variant>
        <vt:i4>5</vt:i4>
      </vt:variant>
      <vt:variant>
        <vt:lpwstr>https://www.health.gov.au/resources/publications/hta-policy-and-methods-review-draft-paper-horizon-scanning-and-early-assessment?language=en</vt:lpwstr>
      </vt:variant>
      <vt:variant>
        <vt:lpwstr/>
      </vt:variant>
      <vt:variant>
        <vt:i4>4784132</vt:i4>
      </vt:variant>
      <vt:variant>
        <vt:i4>474</vt:i4>
      </vt:variant>
      <vt:variant>
        <vt:i4>0</vt:i4>
      </vt:variant>
      <vt:variant>
        <vt:i4>5</vt:i4>
      </vt:variant>
      <vt:variant>
        <vt:lpwstr>https://www.health.gov.au/resources/publications/hta-policy-and-methods-review-draft-paper-review-international-health-technology-market-approval-funding-and-assessment-pathways?language=en</vt:lpwstr>
      </vt:variant>
      <vt:variant>
        <vt:lpwstr/>
      </vt:variant>
      <vt:variant>
        <vt:i4>5832712</vt:i4>
      </vt:variant>
      <vt:variant>
        <vt:i4>471</vt:i4>
      </vt:variant>
      <vt:variant>
        <vt:i4>0</vt:i4>
      </vt:variant>
      <vt:variant>
        <vt:i4>5</vt:i4>
      </vt:variant>
      <vt:variant>
        <vt:lpwstr>https://www.health.gov.au/resources/publications/health-technology-assessment-policy-and-methods-review-consultation-1-report</vt:lpwstr>
      </vt:variant>
      <vt:variant>
        <vt:lpwstr/>
      </vt:variant>
      <vt:variant>
        <vt:i4>5439577</vt:i4>
      </vt:variant>
      <vt:variant>
        <vt:i4>468</vt:i4>
      </vt:variant>
      <vt:variant>
        <vt:i4>0</vt:i4>
      </vt:variant>
      <vt:variant>
        <vt:i4>5</vt:i4>
      </vt:variant>
      <vt:variant>
        <vt:lpwstr>https://ohta-consultations.health.gov.au/ohta/hta-review-consultation1/consultation/published_select_respondent</vt:lpwstr>
      </vt:variant>
      <vt:variant>
        <vt:lpwstr/>
      </vt:variant>
      <vt:variant>
        <vt:i4>3276849</vt:i4>
      </vt:variant>
      <vt:variant>
        <vt:i4>465</vt:i4>
      </vt:variant>
      <vt:variant>
        <vt:i4>0</vt:i4>
      </vt:variant>
      <vt:variant>
        <vt:i4>5</vt:i4>
      </vt:variant>
      <vt:variant>
        <vt:lpwstr>https://www.health.gov.au/sites/default/files/2023-03/health-technology-assessment-policy-and-methods-review-terms-of-reference.pdf</vt:lpwstr>
      </vt:variant>
      <vt:variant>
        <vt:lpwstr/>
      </vt:variant>
      <vt:variant>
        <vt:i4>7143516</vt:i4>
      </vt:variant>
      <vt:variant>
        <vt:i4>462</vt:i4>
      </vt:variant>
      <vt:variant>
        <vt:i4>0</vt:i4>
      </vt:variant>
      <vt:variant>
        <vt:i4>5</vt:i4>
      </vt:variant>
      <vt:variant>
        <vt:lpwstr>https://www.aph.gov.au/Parliamentary_Business/Committees/House/Health_Aged_Care_and_Sport/Newdrugs/Report</vt:lpwstr>
      </vt:variant>
      <vt:variant>
        <vt:lpwstr/>
      </vt:variant>
      <vt:variant>
        <vt:i4>6488188</vt:i4>
      </vt:variant>
      <vt:variant>
        <vt:i4>459</vt:i4>
      </vt:variant>
      <vt:variant>
        <vt:i4>0</vt:i4>
      </vt:variant>
      <vt:variant>
        <vt:i4>5</vt:i4>
      </vt:variant>
      <vt:variant>
        <vt:lpwstr>https://www.health.gov.au/resources/publications/health-technology-assessment-policy-and-methods-review-terms-of-reference?language=en</vt:lpwstr>
      </vt:variant>
      <vt:variant>
        <vt:lpwstr/>
      </vt:variant>
      <vt:variant>
        <vt:i4>7536745</vt:i4>
      </vt:variant>
      <vt:variant>
        <vt:i4>456</vt:i4>
      </vt:variant>
      <vt:variant>
        <vt:i4>0</vt:i4>
      </vt:variant>
      <vt:variant>
        <vt:i4>5</vt:i4>
      </vt:variant>
      <vt:variant>
        <vt:lpwstr>https://www.pbs.gov.au/info/general/medicines-industry-strategic-agreement</vt:lpwstr>
      </vt:variant>
      <vt:variant>
        <vt:lpwstr/>
      </vt:variant>
      <vt:variant>
        <vt:i4>2818097</vt:i4>
      </vt:variant>
      <vt:variant>
        <vt:i4>453</vt:i4>
      </vt:variant>
      <vt:variant>
        <vt:i4>0</vt:i4>
      </vt:variant>
      <vt:variant>
        <vt:i4>5</vt:i4>
      </vt:variant>
      <vt:variant>
        <vt:lpwstr>https://www.health.gov.au/our-work/co-design-of-an-enhanced-consumer-engagement-process</vt:lpwstr>
      </vt:variant>
      <vt:variant>
        <vt:lpwstr/>
      </vt:variant>
      <vt:variant>
        <vt:i4>6225923</vt:i4>
      </vt:variant>
      <vt:variant>
        <vt:i4>450</vt:i4>
      </vt:variant>
      <vt:variant>
        <vt:i4>0</vt:i4>
      </vt:variant>
      <vt:variant>
        <vt:i4>5</vt:i4>
      </vt:variant>
      <vt:variant>
        <vt:lpwstr>https://www.health.gov.au/resources/publications/conversations-for-change-report-2023?language=en</vt:lpwstr>
      </vt:variant>
      <vt:variant>
        <vt:lpwstr/>
      </vt:variant>
      <vt:variant>
        <vt:i4>6160453</vt:i4>
      </vt:variant>
      <vt:variant>
        <vt:i4>447</vt:i4>
      </vt:variant>
      <vt:variant>
        <vt:i4>0</vt:i4>
      </vt:variant>
      <vt:variant>
        <vt:i4>5</vt:i4>
      </vt:variant>
      <vt:variant>
        <vt:lpwstr>https://www.health.gov.au/resources/publications/national-medicines-policy-final-consultation-report?language=en</vt:lpwstr>
      </vt:variant>
      <vt:variant>
        <vt:lpwstr/>
      </vt:variant>
      <vt:variant>
        <vt:i4>1900665</vt:i4>
      </vt:variant>
      <vt:variant>
        <vt:i4>441</vt:i4>
      </vt:variant>
      <vt:variant>
        <vt:i4>0</vt:i4>
      </vt:variant>
      <vt:variant>
        <vt:i4>5</vt:i4>
      </vt:variant>
      <vt:variant>
        <vt:lpwstr>https://www.aph.gov.au/Parliamentary_Business/Committees/House/Health_Aged_Care_and_Sport/Newdrugs</vt:lpwstr>
      </vt:variant>
      <vt:variant>
        <vt:lpwstr/>
      </vt:variant>
      <vt:variant>
        <vt:i4>7536745</vt:i4>
      </vt:variant>
      <vt:variant>
        <vt:i4>438</vt:i4>
      </vt:variant>
      <vt:variant>
        <vt:i4>0</vt:i4>
      </vt:variant>
      <vt:variant>
        <vt:i4>5</vt:i4>
      </vt:variant>
      <vt:variant>
        <vt:lpwstr>https://www.pbs.gov.au/info/general/medicines-industry-strategic-agreement</vt:lpwstr>
      </vt:variant>
      <vt:variant>
        <vt:lpwstr/>
      </vt:variant>
      <vt:variant>
        <vt:i4>7143516</vt:i4>
      </vt:variant>
      <vt:variant>
        <vt:i4>435</vt:i4>
      </vt:variant>
      <vt:variant>
        <vt:i4>0</vt:i4>
      </vt:variant>
      <vt:variant>
        <vt:i4>5</vt:i4>
      </vt:variant>
      <vt:variant>
        <vt:lpwstr>https://www.aph.gov.au/Parliamentary_Business/Committees/House/Health_Aged_Care_and_Sport/Newdrugs/Report</vt:lpwstr>
      </vt:variant>
      <vt:variant>
        <vt:lpwstr/>
      </vt:variant>
      <vt:variant>
        <vt:i4>4194376</vt:i4>
      </vt:variant>
      <vt:variant>
        <vt:i4>432</vt:i4>
      </vt:variant>
      <vt:variant>
        <vt:i4>0</vt:i4>
      </vt:variant>
      <vt:variant>
        <vt:i4>5</vt:i4>
      </vt:variant>
      <vt:variant>
        <vt:lpwstr>https://www.health.gov.au/resources/publications/hta-policy-and-methods-review-draft-paper-australian-market-authorisation-funding-and-assessment-pathways-and-timelines?language=en</vt:lpwstr>
      </vt:variant>
      <vt:variant>
        <vt:lpwstr/>
      </vt:variant>
      <vt:variant>
        <vt:i4>4194376</vt:i4>
      </vt:variant>
      <vt:variant>
        <vt:i4>429</vt:i4>
      </vt:variant>
      <vt:variant>
        <vt:i4>0</vt:i4>
      </vt:variant>
      <vt:variant>
        <vt:i4>5</vt:i4>
      </vt:variant>
      <vt:variant>
        <vt:lpwstr>https://www.health.gov.au/resources/publications/hta-policy-and-methods-review-draft-paper-australian-market-authorisation-funding-and-assessment-pathways-and-timelines?language=en</vt:lpwstr>
      </vt:variant>
      <vt:variant>
        <vt:lpwstr/>
      </vt:variant>
      <vt:variant>
        <vt:i4>262217</vt:i4>
      </vt:variant>
      <vt:variant>
        <vt:i4>426</vt:i4>
      </vt:variant>
      <vt:variant>
        <vt:i4>0</vt:i4>
      </vt:variant>
      <vt:variant>
        <vt:i4>5</vt:i4>
      </vt:variant>
      <vt:variant>
        <vt:lpwstr>https://www.health.gov.au/our-work/2020-25-national-health-reform-agreement-nhra</vt:lpwstr>
      </vt:variant>
      <vt:variant>
        <vt:lpwstr/>
      </vt:variant>
      <vt:variant>
        <vt:i4>6094924</vt:i4>
      </vt:variant>
      <vt:variant>
        <vt:i4>423</vt:i4>
      </vt:variant>
      <vt:variant>
        <vt:i4>0</vt:i4>
      </vt:variant>
      <vt:variant>
        <vt:i4>5</vt:i4>
      </vt:variant>
      <vt:variant>
        <vt:lpwstr>https://www.mbsonline.gov.au/</vt:lpwstr>
      </vt:variant>
      <vt:variant>
        <vt:lpwstr/>
      </vt:variant>
      <vt:variant>
        <vt:i4>3539006</vt:i4>
      </vt:variant>
      <vt:variant>
        <vt:i4>420</vt:i4>
      </vt:variant>
      <vt:variant>
        <vt:i4>0</vt:i4>
      </vt:variant>
      <vt:variant>
        <vt:i4>5</vt:i4>
      </vt:variant>
      <vt:variant>
        <vt:lpwstr>https://www.pbs.gov.au/pbs/home</vt:lpwstr>
      </vt:variant>
      <vt:variant>
        <vt:lpwstr/>
      </vt:variant>
      <vt:variant>
        <vt:i4>458799</vt:i4>
      </vt:variant>
      <vt:variant>
        <vt:i4>408</vt:i4>
      </vt:variant>
      <vt:variant>
        <vt:i4>0</vt:i4>
      </vt:variant>
      <vt:variant>
        <vt:i4>5</vt:i4>
      </vt:variant>
      <vt:variant>
        <vt:lpwstr/>
      </vt:variant>
      <vt:variant>
        <vt:lpwstr>po_HS</vt:lpwstr>
      </vt:variant>
      <vt:variant>
        <vt:i4>7012475</vt:i4>
      </vt:variant>
      <vt:variant>
        <vt:i4>405</vt:i4>
      </vt:variant>
      <vt:variant>
        <vt:i4>0</vt:i4>
      </vt:variant>
      <vt:variant>
        <vt:i4>5</vt:i4>
      </vt:variant>
      <vt:variant>
        <vt:lpwstr>https://www.closingthegap.gov.au/national-agreement</vt:lpwstr>
      </vt:variant>
      <vt:variant>
        <vt:lpwstr/>
      </vt:variant>
      <vt:variant>
        <vt:i4>4784246</vt:i4>
      </vt:variant>
      <vt:variant>
        <vt:i4>399</vt:i4>
      </vt:variant>
      <vt:variant>
        <vt:i4>0</vt:i4>
      </vt:variant>
      <vt:variant>
        <vt:i4>5</vt:i4>
      </vt:variant>
      <vt:variant>
        <vt:lpwstr/>
      </vt:variant>
      <vt:variant>
        <vt:lpwstr>_Approaches_to_incentivise</vt:lpwstr>
      </vt:variant>
      <vt:variant>
        <vt:i4>2359326</vt:i4>
      </vt:variant>
      <vt:variant>
        <vt:i4>396</vt:i4>
      </vt:variant>
      <vt:variant>
        <vt:i4>0</vt:i4>
      </vt:variant>
      <vt:variant>
        <vt:i4>5</vt:i4>
      </vt:variant>
      <vt:variant>
        <vt:lpwstr/>
      </vt:variant>
      <vt:variant>
        <vt:lpwstr>_Early_resolution_mechanisms</vt:lpwstr>
      </vt:variant>
      <vt:variant>
        <vt:i4>3276811</vt:i4>
      </vt:variant>
      <vt:variant>
        <vt:i4>390</vt:i4>
      </vt:variant>
      <vt:variant>
        <vt:i4>0</vt:i4>
      </vt:variant>
      <vt:variant>
        <vt:i4>5</vt:i4>
      </vt:variant>
      <vt:variant>
        <vt:lpwstr/>
      </vt:variant>
      <vt:variant>
        <vt:lpwstr>_and_managing_uncertainty</vt:lpwstr>
      </vt:variant>
      <vt:variant>
        <vt:i4>544931883</vt:i4>
      </vt:variant>
      <vt:variant>
        <vt:i4>386</vt:i4>
      </vt:variant>
      <vt:variant>
        <vt:i4>0</vt:i4>
      </vt:variant>
      <vt:variant>
        <vt:i4>5</vt:i4>
      </vt:variant>
      <vt:variant>
        <vt:lpwstr/>
      </vt:variant>
      <vt:variant>
        <vt:lpwstr>_Options_–_Proportionate</vt:lpwstr>
      </vt:variant>
      <vt:variant>
        <vt:i4>3145805</vt:i4>
      </vt:variant>
      <vt:variant>
        <vt:i4>384</vt:i4>
      </vt:variant>
      <vt:variant>
        <vt:i4>0</vt:i4>
      </vt:variant>
      <vt:variant>
        <vt:i4>5</vt:i4>
      </vt:variant>
      <vt:variant>
        <vt:lpwstr/>
      </vt:variant>
      <vt:variant>
        <vt:lpwstr>_Proportionate_appraisal_pathways:</vt:lpwstr>
      </vt:variant>
      <vt:variant>
        <vt:i4>544931883</vt:i4>
      </vt:variant>
      <vt:variant>
        <vt:i4>381</vt:i4>
      </vt:variant>
      <vt:variant>
        <vt:i4>0</vt:i4>
      </vt:variant>
      <vt:variant>
        <vt:i4>5</vt:i4>
      </vt:variant>
      <vt:variant>
        <vt:lpwstr/>
      </vt:variant>
      <vt:variant>
        <vt:lpwstr>_Options_–_Proportionate</vt:lpwstr>
      </vt:variant>
      <vt:variant>
        <vt:i4>3342356</vt:i4>
      </vt:variant>
      <vt:variant>
        <vt:i4>375</vt:i4>
      </vt:variant>
      <vt:variant>
        <vt:i4>0</vt:i4>
      </vt:variant>
      <vt:variant>
        <vt:i4>5</vt:i4>
      </vt:variant>
      <vt:variant>
        <vt:lpwstr/>
      </vt:variant>
      <vt:variant>
        <vt:lpwstr>_Develop_an_explicit</vt:lpwstr>
      </vt:variant>
      <vt:variant>
        <vt:i4>1179694</vt:i4>
      </vt:variant>
      <vt:variant>
        <vt:i4>366</vt:i4>
      </vt:variant>
      <vt:variant>
        <vt:i4>0</vt:i4>
      </vt:variant>
      <vt:variant>
        <vt:i4>5</vt:i4>
      </vt:variant>
      <vt:variant>
        <vt:lpwstr/>
      </vt:variant>
      <vt:variant>
        <vt:lpwstr>_Unified_HTA_pathway</vt:lpwstr>
      </vt:variant>
      <vt:variant>
        <vt:i4>2949155</vt:i4>
      </vt:variant>
      <vt:variant>
        <vt:i4>363</vt:i4>
      </vt:variant>
      <vt:variant>
        <vt:i4>0</vt:i4>
      </vt:variant>
      <vt:variant>
        <vt:i4>5</vt:i4>
      </vt:variant>
      <vt:variant>
        <vt:lpwstr>https://www.health.gov.au/sites/default/files/2023-10/hta-policy-and-methods-review-draft-paper-clinical-evaluation-methods-in-hta.pdf</vt:lpwstr>
      </vt:variant>
      <vt:variant>
        <vt:lpwstr>page=151</vt:lpwstr>
      </vt:variant>
      <vt:variant>
        <vt:i4>2621472</vt:i4>
      </vt:variant>
      <vt:variant>
        <vt:i4>360</vt:i4>
      </vt:variant>
      <vt:variant>
        <vt:i4>0</vt:i4>
      </vt:variant>
      <vt:variant>
        <vt:i4>5</vt:i4>
      </vt:variant>
      <vt:variant>
        <vt:lpwstr>https://www.health.gov.au/sites/default/files/2023-10/hta-policy-and-methods-review-draft-paper-clinical-evaluation-methods-in-hta.pdf</vt:lpwstr>
      </vt:variant>
      <vt:variant>
        <vt:lpwstr>page=164</vt:lpwstr>
      </vt:variant>
      <vt:variant>
        <vt:i4>2752547</vt:i4>
      </vt:variant>
      <vt:variant>
        <vt:i4>357</vt:i4>
      </vt:variant>
      <vt:variant>
        <vt:i4>0</vt:i4>
      </vt:variant>
      <vt:variant>
        <vt:i4>5</vt:i4>
      </vt:variant>
      <vt:variant>
        <vt:lpwstr>https://www.health.gov.au/sites/default/files/2023-10/hta-policy-and-methods-review-draft-paper-clinical-evaluation-methods-in-hta.pdf</vt:lpwstr>
      </vt:variant>
      <vt:variant>
        <vt:lpwstr>page=156</vt:lpwstr>
      </vt:variant>
      <vt:variant>
        <vt:i4>2949155</vt:i4>
      </vt:variant>
      <vt:variant>
        <vt:i4>354</vt:i4>
      </vt:variant>
      <vt:variant>
        <vt:i4>0</vt:i4>
      </vt:variant>
      <vt:variant>
        <vt:i4>5</vt:i4>
      </vt:variant>
      <vt:variant>
        <vt:lpwstr>https://www.health.gov.au/sites/default/files/2023-10/hta-policy-and-methods-review-draft-paper-clinical-evaluation-methods-in-hta.pdf</vt:lpwstr>
      </vt:variant>
      <vt:variant>
        <vt:lpwstr>page=151</vt:lpwstr>
      </vt:variant>
      <vt:variant>
        <vt:i4>3080246</vt:i4>
      </vt:variant>
      <vt:variant>
        <vt:i4>351</vt:i4>
      </vt:variant>
      <vt:variant>
        <vt:i4>0</vt:i4>
      </vt:variant>
      <vt:variant>
        <vt:i4>5</vt:i4>
      </vt:variant>
      <vt:variant>
        <vt:lpwstr/>
      </vt:variant>
      <vt:variant>
        <vt:lpwstr>_Economic_evaluation</vt:lpwstr>
      </vt:variant>
      <vt:variant>
        <vt:i4>3801096</vt:i4>
      </vt:variant>
      <vt:variant>
        <vt:i4>339</vt:i4>
      </vt:variant>
      <vt:variant>
        <vt:i4>0</vt:i4>
      </vt:variant>
      <vt:variant>
        <vt:i4>5</vt:i4>
      </vt:variant>
      <vt:variant>
        <vt:lpwstr/>
      </vt:variant>
      <vt:variant>
        <vt:lpwstr>_Establishment_of_horizon</vt:lpwstr>
      </vt:variant>
      <vt:variant>
        <vt:i4>262217</vt:i4>
      </vt:variant>
      <vt:variant>
        <vt:i4>336</vt:i4>
      </vt:variant>
      <vt:variant>
        <vt:i4>0</vt:i4>
      </vt:variant>
      <vt:variant>
        <vt:i4>5</vt:i4>
      </vt:variant>
      <vt:variant>
        <vt:lpwstr>https://www.health.gov.au/our-work/2020-25-national-health-reform-agreement-nhra</vt:lpwstr>
      </vt:variant>
      <vt:variant>
        <vt:lpwstr/>
      </vt:variant>
      <vt:variant>
        <vt:i4>2949140</vt:i4>
      </vt:variant>
      <vt:variant>
        <vt:i4>333</vt:i4>
      </vt:variant>
      <vt:variant>
        <vt:i4>0</vt:i4>
      </vt:variant>
      <vt:variant>
        <vt:i4>5</vt:i4>
      </vt:variant>
      <vt:variant>
        <vt:lpwstr>bookmark://_Capacity_and_capability/</vt:lpwstr>
      </vt:variant>
      <vt:variant>
        <vt:lpwstr/>
      </vt:variant>
      <vt:variant>
        <vt:i4>6750305</vt:i4>
      </vt:variant>
      <vt:variant>
        <vt:i4>330</vt:i4>
      </vt:variant>
      <vt:variant>
        <vt:i4>0</vt:i4>
      </vt:variant>
      <vt:variant>
        <vt:i4>5</vt:i4>
      </vt:variant>
      <vt:variant>
        <vt:lpwstr/>
      </vt:variant>
      <vt:variant>
        <vt:lpwstr>_Proactively_addressing_areas_1</vt:lpwstr>
      </vt:variant>
      <vt:variant>
        <vt:i4>2818097</vt:i4>
      </vt:variant>
      <vt:variant>
        <vt:i4>327</vt:i4>
      </vt:variant>
      <vt:variant>
        <vt:i4>0</vt:i4>
      </vt:variant>
      <vt:variant>
        <vt:i4>5</vt:i4>
      </vt:variant>
      <vt:variant>
        <vt:lpwstr>https://www.health.gov.au/our-work/co-design-of-an-enhanced-consumer-engagement-process</vt:lpwstr>
      </vt:variant>
      <vt:variant>
        <vt:lpwstr/>
      </vt:variant>
      <vt:variant>
        <vt:i4>5898260</vt:i4>
      </vt:variant>
      <vt:variant>
        <vt:i4>321</vt:i4>
      </vt:variant>
      <vt:variant>
        <vt:i4>0</vt:i4>
      </vt:variant>
      <vt:variant>
        <vt:i4>5</vt:i4>
      </vt:variant>
      <vt:variant>
        <vt:lpwstr>https://www.cadth.ca/2022-2025-strategic-plan</vt:lpwstr>
      </vt:variant>
      <vt:variant>
        <vt:lpwstr/>
      </vt:variant>
      <vt:variant>
        <vt:i4>4980815</vt:i4>
      </vt:variant>
      <vt:variant>
        <vt:i4>318</vt:i4>
      </vt:variant>
      <vt:variant>
        <vt:i4>0</vt:i4>
      </vt:variant>
      <vt:variant>
        <vt:i4>5</vt:i4>
      </vt:variant>
      <vt:variant>
        <vt:lpwstr>https://www.health.gov.au/resources/publications/hta-policy-and-methods-review-draft-paper-clinical-evaluation-methods-in-hta?language=en</vt:lpwstr>
      </vt:variant>
      <vt:variant>
        <vt:lpwstr/>
      </vt:variant>
      <vt:variant>
        <vt:i4>8257579</vt:i4>
      </vt:variant>
      <vt:variant>
        <vt:i4>315</vt:i4>
      </vt:variant>
      <vt:variant>
        <vt:i4>0</vt:i4>
      </vt:variant>
      <vt:variant>
        <vt:i4>5</vt:i4>
      </vt:variant>
      <vt:variant>
        <vt:lpwstr>https://www.health.gov.au/resources/publications/national-medicines-policy?language=en</vt:lpwstr>
      </vt:variant>
      <vt:variant>
        <vt:lpwstr/>
      </vt:variant>
      <vt:variant>
        <vt:i4>3932222</vt:i4>
      </vt:variant>
      <vt:variant>
        <vt:i4>312</vt:i4>
      </vt:variant>
      <vt:variant>
        <vt:i4>0</vt:i4>
      </vt:variant>
      <vt:variant>
        <vt:i4>5</vt:i4>
      </vt:variant>
      <vt:variant>
        <vt:lpwstr>https://www.aph.gov.au/Parliamentary_Business/Committees/House/Health_Aged_Care_and_Sport/Newdrugs/Government_Response</vt:lpwstr>
      </vt:variant>
      <vt:variant>
        <vt:lpwstr/>
      </vt:variant>
      <vt:variant>
        <vt:i4>7143516</vt:i4>
      </vt:variant>
      <vt:variant>
        <vt:i4>309</vt:i4>
      </vt:variant>
      <vt:variant>
        <vt:i4>0</vt:i4>
      </vt:variant>
      <vt:variant>
        <vt:i4>5</vt:i4>
      </vt:variant>
      <vt:variant>
        <vt:lpwstr>https://www.aph.gov.au/Parliamentary_Business/Committees/House/Health_Aged_Care_and_Sport/Newdrugs/Report</vt:lpwstr>
      </vt:variant>
      <vt:variant>
        <vt:lpwstr/>
      </vt:variant>
      <vt:variant>
        <vt:i4>6488188</vt:i4>
      </vt:variant>
      <vt:variant>
        <vt:i4>306</vt:i4>
      </vt:variant>
      <vt:variant>
        <vt:i4>0</vt:i4>
      </vt:variant>
      <vt:variant>
        <vt:i4>5</vt:i4>
      </vt:variant>
      <vt:variant>
        <vt:lpwstr>https://www.health.gov.au/resources/publications/health-technology-assessment-policy-and-methods-review-terms-of-reference?language=en</vt:lpwstr>
      </vt:variant>
      <vt:variant>
        <vt:lpwstr/>
      </vt:variant>
      <vt:variant>
        <vt:i4>7667775</vt:i4>
      </vt:variant>
      <vt:variant>
        <vt:i4>303</vt:i4>
      </vt:variant>
      <vt:variant>
        <vt:i4>0</vt:i4>
      </vt:variant>
      <vt:variant>
        <vt:i4>5</vt:i4>
      </vt:variant>
      <vt:variant>
        <vt:lpwstr>https://www.health.gov.au/resources/collections/health-technology-assessment-policy-and-methods-review-research-and-analysis-papers</vt:lpwstr>
      </vt:variant>
      <vt:variant>
        <vt:lpwstr/>
      </vt:variant>
      <vt:variant>
        <vt:i4>2818090</vt:i4>
      </vt:variant>
      <vt:variant>
        <vt:i4>300</vt:i4>
      </vt:variant>
      <vt:variant>
        <vt:i4>0</vt:i4>
      </vt:variant>
      <vt:variant>
        <vt:i4>5</vt:i4>
      </vt:variant>
      <vt:variant>
        <vt:lpwstr>https://ohta-consultations.health.gov.au/ohta/hta-review-consultation1/</vt:lpwstr>
      </vt:variant>
      <vt:variant>
        <vt:lpwstr/>
      </vt:variant>
      <vt:variant>
        <vt:i4>2097188</vt:i4>
      </vt:variant>
      <vt:variant>
        <vt:i4>297</vt:i4>
      </vt:variant>
      <vt:variant>
        <vt:i4>0</vt:i4>
      </vt:variant>
      <vt:variant>
        <vt:i4>5</vt:i4>
      </vt:variant>
      <vt:variant>
        <vt:lpwstr>https://www.health.gov.au/resources/publications/health-technology-assessment-policy-and-methods-review-terms-of-reference</vt:lpwstr>
      </vt:variant>
      <vt:variant>
        <vt:lpwstr/>
      </vt:variant>
      <vt:variant>
        <vt:i4>7536745</vt:i4>
      </vt:variant>
      <vt:variant>
        <vt:i4>294</vt:i4>
      </vt:variant>
      <vt:variant>
        <vt:i4>0</vt:i4>
      </vt:variant>
      <vt:variant>
        <vt:i4>5</vt:i4>
      </vt:variant>
      <vt:variant>
        <vt:lpwstr>https://www.pbs.gov.au/info/general/medicines-industry-strategic-agreement</vt:lpwstr>
      </vt:variant>
      <vt:variant>
        <vt:lpwstr/>
      </vt:variant>
      <vt:variant>
        <vt:i4>7667775</vt:i4>
      </vt:variant>
      <vt:variant>
        <vt:i4>291</vt:i4>
      </vt:variant>
      <vt:variant>
        <vt:i4>0</vt:i4>
      </vt:variant>
      <vt:variant>
        <vt:i4>5</vt:i4>
      </vt:variant>
      <vt:variant>
        <vt:lpwstr>https://www.health.gov.au/resources/collections/health-technology-assessment-policy-and-methods-review-research-and-analysis-papers</vt:lpwstr>
      </vt:variant>
      <vt:variant>
        <vt:lpwstr/>
      </vt:variant>
      <vt:variant>
        <vt:i4>1835111</vt:i4>
      </vt:variant>
      <vt:variant>
        <vt:i4>288</vt:i4>
      </vt:variant>
      <vt:variant>
        <vt:i4>0</vt:i4>
      </vt:variant>
      <vt:variant>
        <vt:i4>5</vt:i4>
      </vt:variant>
      <vt:variant>
        <vt:lpwstr>https://www.aph.gov.au/Parliamentary_Business/Committees/House/Health_Aged_Care_and_Sport/rheumaticdiseases</vt:lpwstr>
      </vt:variant>
      <vt:variant>
        <vt:lpwstr/>
      </vt:variant>
      <vt:variant>
        <vt:i4>7143516</vt:i4>
      </vt:variant>
      <vt:variant>
        <vt:i4>285</vt:i4>
      </vt:variant>
      <vt:variant>
        <vt:i4>0</vt:i4>
      </vt:variant>
      <vt:variant>
        <vt:i4>5</vt:i4>
      </vt:variant>
      <vt:variant>
        <vt:lpwstr>https://www.aph.gov.au/Parliamentary_Business/Committees/House/Health_Aged_Care_and_Sport/Newdrugs/Report</vt:lpwstr>
      </vt:variant>
      <vt:variant>
        <vt:lpwstr/>
      </vt:variant>
      <vt:variant>
        <vt:i4>7143516</vt:i4>
      </vt:variant>
      <vt:variant>
        <vt:i4>282</vt:i4>
      </vt:variant>
      <vt:variant>
        <vt:i4>0</vt:i4>
      </vt:variant>
      <vt:variant>
        <vt:i4>5</vt:i4>
      </vt:variant>
      <vt:variant>
        <vt:lpwstr>https://www.aph.gov.au/Parliamentary_Business/Committees/House/Health_Aged_Care_and_Sport/Newdrugs/Report</vt:lpwstr>
      </vt:variant>
      <vt:variant>
        <vt:lpwstr/>
      </vt:variant>
      <vt:variant>
        <vt:i4>2818090</vt:i4>
      </vt:variant>
      <vt:variant>
        <vt:i4>279</vt:i4>
      </vt:variant>
      <vt:variant>
        <vt:i4>0</vt:i4>
      </vt:variant>
      <vt:variant>
        <vt:i4>5</vt:i4>
      </vt:variant>
      <vt:variant>
        <vt:lpwstr>https://ohta-consultations.health.gov.au/ohta/hta-review-consultation1/</vt:lpwstr>
      </vt:variant>
      <vt:variant>
        <vt:lpwstr/>
      </vt:variant>
      <vt:variant>
        <vt:i4>8257579</vt:i4>
      </vt:variant>
      <vt:variant>
        <vt:i4>276</vt:i4>
      </vt:variant>
      <vt:variant>
        <vt:i4>0</vt:i4>
      </vt:variant>
      <vt:variant>
        <vt:i4>5</vt:i4>
      </vt:variant>
      <vt:variant>
        <vt:lpwstr>https://www.health.gov.au/resources/publications/national-medicines-policy?language=en</vt:lpwstr>
      </vt:variant>
      <vt:variant>
        <vt:lpwstr/>
      </vt:variant>
      <vt:variant>
        <vt:i4>1769524</vt:i4>
      </vt:variant>
      <vt:variant>
        <vt:i4>269</vt:i4>
      </vt:variant>
      <vt:variant>
        <vt:i4>0</vt:i4>
      </vt:variant>
      <vt:variant>
        <vt:i4>5</vt:i4>
      </vt:variant>
      <vt:variant>
        <vt:lpwstr/>
      </vt:variant>
      <vt:variant>
        <vt:lpwstr>_Toc157030198</vt:lpwstr>
      </vt:variant>
      <vt:variant>
        <vt:i4>1769524</vt:i4>
      </vt:variant>
      <vt:variant>
        <vt:i4>263</vt:i4>
      </vt:variant>
      <vt:variant>
        <vt:i4>0</vt:i4>
      </vt:variant>
      <vt:variant>
        <vt:i4>5</vt:i4>
      </vt:variant>
      <vt:variant>
        <vt:lpwstr/>
      </vt:variant>
      <vt:variant>
        <vt:lpwstr>_Toc157030197</vt:lpwstr>
      </vt:variant>
      <vt:variant>
        <vt:i4>1769524</vt:i4>
      </vt:variant>
      <vt:variant>
        <vt:i4>257</vt:i4>
      </vt:variant>
      <vt:variant>
        <vt:i4>0</vt:i4>
      </vt:variant>
      <vt:variant>
        <vt:i4>5</vt:i4>
      </vt:variant>
      <vt:variant>
        <vt:lpwstr/>
      </vt:variant>
      <vt:variant>
        <vt:lpwstr>_Toc157030196</vt:lpwstr>
      </vt:variant>
      <vt:variant>
        <vt:i4>1769524</vt:i4>
      </vt:variant>
      <vt:variant>
        <vt:i4>251</vt:i4>
      </vt:variant>
      <vt:variant>
        <vt:i4>0</vt:i4>
      </vt:variant>
      <vt:variant>
        <vt:i4>5</vt:i4>
      </vt:variant>
      <vt:variant>
        <vt:lpwstr/>
      </vt:variant>
      <vt:variant>
        <vt:lpwstr>_Toc157030195</vt:lpwstr>
      </vt:variant>
      <vt:variant>
        <vt:i4>1769524</vt:i4>
      </vt:variant>
      <vt:variant>
        <vt:i4>245</vt:i4>
      </vt:variant>
      <vt:variant>
        <vt:i4>0</vt:i4>
      </vt:variant>
      <vt:variant>
        <vt:i4>5</vt:i4>
      </vt:variant>
      <vt:variant>
        <vt:lpwstr/>
      </vt:variant>
      <vt:variant>
        <vt:lpwstr>_Toc157030194</vt:lpwstr>
      </vt:variant>
      <vt:variant>
        <vt:i4>1769524</vt:i4>
      </vt:variant>
      <vt:variant>
        <vt:i4>239</vt:i4>
      </vt:variant>
      <vt:variant>
        <vt:i4>0</vt:i4>
      </vt:variant>
      <vt:variant>
        <vt:i4>5</vt:i4>
      </vt:variant>
      <vt:variant>
        <vt:lpwstr/>
      </vt:variant>
      <vt:variant>
        <vt:lpwstr>_Toc157030193</vt:lpwstr>
      </vt:variant>
      <vt:variant>
        <vt:i4>1769524</vt:i4>
      </vt:variant>
      <vt:variant>
        <vt:i4>233</vt:i4>
      </vt:variant>
      <vt:variant>
        <vt:i4>0</vt:i4>
      </vt:variant>
      <vt:variant>
        <vt:i4>5</vt:i4>
      </vt:variant>
      <vt:variant>
        <vt:lpwstr/>
      </vt:variant>
      <vt:variant>
        <vt:lpwstr>_Toc157030192</vt:lpwstr>
      </vt:variant>
      <vt:variant>
        <vt:i4>1769524</vt:i4>
      </vt:variant>
      <vt:variant>
        <vt:i4>227</vt:i4>
      </vt:variant>
      <vt:variant>
        <vt:i4>0</vt:i4>
      </vt:variant>
      <vt:variant>
        <vt:i4>5</vt:i4>
      </vt:variant>
      <vt:variant>
        <vt:lpwstr/>
      </vt:variant>
      <vt:variant>
        <vt:lpwstr>_Toc157030191</vt:lpwstr>
      </vt:variant>
      <vt:variant>
        <vt:i4>1769524</vt:i4>
      </vt:variant>
      <vt:variant>
        <vt:i4>221</vt:i4>
      </vt:variant>
      <vt:variant>
        <vt:i4>0</vt:i4>
      </vt:variant>
      <vt:variant>
        <vt:i4>5</vt:i4>
      </vt:variant>
      <vt:variant>
        <vt:lpwstr/>
      </vt:variant>
      <vt:variant>
        <vt:lpwstr>_Toc157030190</vt:lpwstr>
      </vt:variant>
      <vt:variant>
        <vt:i4>1703988</vt:i4>
      </vt:variant>
      <vt:variant>
        <vt:i4>215</vt:i4>
      </vt:variant>
      <vt:variant>
        <vt:i4>0</vt:i4>
      </vt:variant>
      <vt:variant>
        <vt:i4>5</vt:i4>
      </vt:variant>
      <vt:variant>
        <vt:lpwstr/>
      </vt:variant>
      <vt:variant>
        <vt:lpwstr>_Toc157030189</vt:lpwstr>
      </vt:variant>
      <vt:variant>
        <vt:i4>1703988</vt:i4>
      </vt:variant>
      <vt:variant>
        <vt:i4>209</vt:i4>
      </vt:variant>
      <vt:variant>
        <vt:i4>0</vt:i4>
      </vt:variant>
      <vt:variant>
        <vt:i4>5</vt:i4>
      </vt:variant>
      <vt:variant>
        <vt:lpwstr/>
      </vt:variant>
      <vt:variant>
        <vt:lpwstr>_Toc157030188</vt:lpwstr>
      </vt:variant>
      <vt:variant>
        <vt:i4>1703988</vt:i4>
      </vt:variant>
      <vt:variant>
        <vt:i4>203</vt:i4>
      </vt:variant>
      <vt:variant>
        <vt:i4>0</vt:i4>
      </vt:variant>
      <vt:variant>
        <vt:i4>5</vt:i4>
      </vt:variant>
      <vt:variant>
        <vt:lpwstr/>
      </vt:variant>
      <vt:variant>
        <vt:lpwstr>_Toc157030187</vt:lpwstr>
      </vt:variant>
      <vt:variant>
        <vt:i4>1703988</vt:i4>
      </vt:variant>
      <vt:variant>
        <vt:i4>197</vt:i4>
      </vt:variant>
      <vt:variant>
        <vt:i4>0</vt:i4>
      </vt:variant>
      <vt:variant>
        <vt:i4>5</vt:i4>
      </vt:variant>
      <vt:variant>
        <vt:lpwstr/>
      </vt:variant>
      <vt:variant>
        <vt:lpwstr>_Toc157030186</vt:lpwstr>
      </vt:variant>
      <vt:variant>
        <vt:i4>1703988</vt:i4>
      </vt:variant>
      <vt:variant>
        <vt:i4>191</vt:i4>
      </vt:variant>
      <vt:variant>
        <vt:i4>0</vt:i4>
      </vt:variant>
      <vt:variant>
        <vt:i4>5</vt:i4>
      </vt:variant>
      <vt:variant>
        <vt:lpwstr/>
      </vt:variant>
      <vt:variant>
        <vt:lpwstr>_Toc157030185</vt:lpwstr>
      </vt:variant>
      <vt:variant>
        <vt:i4>1703988</vt:i4>
      </vt:variant>
      <vt:variant>
        <vt:i4>185</vt:i4>
      </vt:variant>
      <vt:variant>
        <vt:i4>0</vt:i4>
      </vt:variant>
      <vt:variant>
        <vt:i4>5</vt:i4>
      </vt:variant>
      <vt:variant>
        <vt:lpwstr/>
      </vt:variant>
      <vt:variant>
        <vt:lpwstr>_Toc157030184</vt:lpwstr>
      </vt:variant>
      <vt:variant>
        <vt:i4>1703988</vt:i4>
      </vt:variant>
      <vt:variant>
        <vt:i4>179</vt:i4>
      </vt:variant>
      <vt:variant>
        <vt:i4>0</vt:i4>
      </vt:variant>
      <vt:variant>
        <vt:i4>5</vt:i4>
      </vt:variant>
      <vt:variant>
        <vt:lpwstr/>
      </vt:variant>
      <vt:variant>
        <vt:lpwstr>_Toc157030183</vt:lpwstr>
      </vt:variant>
      <vt:variant>
        <vt:i4>1703988</vt:i4>
      </vt:variant>
      <vt:variant>
        <vt:i4>173</vt:i4>
      </vt:variant>
      <vt:variant>
        <vt:i4>0</vt:i4>
      </vt:variant>
      <vt:variant>
        <vt:i4>5</vt:i4>
      </vt:variant>
      <vt:variant>
        <vt:lpwstr/>
      </vt:variant>
      <vt:variant>
        <vt:lpwstr>_Toc157030182</vt:lpwstr>
      </vt:variant>
      <vt:variant>
        <vt:i4>1703988</vt:i4>
      </vt:variant>
      <vt:variant>
        <vt:i4>167</vt:i4>
      </vt:variant>
      <vt:variant>
        <vt:i4>0</vt:i4>
      </vt:variant>
      <vt:variant>
        <vt:i4>5</vt:i4>
      </vt:variant>
      <vt:variant>
        <vt:lpwstr/>
      </vt:variant>
      <vt:variant>
        <vt:lpwstr>_Toc157030181</vt:lpwstr>
      </vt:variant>
      <vt:variant>
        <vt:i4>1703988</vt:i4>
      </vt:variant>
      <vt:variant>
        <vt:i4>161</vt:i4>
      </vt:variant>
      <vt:variant>
        <vt:i4>0</vt:i4>
      </vt:variant>
      <vt:variant>
        <vt:i4>5</vt:i4>
      </vt:variant>
      <vt:variant>
        <vt:lpwstr/>
      </vt:variant>
      <vt:variant>
        <vt:lpwstr>_Toc157030180</vt:lpwstr>
      </vt:variant>
      <vt:variant>
        <vt:i4>1376308</vt:i4>
      </vt:variant>
      <vt:variant>
        <vt:i4>155</vt:i4>
      </vt:variant>
      <vt:variant>
        <vt:i4>0</vt:i4>
      </vt:variant>
      <vt:variant>
        <vt:i4>5</vt:i4>
      </vt:variant>
      <vt:variant>
        <vt:lpwstr/>
      </vt:variant>
      <vt:variant>
        <vt:lpwstr>_Toc157030179</vt:lpwstr>
      </vt:variant>
      <vt:variant>
        <vt:i4>1376308</vt:i4>
      </vt:variant>
      <vt:variant>
        <vt:i4>149</vt:i4>
      </vt:variant>
      <vt:variant>
        <vt:i4>0</vt:i4>
      </vt:variant>
      <vt:variant>
        <vt:i4>5</vt:i4>
      </vt:variant>
      <vt:variant>
        <vt:lpwstr/>
      </vt:variant>
      <vt:variant>
        <vt:lpwstr>_Toc157030178</vt:lpwstr>
      </vt:variant>
      <vt:variant>
        <vt:i4>1376308</vt:i4>
      </vt:variant>
      <vt:variant>
        <vt:i4>143</vt:i4>
      </vt:variant>
      <vt:variant>
        <vt:i4>0</vt:i4>
      </vt:variant>
      <vt:variant>
        <vt:i4>5</vt:i4>
      </vt:variant>
      <vt:variant>
        <vt:lpwstr/>
      </vt:variant>
      <vt:variant>
        <vt:lpwstr>_Toc157030177</vt:lpwstr>
      </vt:variant>
      <vt:variant>
        <vt:i4>1376308</vt:i4>
      </vt:variant>
      <vt:variant>
        <vt:i4>137</vt:i4>
      </vt:variant>
      <vt:variant>
        <vt:i4>0</vt:i4>
      </vt:variant>
      <vt:variant>
        <vt:i4>5</vt:i4>
      </vt:variant>
      <vt:variant>
        <vt:lpwstr/>
      </vt:variant>
      <vt:variant>
        <vt:lpwstr>_Toc157030176</vt:lpwstr>
      </vt:variant>
      <vt:variant>
        <vt:i4>1376308</vt:i4>
      </vt:variant>
      <vt:variant>
        <vt:i4>131</vt:i4>
      </vt:variant>
      <vt:variant>
        <vt:i4>0</vt:i4>
      </vt:variant>
      <vt:variant>
        <vt:i4>5</vt:i4>
      </vt:variant>
      <vt:variant>
        <vt:lpwstr/>
      </vt:variant>
      <vt:variant>
        <vt:lpwstr>_Toc157030175</vt:lpwstr>
      </vt:variant>
      <vt:variant>
        <vt:i4>1376308</vt:i4>
      </vt:variant>
      <vt:variant>
        <vt:i4>125</vt:i4>
      </vt:variant>
      <vt:variant>
        <vt:i4>0</vt:i4>
      </vt:variant>
      <vt:variant>
        <vt:i4>5</vt:i4>
      </vt:variant>
      <vt:variant>
        <vt:lpwstr/>
      </vt:variant>
      <vt:variant>
        <vt:lpwstr>_Toc157030174</vt:lpwstr>
      </vt:variant>
      <vt:variant>
        <vt:i4>1376308</vt:i4>
      </vt:variant>
      <vt:variant>
        <vt:i4>119</vt:i4>
      </vt:variant>
      <vt:variant>
        <vt:i4>0</vt:i4>
      </vt:variant>
      <vt:variant>
        <vt:i4>5</vt:i4>
      </vt:variant>
      <vt:variant>
        <vt:lpwstr/>
      </vt:variant>
      <vt:variant>
        <vt:lpwstr>_Toc157030173</vt:lpwstr>
      </vt:variant>
      <vt:variant>
        <vt:i4>1376308</vt:i4>
      </vt:variant>
      <vt:variant>
        <vt:i4>113</vt:i4>
      </vt:variant>
      <vt:variant>
        <vt:i4>0</vt:i4>
      </vt:variant>
      <vt:variant>
        <vt:i4>5</vt:i4>
      </vt:variant>
      <vt:variant>
        <vt:lpwstr/>
      </vt:variant>
      <vt:variant>
        <vt:lpwstr>_Toc157030172</vt:lpwstr>
      </vt:variant>
      <vt:variant>
        <vt:i4>1376308</vt:i4>
      </vt:variant>
      <vt:variant>
        <vt:i4>107</vt:i4>
      </vt:variant>
      <vt:variant>
        <vt:i4>0</vt:i4>
      </vt:variant>
      <vt:variant>
        <vt:i4>5</vt:i4>
      </vt:variant>
      <vt:variant>
        <vt:lpwstr/>
      </vt:variant>
      <vt:variant>
        <vt:lpwstr>_Toc157030171</vt:lpwstr>
      </vt:variant>
      <vt:variant>
        <vt:i4>1376308</vt:i4>
      </vt:variant>
      <vt:variant>
        <vt:i4>101</vt:i4>
      </vt:variant>
      <vt:variant>
        <vt:i4>0</vt:i4>
      </vt:variant>
      <vt:variant>
        <vt:i4>5</vt:i4>
      </vt:variant>
      <vt:variant>
        <vt:lpwstr/>
      </vt:variant>
      <vt:variant>
        <vt:lpwstr>_Toc157030170</vt:lpwstr>
      </vt:variant>
      <vt:variant>
        <vt:i4>1310772</vt:i4>
      </vt:variant>
      <vt:variant>
        <vt:i4>95</vt:i4>
      </vt:variant>
      <vt:variant>
        <vt:i4>0</vt:i4>
      </vt:variant>
      <vt:variant>
        <vt:i4>5</vt:i4>
      </vt:variant>
      <vt:variant>
        <vt:lpwstr/>
      </vt:variant>
      <vt:variant>
        <vt:lpwstr>_Toc157030169</vt:lpwstr>
      </vt:variant>
      <vt:variant>
        <vt:i4>1310772</vt:i4>
      </vt:variant>
      <vt:variant>
        <vt:i4>89</vt:i4>
      </vt:variant>
      <vt:variant>
        <vt:i4>0</vt:i4>
      </vt:variant>
      <vt:variant>
        <vt:i4>5</vt:i4>
      </vt:variant>
      <vt:variant>
        <vt:lpwstr/>
      </vt:variant>
      <vt:variant>
        <vt:lpwstr>_Toc157030168</vt:lpwstr>
      </vt:variant>
      <vt:variant>
        <vt:i4>1310772</vt:i4>
      </vt:variant>
      <vt:variant>
        <vt:i4>83</vt:i4>
      </vt:variant>
      <vt:variant>
        <vt:i4>0</vt:i4>
      </vt:variant>
      <vt:variant>
        <vt:i4>5</vt:i4>
      </vt:variant>
      <vt:variant>
        <vt:lpwstr/>
      </vt:variant>
      <vt:variant>
        <vt:lpwstr>_Toc157030167</vt:lpwstr>
      </vt:variant>
      <vt:variant>
        <vt:i4>1310772</vt:i4>
      </vt:variant>
      <vt:variant>
        <vt:i4>77</vt:i4>
      </vt:variant>
      <vt:variant>
        <vt:i4>0</vt:i4>
      </vt:variant>
      <vt:variant>
        <vt:i4>5</vt:i4>
      </vt:variant>
      <vt:variant>
        <vt:lpwstr/>
      </vt:variant>
      <vt:variant>
        <vt:lpwstr>_Toc157030166</vt:lpwstr>
      </vt:variant>
      <vt:variant>
        <vt:i4>1310772</vt:i4>
      </vt:variant>
      <vt:variant>
        <vt:i4>71</vt:i4>
      </vt:variant>
      <vt:variant>
        <vt:i4>0</vt:i4>
      </vt:variant>
      <vt:variant>
        <vt:i4>5</vt:i4>
      </vt:variant>
      <vt:variant>
        <vt:lpwstr/>
      </vt:variant>
      <vt:variant>
        <vt:lpwstr>_Toc157030165</vt:lpwstr>
      </vt:variant>
      <vt:variant>
        <vt:i4>1310772</vt:i4>
      </vt:variant>
      <vt:variant>
        <vt:i4>65</vt:i4>
      </vt:variant>
      <vt:variant>
        <vt:i4>0</vt:i4>
      </vt:variant>
      <vt:variant>
        <vt:i4>5</vt:i4>
      </vt:variant>
      <vt:variant>
        <vt:lpwstr/>
      </vt:variant>
      <vt:variant>
        <vt:lpwstr>_Toc157030164</vt:lpwstr>
      </vt:variant>
      <vt:variant>
        <vt:i4>1310772</vt:i4>
      </vt:variant>
      <vt:variant>
        <vt:i4>59</vt:i4>
      </vt:variant>
      <vt:variant>
        <vt:i4>0</vt:i4>
      </vt:variant>
      <vt:variant>
        <vt:i4>5</vt:i4>
      </vt:variant>
      <vt:variant>
        <vt:lpwstr/>
      </vt:variant>
      <vt:variant>
        <vt:lpwstr>_Toc157030163</vt:lpwstr>
      </vt:variant>
      <vt:variant>
        <vt:i4>1310772</vt:i4>
      </vt:variant>
      <vt:variant>
        <vt:i4>53</vt:i4>
      </vt:variant>
      <vt:variant>
        <vt:i4>0</vt:i4>
      </vt:variant>
      <vt:variant>
        <vt:i4>5</vt:i4>
      </vt:variant>
      <vt:variant>
        <vt:lpwstr/>
      </vt:variant>
      <vt:variant>
        <vt:lpwstr>_Toc157030162</vt:lpwstr>
      </vt:variant>
      <vt:variant>
        <vt:i4>4194376</vt:i4>
      </vt:variant>
      <vt:variant>
        <vt:i4>48</vt:i4>
      </vt:variant>
      <vt:variant>
        <vt:i4>0</vt:i4>
      </vt:variant>
      <vt:variant>
        <vt:i4>5</vt:i4>
      </vt:variant>
      <vt:variant>
        <vt:lpwstr>https://www.health.gov.au/resources/publications/hta-policy-and-methods-review-draft-paper-australian-market-authorisation-funding-and-assessment-pathways-and-timelines?language=en</vt:lpwstr>
      </vt:variant>
      <vt:variant>
        <vt:lpwstr/>
      </vt:variant>
      <vt:variant>
        <vt:i4>4587598</vt:i4>
      </vt:variant>
      <vt:variant>
        <vt:i4>45</vt:i4>
      </vt:variant>
      <vt:variant>
        <vt:i4>0</vt:i4>
      </vt:variant>
      <vt:variant>
        <vt:i4>5</vt:i4>
      </vt:variant>
      <vt:variant>
        <vt:lpwstr>https://www.health.gov.au/resources/publications/hta-policy-and-methods-review-draft-paper-optimised-real-world-evidence-to-support-health-technology-assessment-in-australia?language=en</vt:lpwstr>
      </vt:variant>
      <vt:variant>
        <vt:lpwstr/>
      </vt:variant>
      <vt:variant>
        <vt:i4>1114131</vt:i4>
      </vt:variant>
      <vt:variant>
        <vt:i4>42</vt:i4>
      </vt:variant>
      <vt:variant>
        <vt:i4>0</vt:i4>
      </vt:variant>
      <vt:variant>
        <vt:i4>5</vt:i4>
      </vt:variant>
      <vt:variant>
        <vt:lpwstr>https://www.health.gov.au/resources/publications/hta-policy-and-methods-review-draft-paper-funding-and-purchasing-decisions-and-managing-uncertainty?language=en</vt:lpwstr>
      </vt:variant>
      <vt:variant>
        <vt:lpwstr/>
      </vt:variant>
      <vt:variant>
        <vt:i4>6291495</vt:i4>
      </vt:variant>
      <vt:variant>
        <vt:i4>39</vt:i4>
      </vt:variant>
      <vt:variant>
        <vt:i4>0</vt:i4>
      </vt:variant>
      <vt:variant>
        <vt:i4>5</vt:i4>
      </vt:variant>
      <vt:variant>
        <vt:lpwstr>https://www.health.gov.au/resources/publications/hta-policy-and-methods-review-draft-paper-hta-methods-economic-evaluation?language=en</vt:lpwstr>
      </vt:variant>
      <vt:variant>
        <vt:lpwstr/>
      </vt:variant>
      <vt:variant>
        <vt:i4>2687036</vt:i4>
      </vt:variant>
      <vt:variant>
        <vt:i4>36</vt:i4>
      </vt:variant>
      <vt:variant>
        <vt:i4>0</vt:i4>
      </vt:variant>
      <vt:variant>
        <vt:i4>5</vt:i4>
      </vt:variant>
      <vt:variant>
        <vt:lpwstr>https://www.health.gov.au/sites/default/files/2023-10/hta-policy-and-methods-review-draft-paper-clinical-evaluation-methods-in-hta.pdf</vt:lpwstr>
      </vt:variant>
      <vt:variant>
        <vt:lpwstr/>
      </vt:variant>
      <vt:variant>
        <vt:i4>7078005</vt:i4>
      </vt:variant>
      <vt:variant>
        <vt:i4>33</vt:i4>
      </vt:variant>
      <vt:variant>
        <vt:i4>0</vt:i4>
      </vt:variant>
      <vt:variant>
        <vt:i4>5</vt:i4>
      </vt:variant>
      <vt:variant>
        <vt:lpwstr>https://www.health.gov.au/resources/publications/hta-policy-and-methods-review-draft-paper-determination-of-the-population-intervention-comparator-and-outcome-pico?language=en</vt:lpwstr>
      </vt:variant>
      <vt:variant>
        <vt:lpwstr/>
      </vt:variant>
      <vt:variant>
        <vt:i4>1507357</vt:i4>
      </vt:variant>
      <vt:variant>
        <vt:i4>30</vt:i4>
      </vt:variant>
      <vt:variant>
        <vt:i4>0</vt:i4>
      </vt:variant>
      <vt:variant>
        <vt:i4>5</vt:i4>
      </vt:variant>
      <vt:variant>
        <vt:lpwstr>https://www.health.gov.au/resources/publications/hta-policy-and-methods-review-draft-paper-horizon-scanning-and-early-assessment?language=en</vt:lpwstr>
      </vt:variant>
      <vt:variant>
        <vt:lpwstr/>
      </vt:variant>
      <vt:variant>
        <vt:i4>4784132</vt:i4>
      </vt:variant>
      <vt:variant>
        <vt:i4>27</vt:i4>
      </vt:variant>
      <vt:variant>
        <vt:i4>0</vt:i4>
      </vt:variant>
      <vt:variant>
        <vt:i4>5</vt:i4>
      </vt:variant>
      <vt:variant>
        <vt:lpwstr>https://www.health.gov.au/resources/publications/hta-policy-and-methods-review-draft-paper-review-international-health-technology-market-approval-funding-and-assessment-pathways?language=en</vt:lpwstr>
      </vt:variant>
      <vt:variant>
        <vt:lpwstr/>
      </vt:variant>
      <vt:variant>
        <vt:i4>6422609</vt:i4>
      </vt:variant>
      <vt:variant>
        <vt:i4>24</vt:i4>
      </vt:variant>
      <vt:variant>
        <vt:i4>0</vt:i4>
      </vt:variant>
      <vt:variant>
        <vt:i4>5</vt:i4>
      </vt:variant>
      <vt:variant>
        <vt:lpwstr/>
      </vt:variant>
      <vt:variant>
        <vt:lpwstr>_Futureproofing_our_systems</vt:lpwstr>
      </vt:variant>
      <vt:variant>
        <vt:i4>6357043</vt:i4>
      </vt:variant>
      <vt:variant>
        <vt:i4>21</vt:i4>
      </vt:variant>
      <vt:variant>
        <vt:i4>0</vt:i4>
      </vt:variant>
      <vt:variant>
        <vt:i4>5</vt:i4>
      </vt:variant>
      <vt:variant>
        <vt:lpwstr/>
      </vt:variant>
      <vt:variant>
        <vt:lpwstr>_Health_Technology_Funding_1</vt:lpwstr>
      </vt:variant>
      <vt:variant>
        <vt:i4>1572909</vt:i4>
      </vt:variant>
      <vt:variant>
        <vt:i4>18</vt:i4>
      </vt:variant>
      <vt:variant>
        <vt:i4>0</vt:i4>
      </vt:variant>
      <vt:variant>
        <vt:i4>5</vt:i4>
      </vt:variant>
      <vt:variant>
        <vt:lpwstr/>
      </vt:variant>
      <vt:variant>
        <vt:lpwstr>_Methods_for_HTA</vt:lpwstr>
      </vt:variant>
      <vt:variant>
        <vt:i4>5242988</vt:i4>
      </vt:variant>
      <vt:variant>
        <vt:i4>15</vt:i4>
      </vt:variant>
      <vt:variant>
        <vt:i4>0</vt:i4>
      </vt:variant>
      <vt:variant>
        <vt:i4>5</vt:i4>
      </vt:variant>
      <vt:variant>
        <vt:lpwstr/>
      </vt:variant>
      <vt:variant>
        <vt:lpwstr>_Health_technology_funding</vt:lpwstr>
      </vt:variant>
      <vt:variant>
        <vt:i4>6291541</vt:i4>
      </vt:variant>
      <vt:variant>
        <vt:i4>12</vt:i4>
      </vt:variant>
      <vt:variant>
        <vt:i4>0</vt:i4>
      </vt:variant>
      <vt:variant>
        <vt:i4>5</vt:i4>
      </vt:variant>
      <vt:variant>
        <vt:lpwstr/>
      </vt:variant>
      <vt:variant>
        <vt:lpwstr>_Stakeholder_involvement_in</vt:lpwstr>
      </vt:variant>
      <vt:variant>
        <vt:i4>6815824</vt:i4>
      </vt:variant>
      <vt:variant>
        <vt:i4>9</vt:i4>
      </vt:variant>
      <vt:variant>
        <vt:i4>0</vt:i4>
      </vt:variant>
      <vt:variant>
        <vt:i4>5</vt:i4>
      </vt:variant>
      <vt:variant>
        <vt:lpwstr/>
      </vt:variant>
      <vt:variant>
        <vt:lpwstr>_Transparency,_communication,_and</vt:lpwstr>
      </vt:variant>
      <vt:variant>
        <vt:i4>2097188</vt:i4>
      </vt:variant>
      <vt:variant>
        <vt:i4>3</vt:i4>
      </vt:variant>
      <vt:variant>
        <vt:i4>0</vt:i4>
      </vt:variant>
      <vt:variant>
        <vt:i4>5</vt:i4>
      </vt:variant>
      <vt:variant>
        <vt:lpwstr>https://www.health.gov.au/resources/publications/health-technology-assessment-policy-and-methods-review-terms-of-reference</vt:lpwstr>
      </vt:variant>
      <vt:variant>
        <vt:lpwstr/>
      </vt:variant>
      <vt:variant>
        <vt:i4>8192054</vt:i4>
      </vt:variant>
      <vt:variant>
        <vt:i4>0</vt:i4>
      </vt:variant>
      <vt:variant>
        <vt:i4>0</vt:i4>
      </vt:variant>
      <vt:variant>
        <vt:i4>5</vt:i4>
      </vt:variant>
      <vt:variant>
        <vt:lpwstr>https://www.health.gov.au/committees-and-groups/hta-review-reference-committee</vt:lpwstr>
      </vt:variant>
      <vt:variant>
        <vt:lpwstr/>
      </vt:variant>
      <vt:variant>
        <vt:i4>7012460</vt:i4>
      </vt:variant>
      <vt:variant>
        <vt:i4>45</vt:i4>
      </vt:variant>
      <vt:variant>
        <vt:i4>0</vt:i4>
      </vt:variant>
      <vt:variant>
        <vt:i4>5</vt:i4>
      </vt:variant>
      <vt:variant>
        <vt:lpwstr>https://www.fda.gov/about-fda/oncology-center-excellence/project-orbis</vt:lpwstr>
      </vt:variant>
      <vt:variant>
        <vt:lpwstr/>
      </vt:variant>
      <vt:variant>
        <vt:i4>2555945</vt:i4>
      </vt:variant>
      <vt:variant>
        <vt:i4>42</vt:i4>
      </vt:variant>
      <vt:variant>
        <vt:i4>0</vt:i4>
      </vt:variant>
      <vt:variant>
        <vt:i4>5</vt:i4>
      </vt:variant>
      <vt:variant>
        <vt:lpwstr>https://www.tga.gov.au/international-activities/australia-canada-singapore-switzerland-united-kingdom-access-consortium</vt:lpwstr>
      </vt:variant>
      <vt:variant>
        <vt:lpwstr/>
      </vt:variant>
      <vt:variant>
        <vt:i4>7274616</vt:i4>
      </vt:variant>
      <vt:variant>
        <vt:i4>39</vt:i4>
      </vt:variant>
      <vt:variant>
        <vt:i4>0</vt:i4>
      </vt:variant>
      <vt:variant>
        <vt:i4>5</vt:i4>
      </vt:variant>
      <vt:variant>
        <vt:lpwstr>http://www.pbs.gov.au/info/news/2023/09/international-hta-collaboration-expands</vt:lpwstr>
      </vt:variant>
      <vt:variant>
        <vt:lpwstr/>
      </vt:variant>
      <vt:variant>
        <vt:i4>6357108</vt:i4>
      </vt:variant>
      <vt:variant>
        <vt:i4>36</vt:i4>
      </vt:variant>
      <vt:variant>
        <vt:i4>0</vt:i4>
      </vt:variant>
      <vt:variant>
        <vt:i4>5</vt:i4>
      </vt:variant>
      <vt:variant>
        <vt:lpwstr>https://strategicplan.cadth.ca/wp-content/uploads/2022/03/cadth_2022_2025_strategic_plan.pdf</vt:lpwstr>
      </vt:variant>
      <vt:variant>
        <vt:lpwstr/>
      </vt:variant>
      <vt:variant>
        <vt:i4>8192122</vt:i4>
      </vt:variant>
      <vt:variant>
        <vt:i4>33</vt:i4>
      </vt:variant>
      <vt:variant>
        <vt:i4>0</vt:i4>
      </vt:variant>
      <vt:variant>
        <vt:i4>5</vt:i4>
      </vt:variant>
      <vt:variant>
        <vt:lpwstr>https://www.nice.org.uk/Media/Default/Get-involved/Meetings-In-Public/Public-board-meetings/Mar-24-pbm-NICE-strategy-2021-2026.pdf</vt:lpwstr>
      </vt:variant>
      <vt:variant>
        <vt:lpwstr/>
      </vt:variant>
      <vt:variant>
        <vt:i4>7733285</vt:i4>
      </vt:variant>
      <vt:variant>
        <vt:i4>30</vt:i4>
      </vt:variant>
      <vt:variant>
        <vt:i4>0</vt:i4>
      </vt:variant>
      <vt:variant>
        <vt:i4>5</vt:i4>
      </vt:variant>
      <vt:variant>
        <vt:lpwstr>https://www.nejm.org/doi/full/10.1056/NEJMc2312345</vt:lpwstr>
      </vt:variant>
      <vt:variant>
        <vt:lpwstr/>
      </vt:variant>
      <vt:variant>
        <vt:i4>3670117</vt:i4>
      </vt:variant>
      <vt:variant>
        <vt:i4>27</vt:i4>
      </vt:variant>
      <vt:variant>
        <vt:i4>0</vt:i4>
      </vt:variant>
      <vt:variant>
        <vt:i4>5</vt:i4>
      </vt:variant>
      <vt:variant>
        <vt:lpwstr>https://www.oecd.org/els/health-systems/Antimicrobial-Resistance-in-G7-Countries-and-Beyond.pdf</vt:lpwstr>
      </vt:variant>
      <vt:variant>
        <vt:lpwstr/>
      </vt:variant>
      <vt:variant>
        <vt:i4>6357096</vt:i4>
      </vt:variant>
      <vt:variant>
        <vt:i4>24</vt:i4>
      </vt:variant>
      <vt:variant>
        <vt:i4>0</vt:i4>
      </vt:variant>
      <vt:variant>
        <vt:i4>5</vt:i4>
      </vt:variant>
      <vt:variant>
        <vt:lpwstr>https://www.health.gov.au/sites/default/files/2023-12/hta-policy-and-methods-review-draft-paper-funding-and-purchasing-decisions-and-managing-uncertainty.pdf</vt:lpwstr>
      </vt:variant>
      <vt:variant>
        <vt:lpwstr>page=9</vt:lpwstr>
      </vt:variant>
      <vt:variant>
        <vt:i4>6160403</vt:i4>
      </vt:variant>
      <vt:variant>
        <vt:i4>21</vt:i4>
      </vt:variant>
      <vt:variant>
        <vt:i4>0</vt:i4>
      </vt:variant>
      <vt:variant>
        <vt:i4>5</vt:i4>
      </vt:variant>
      <vt:variant>
        <vt:lpwstr>https://www.health.gov.au/sites/default/files/2023-10/hta-policy-and-methods-review-draft-paper-review-international-health-technology-market-approval-funding-and-assessment-pathways.pdf</vt:lpwstr>
      </vt:variant>
      <vt:variant>
        <vt:lpwstr>page=8</vt:lpwstr>
      </vt:variant>
      <vt:variant>
        <vt:i4>5767172</vt:i4>
      </vt:variant>
      <vt:variant>
        <vt:i4>18</vt:i4>
      </vt:variant>
      <vt:variant>
        <vt:i4>0</vt:i4>
      </vt:variant>
      <vt:variant>
        <vt:i4>5</vt:i4>
      </vt:variant>
      <vt:variant>
        <vt:lpwstr>https://www.indigenoushpf.gov.au/measures/3-15-access-prescription-medicines</vt:lpwstr>
      </vt:variant>
      <vt:variant>
        <vt:lpwstr/>
      </vt:variant>
      <vt:variant>
        <vt:i4>5505144</vt:i4>
      </vt:variant>
      <vt:variant>
        <vt:i4>15</vt:i4>
      </vt:variant>
      <vt:variant>
        <vt:i4>0</vt:i4>
      </vt:variant>
      <vt:variant>
        <vt:i4>5</vt:i4>
      </vt:variant>
      <vt:variant>
        <vt:lpwstr>https://www.health.gov.au/sites/default/files/2023-08/conversations-for-change-report-2023_0.pdf</vt:lpwstr>
      </vt:variant>
      <vt:variant>
        <vt:lpwstr/>
      </vt:variant>
      <vt:variant>
        <vt:i4>5505144</vt:i4>
      </vt:variant>
      <vt:variant>
        <vt:i4>12</vt:i4>
      </vt:variant>
      <vt:variant>
        <vt:i4>0</vt:i4>
      </vt:variant>
      <vt:variant>
        <vt:i4>5</vt:i4>
      </vt:variant>
      <vt:variant>
        <vt:lpwstr>https://www.health.gov.au/sites/default/files/2023-08/conversations-for-change-report-2023_0.pdf</vt:lpwstr>
      </vt:variant>
      <vt:variant>
        <vt:lpwstr/>
      </vt:variant>
      <vt:variant>
        <vt:i4>4653058</vt:i4>
      </vt:variant>
      <vt:variant>
        <vt:i4>9</vt:i4>
      </vt:variant>
      <vt:variant>
        <vt:i4>0</vt:i4>
      </vt:variant>
      <vt:variant>
        <vt:i4>5</vt:i4>
      </vt:variant>
      <vt:variant>
        <vt:lpwstr>https://www.pbs.gov.au/info/general/pbs-process-improvements</vt:lpwstr>
      </vt:variant>
      <vt:variant>
        <vt:lpwstr/>
      </vt:variant>
      <vt:variant>
        <vt:i4>3866745</vt:i4>
      </vt:variant>
      <vt:variant>
        <vt:i4>6</vt:i4>
      </vt:variant>
      <vt:variant>
        <vt:i4>0</vt:i4>
      </vt:variant>
      <vt:variant>
        <vt:i4>5</vt:i4>
      </vt:variant>
      <vt:variant>
        <vt:lpwstr>https://phrma.org/-/media/Project/PhRMA/PhRMA-Org/PhRMA-Refresh/Report-PDFs/A-C/2023-04-20-PhRMA-Global-Access-to-New-Medicines-Report-FINAL-1.pdf</vt:lpwstr>
      </vt:variant>
      <vt:variant>
        <vt:lpwstr/>
      </vt:variant>
      <vt:variant>
        <vt:i4>5439580</vt:i4>
      </vt:variant>
      <vt:variant>
        <vt:i4>3</vt:i4>
      </vt:variant>
      <vt:variant>
        <vt:i4>0</vt:i4>
      </vt:variant>
      <vt:variant>
        <vt:i4>5</vt:i4>
      </vt:variant>
      <vt:variant>
        <vt:lpwstr>https://www.medicinesaustralia.com.au/publications/medicines-matter/</vt:lpwstr>
      </vt:variant>
      <vt:variant>
        <vt:lpwstr/>
      </vt:variant>
      <vt:variant>
        <vt:i4>8323186</vt:i4>
      </vt:variant>
      <vt:variant>
        <vt:i4>0</vt:i4>
      </vt:variant>
      <vt:variant>
        <vt:i4>0</vt:i4>
      </vt:variant>
      <vt:variant>
        <vt:i4>5</vt:i4>
      </vt:variant>
      <vt:variant>
        <vt:lpwstr>https://www.cirsci.org/publications/cirs-rd-briefing-86-hta-outcomes-in-australia-canada-and-europe-2017-2021/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2024-01-25T00:54:00Z</dcterms:created>
  <dcterms:modified xsi:type="dcterms:W3CDTF">2024-01-27T00:18:00Z</dcterms:modified>
</cp:coreProperties>
</file>